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58F" w:rsidRDefault="00D0558F" w:rsidP="00E31C7A">
      <w:pPr>
        <w:spacing w:after="0" w:line="240" w:lineRule="auto"/>
        <w:jc w:val="right"/>
        <w:rPr>
          <w:rFonts w:ascii="Times New Roman" w:hAnsi="Times New Roman" w:cs="Times New Roman"/>
          <w:sz w:val="28"/>
          <w:szCs w:val="28"/>
          <w:lang w:val="en-US"/>
        </w:rPr>
      </w:pPr>
      <w:proofErr w:type="spellStart"/>
      <w:r w:rsidRPr="00AD09E5">
        <w:rPr>
          <w:rFonts w:ascii="Times New Roman" w:hAnsi="Times New Roman" w:cs="Times New Roman"/>
          <w:sz w:val="28"/>
          <w:szCs w:val="28"/>
          <w:lang w:val="en-US"/>
        </w:rPr>
        <w:t>Likumprojekts</w:t>
      </w:r>
      <w:proofErr w:type="spellEnd"/>
    </w:p>
    <w:p w:rsidR="00AD09E5" w:rsidRPr="00AD09E5" w:rsidRDefault="00AD09E5" w:rsidP="00E31C7A">
      <w:pPr>
        <w:spacing w:after="0" w:line="240" w:lineRule="auto"/>
        <w:jc w:val="right"/>
        <w:rPr>
          <w:rFonts w:ascii="Times New Roman" w:hAnsi="Times New Roman" w:cs="Times New Roman"/>
          <w:b/>
          <w:bCs/>
          <w:sz w:val="28"/>
          <w:szCs w:val="28"/>
          <w:lang w:val="lv-LV"/>
        </w:rPr>
      </w:pPr>
    </w:p>
    <w:p w:rsidR="00341D80" w:rsidRPr="0039576F" w:rsidRDefault="003961DF" w:rsidP="00E31C7A">
      <w:pPr>
        <w:spacing w:after="0" w:line="240" w:lineRule="auto"/>
        <w:jc w:val="center"/>
        <w:rPr>
          <w:rFonts w:ascii="Times New Roman" w:hAnsi="Times New Roman" w:cs="Times New Roman"/>
          <w:b/>
          <w:bCs/>
          <w:sz w:val="28"/>
          <w:szCs w:val="28"/>
          <w:lang w:val="lv-LV"/>
        </w:rPr>
      </w:pPr>
      <w:r w:rsidRPr="0039576F">
        <w:rPr>
          <w:rFonts w:ascii="Times New Roman" w:hAnsi="Times New Roman" w:cs="Times New Roman"/>
          <w:b/>
          <w:bCs/>
          <w:sz w:val="28"/>
          <w:szCs w:val="28"/>
          <w:lang w:val="lv-LV"/>
        </w:rPr>
        <w:t>Veselības tūrisma attīstības veicināšanas likums</w:t>
      </w:r>
    </w:p>
    <w:p w:rsidR="00640BD2" w:rsidRPr="0039576F" w:rsidRDefault="00640BD2" w:rsidP="00E31C7A">
      <w:pPr>
        <w:spacing w:after="0" w:line="240" w:lineRule="auto"/>
        <w:jc w:val="center"/>
        <w:rPr>
          <w:rFonts w:ascii="Times New Roman" w:hAnsi="Times New Roman" w:cs="Times New Roman"/>
          <w:sz w:val="28"/>
          <w:szCs w:val="28"/>
          <w:lang w:val="lv-LV"/>
        </w:rPr>
      </w:pPr>
    </w:p>
    <w:p w:rsidR="00AD09E5" w:rsidRDefault="003961DF" w:rsidP="00E31C7A">
      <w:pPr>
        <w:spacing w:after="0" w:line="240" w:lineRule="auto"/>
        <w:jc w:val="center"/>
        <w:rPr>
          <w:rFonts w:ascii="Times New Roman" w:hAnsi="Times New Roman" w:cs="Times New Roman"/>
          <w:b/>
          <w:bCs/>
          <w:sz w:val="28"/>
          <w:szCs w:val="28"/>
          <w:lang w:val="lv-LV"/>
        </w:rPr>
      </w:pPr>
      <w:r w:rsidRPr="0039576F">
        <w:rPr>
          <w:rFonts w:ascii="Times New Roman" w:hAnsi="Times New Roman" w:cs="Times New Roman"/>
          <w:b/>
          <w:bCs/>
          <w:sz w:val="28"/>
          <w:szCs w:val="28"/>
          <w:lang w:val="lv-LV"/>
        </w:rPr>
        <w:t>I nodaļa</w:t>
      </w:r>
      <w:r w:rsidR="00E31C7A">
        <w:rPr>
          <w:rFonts w:ascii="Times New Roman" w:hAnsi="Times New Roman" w:cs="Times New Roman"/>
          <w:b/>
          <w:bCs/>
          <w:sz w:val="28"/>
          <w:szCs w:val="28"/>
          <w:lang w:val="lv-LV"/>
        </w:rPr>
        <w:t xml:space="preserve">. </w:t>
      </w:r>
      <w:r w:rsidRPr="0039576F">
        <w:rPr>
          <w:rFonts w:ascii="Times New Roman" w:hAnsi="Times New Roman" w:cs="Times New Roman"/>
          <w:b/>
          <w:bCs/>
          <w:sz w:val="28"/>
          <w:szCs w:val="28"/>
          <w:lang w:val="lv-LV"/>
        </w:rPr>
        <w:t>Vispārīgie noteikumi</w:t>
      </w:r>
    </w:p>
    <w:p w:rsidR="003961DF" w:rsidRPr="0039576F" w:rsidRDefault="00640BD2" w:rsidP="00E31C7A">
      <w:pPr>
        <w:spacing w:after="0" w:line="240" w:lineRule="auto"/>
        <w:jc w:val="center"/>
        <w:rPr>
          <w:rFonts w:ascii="Times New Roman" w:hAnsi="Times New Roman" w:cs="Times New Roman"/>
          <w:b/>
          <w:bCs/>
          <w:sz w:val="28"/>
          <w:szCs w:val="28"/>
          <w:lang w:val="lv-LV"/>
        </w:rPr>
      </w:pPr>
      <w:r w:rsidRPr="0039576F">
        <w:rPr>
          <w:rFonts w:ascii="Times New Roman" w:hAnsi="Times New Roman" w:cs="Times New Roman"/>
          <w:b/>
          <w:bCs/>
          <w:sz w:val="28"/>
          <w:szCs w:val="28"/>
          <w:lang w:val="lv-LV"/>
        </w:rPr>
        <w:br/>
      </w:r>
    </w:p>
    <w:p w:rsidR="003961DF" w:rsidRDefault="003961DF" w:rsidP="00E31C7A">
      <w:pPr>
        <w:spacing w:after="0" w:line="240" w:lineRule="auto"/>
        <w:ind w:firstLine="708"/>
        <w:jc w:val="both"/>
        <w:rPr>
          <w:rFonts w:ascii="Times New Roman" w:hAnsi="Times New Roman" w:cs="Times New Roman"/>
          <w:b/>
          <w:bCs/>
          <w:sz w:val="28"/>
          <w:szCs w:val="28"/>
          <w:lang w:val="lv-LV"/>
        </w:rPr>
      </w:pPr>
      <w:r w:rsidRPr="0039576F">
        <w:rPr>
          <w:rFonts w:ascii="Times New Roman" w:hAnsi="Times New Roman" w:cs="Times New Roman"/>
          <w:b/>
          <w:bCs/>
          <w:sz w:val="28"/>
          <w:szCs w:val="28"/>
          <w:lang w:val="lv-LV"/>
        </w:rPr>
        <w:t>1.pants. Likumā lietotie termini</w:t>
      </w:r>
    </w:p>
    <w:p w:rsidR="00AD09E5" w:rsidRPr="0039576F" w:rsidRDefault="00AD09E5" w:rsidP="00E31C7A">
      <w:pPr>
        <w:spacing w:after="0" w:line="240" w:lineRule="auto"/>
        <w:ind w:firstLine="708"/>
        <w:jc w:val="both"/>
        <w:rPr>
          <w:rFonts w:ascii="Times New Roman" w:hAnsi="Times New Roman" w:cs="Times New Roman"/>
          <w:b/>
          <w:bCs/>
          <w:sz w:val="28"/>
          <w:szCs w:val="28"/>
          <w:lang w:val="lv-LV"/>
        </w:rPr>
      </w:pPr>
    </w:p>
    <w:p w:rsidR="003961DF" w:rsidRPr="0039576F" w:rsidRDefault="00F61D7F"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(1) Šajā likumā lietoti Ārstniecības likumā un Tūrisma likumā lietotie termini.</w:t>
      </w:r>
    </w:p>
    <w:p w:rsidR="00F61D7F" w:rsidRPr="0039576F" w:rsidRDefault="00F61D7F"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(2) Likumā lietoti arī šādi termini:</w:t>
      </w:r>
    </w:p>
    <w:p w:rsidR="00B131DE" w:rsidRPr="0039576F" w:rsidRDefault="00F61D7F"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1)</w:t>
      </w:r>
      <w:r w:rsidR="00766764" w:rsidRPr="0039576F">
        <w:rPr>
          <w:rFonts w:ascii="Times New Roman" w:hAnsi="Times New Roman" w:cs="Times New Roman"/>
          <w:sz w:val="28"/>
          <w:szCs w:val="28"/>
          <w:lang w:val="lv-LV"/>
        </w:rPr>
        <w:t xml:space="preserve"> </w:t>
      </w:r>
      <w:r w:rsidR="005F3BAC" w:rsidRPr="0039576F">
        <w:rPr>
          <w:rFonts w:ascii="Times New Roman" w:hAnsi="Times New Roman" w:cs="Times New Roman"/>
          <w:sz w:val="28"/>
          <w:szCs w:val="28"/>
          <w:lang w:val="lv-LV"/>
        </w:rPr>
        <w:t xml:space="preserve">materiālie aktīvi </w:t>
      </w:r>
      <w:r w:rsidR="0041612D" w:rsidRPr="0039576F">
        <w:rPr>
          <w:rFonts w:ascii="Times New Roman" w:hAnsi="Times New Roman" w:cs="Times New Roman"/>
          <w:sz w:val="28"/>
          <w:szCs w:val="28"/>
          <w:lang w:val="lv-LV"/>
        </w:rPr>
        <w:t>-</w:t>
      </w:r>
      <w:r w:rsidR="0041612D" w:rsidRPr="0039576F">
        <w:rPr>
          <w:rFonts w:ascii="Times New Roman" w:eastAsia="Times New Roman" w:hAnsi="Times New Roman" w:cs="Times New Roman"/>
          <w:color w:val="000000"/>
          <w:sz w:val="28"/>
          <w:szCs w:val="28"/>
          <w:lang w:val="lv-LV" w:eastAsia="ru-RU"/>
        </w:rPr>
        <w:t xml:space="preserve"> </w:t>
      </w:r>
      <w:r w:rsidR="005F3BAC" w:rsidRPr="0039576F">
        <w:rPr>
          <w:rFonts w:ascii="Times New Roman" w:eastAsia="Times New Roman" w:hAnsi="Times New Roman" w:cs="Times New Roman"/>
          <w:color w:val="000000"/>
          <w:sz w:val="28"/>
          <w:szCs w:val="28"/>
          <w:lang w:val="lv-LV" w:eastAsia="ru-RU"/>
        </w:rPr>
        <w:t>tādi aktīvi kā zeme, ēkas, tehnika un iekārtas;</w:t>
      </w:r>
    </w:p>
    <w:p w:rsidR="00A360BB" w:rsidRPr="0039576F" w:rsidRDefault="009C6918"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2) </w:t>
      </w:r>
      <w:r w:rsidR="005F3BAC" w:rsidRPr="0039576F">
        <w:rPr>
          <w:rFonts w:ascii="Times New Roman" w:hAnsi="Times New Roman" w:cs="Times New Roman"/>
          <w:sz w:val="28"/>
          <w:szCs w:val="28"/>
          <w:lang w:val="lv-LV"/>
        </w:rPr>
        <w:t xml:space="preserve">nemateriālie aktīvi - </w:t>
      </w:r>
      <w:r w:rsidR="005F3BAC" w:rsidRPr="0039576F">
        <w:rPr>
          <w:rFonts w:ascii="Times New Roman" w:eastAsia="Times New Roman" w:hAnsi="Times New Roman" w:cs="Times New Roman"/>
          <w:color w:val="000000"/>
          <w:sz w:val="28"/>
          <w:szCs w:val="28"/>
          <w:lang w:val="lv-LV" w:eastAsia="ru-RU"/>
        </w:rPr>
        <w:t>aktīvi, kas nav konkretizēti fiziskā vai finanšu formā, piemēram, patenti, licences, zinātība vai cits intelektuālais īpašums;</w:t>
      </w:r>
    </w:p>
    <w:p w:rsidR="005F3BAC" w:rsidRPr="0039576F" w:rsidRDefault="00A360BB" w:rsidP="00E31C7A">
      <w:pPr>
        <w:spacing w:after="0" w:line="240" w:lineRule="auto"/>
        <w:ind w:firstLine="708"/>
        <w:jc w:val="both"/>
        <w:rPr>
          <w:rFonts w:ascii="Times New Roman" w:eastAsia="Times New Roman" w:hAnsi="Times New Roman" w:cs="Times New Roman"/>
          <w:color w:val="000000"/>
          <w:sz w:val="28"/>
          <w:szCs w:val="28"/>
          <w:lang w:val="lv-LV" w:eastAsia="ru-RU"/>
        </w:rPr>
      </w:pPr>
      <w:r w:rsidRPr="0039576F">
        <w:rPr>
          <w:rFonts w:ascii="Times New Roman" w:hAnsi="Times New Roman" w:cs="Times New Roman"/>
          <w:sz w:val="28"/>
          <w:szCs w:val="28"/>
          <w:lang w:val="lv-LV"/>
        </w:rPr>
        <w:t xml:space="preserve">3) </w:t>
      </w:r>
      <w:r w:rsidR="005F3BAC" w:rsidRPr="0039576F">
        <w:rPr>
          <w:rFonts w:ascii="Times New Roman" w:hAnsi="Times New Roman" w:cs="Times New Roman"/>
          <w:sz w:val="28"/>
          <w:szCs w:val="28"/>
          <w:lang w:val="lv-LV"/>
        </w:rPr>
        <w:t xml:space="preserve">sākotnējie ieguldījumi - </w:t>
      </w:r>
      <w:r w:rsidR="005F3BAC" w:rsidRPr="0039576F">
        <w:rPr>
          <w:rFonts w:ascii="Times New Roman" w:eastAsia="Times New Roman" w:hAnsi="Times New Roman" w:cs="Times New Roman"/>
          <w:color w:val="000000"/>
          <w:sz w:val="28"/>
          <w:szCs w:val="28"/>
          <w:lang w:val="lv-LV" w:eastAsia="ru-RU"/>
        </w:rPr>
        <w:t>ieguldījumi materiālajos un nemateriālajos aktīvos, kas saistīti ar jaunas ārstniecības iestādes izveidi, esošas ārstniecības iestādes saimnieciskās darbības jaudas palielināšanu, ārstniecības iestādes esošās saimnieciskās darbības dažādošanu ar produktiem, kuri iepriekš nav piedāvāti, vai būtiskām pārmaiņām ārstniecības iestādes esošajā kopējā saimnieciskās darbības procesā, un kuri papildus atbilst šādiem nosacījumiem:</w:t>
      </w:r>
    </w:p>
    <w:p w:rsidR="005F3BAC" w:rsidRPr="0039576F" w:rsidRDefault="005F3BAC" w:rsidP="00E31C7A">
      <w:pPr>
        <w:spacing w:after="0" w:line="240" w:lineRule="auto"/>
        <w:ind w:firstLine="708"/>
        <w:jc w:val="both"/>
        <w:rPr>
          <w:rFonts w:ascii="Times New Roman" w:eastAsia="Times New Roman" w:hAnsi="Times New Roman" w:cs="Times New Roman"/>
          <w:sz w:val="28"/>
          <w:szCs w:val="28"/>
          <w:lang w:val="lv-LV" w:eastAsia="ru-RU"/>
        </w:rPr>
      </w:pPr>
      <w:r w:rsidRPr="0039576F">
        <w:rPr>
          <w:rFonts w:ascii="Times New Roman" w:eastAsia="Times New Roman" w:hAnsi="Times New Roman" w:cs="Times New Roman"/>
          <w:color w:val="000000"/>
          <w:sz w:val="28"/>
          <w:szCs w:val="28"/>
          <w:lang w:val="lv-LV" w:eastAsia="ru-RU"/>
        </w:rPr>
        <w:t xml:space="preserve">a) </w:t>
      </w:r>
      <w:r w:rsidRPr="0039576F">
        <w:rPr>
          <w:rFonts w:ascii="Times New Roman" w:hAnsi="Times New Roman" w:cs="Times New Roman"/>
          <w:sz w:val="28"/>
          <w:szCs w:val="28"/>
          <w:lang w:val="lv-LV"/>
        </w:rPr>
        <w:t>iegādātie aktīvi ir jauni, izņemot gadījumu, kad tos iegādājas ārstniecības iestāde, kura atbilst Komisijas 2014.gada 17.jūnija regulas (ES) Nr.</w:t>
      </w:r>
      <w:hyperlink r:id="rId8" w:tgtFrame="_blank" w:history="1">
        <w:r w:rsidRPr="0039576F">
          <w:rPr>
            <w:rFonts w:ascii="Times New Roman" w:hAnsi="Times New Roman" w:cs="Times New Roman"/>
            <w:sz w:val="28"/>
            <w:szCs w:val="28"/>
            <w:lang w:val="lv-LV"/>
          </w:rPr>
          <w:t>651/2014</w:t>
        </w:r>
      </w:hyperlink>
      <w:r w:rsidRPr="0039576F">
        <w:rPr>
          <w:rFonts w:ascii="Times New Roman" w:hAnsi="Times New Roman" w:cs="Times New Roman"/>
          <w:sz w:val="28"/>
          <w:szCs w:val="28"/>
          <w:lang w:val="lv-LV"/>
        </w:rPr>
        <w:t>, ar ko noteiktas atbalsta kategorijas atzīst par saderīgām ar iekšējo tirgu, piemērojot Līguma 107. un 108.pantu (turpmāk — Komisijas regula Nr.</w:t>
      </w:r>
      <w:hyperlink r:id="rId9" w:tgtFrame="_blank" w:history="1">
        <w:r w:rsidRPr="0039576F">
          <w:rPr>
            <w:rFonts w:ascii="Times New Roman" w:hAnsi="Times New Roman" w:cs="Times New Roman"/>
            <w:sz w:val="28"/>
            <w:szCs w:val="28"/>
            <w:lang w:val="lv-LV"/>
          </w:rPr>
          <w:t>651/2014</w:t>
        </w:r>
      </w:hyperlink>
      <w:r w:rsidRPr="0039576F">
        <w:rPr>
          <w:rFonts w:ascii="Times New Roman" w:hAnsi="Times New Roman" w:cs="Times New Roman"/>
          <w:sz w:val="28"/>
          <w:szCs w:val="28"/>
          <w:lang w:val="lv-LV"/>
        </w:rPr>
        <w:t>), I pielikumā noteiktajam mazas vai vidējas kapitālsabiedrības statusam</w:t>
      </w:r>
      <w:r w:rsidRPr="0039576F">
        <w:rPr>
          <w:rFonts w:ascii="Times New Roman" w:eastAsia="Times New Roman" w:hAnsi="Times New Roman" w:cs="Times New Roman"/>
          <w:sz w:val="28"/>
          <w:szCs w:val="28"/>
          <w:lang w:val="lv-LV" w:eastAsia="ru-RU"/>
        </w:rPr>
        <w:t>,</w:t>
      </w:r>
    </w:p>
    <w:p w:rsidR="005F3BAC" w:rsidRPr="0039576F" w:rsidRDefault="005F3BAC" w:rsidP="00E31C7A">
      <w:pPr>
        <w:spacing w:after="0" w:line="240" w:lineRule="auto"/>
        <w:ind w:firstLine="708"/>
        <w:jc w:val="both"/>
        <w:rPr>
          <w:rFonts w:ascii="Times New Roman" w:eastAsia="Times New Roman" w:hAnsi="Times New Roman" w:cs="Times New Roman"/>
          <w:sz w:val="28"/>
          <w:szCs w:val="28"/>
          <w:lang w:val="lv-LV" w:eastAsia="ru-RU"/>
        </w:rPr>
      </w:pPr>
      <w:r w:rsidRPr="0039576F">
        <w:rPr>
          <w:rFonts w:ascii="Times New Roman" w:eastAsia="Times New Roman" w:hAnsi="Times New Roman" w:cs="Times New Roman"/>
          <w:sz w:val="28"/>
          <w:szCs w:val="28"/>
          <w:lang w:val="lv-LV" w:eastAsia="ru-RU"/>
        </w:rPr>
        <w:t xml:space="preserve">b) </w:t>
      </w:r>
      <w:r w:rsidRPr="0039576F">
        <w:rPr>
          <w:rFonts w:ascii="Times New Roman" w:hAnsi="Times New Roman" w:cs="Times New Roman"/>
          <w:sz w:val="28"/>
          <w:szCs w:val="28"/>
          <w:lang w:val="lv-LV"/>
        </w:rPr>
        <w:t>nemateriālie aktīvi atbilst Komisijas regulas Nr.</w:t>
      </w:r>
      <w:hyperlink r:id="rId10" w:tgtFrame="_blank" w:history="1">
        <w:r w:rsidRPr="0039576F">
          <w:rPr>
            <w:rFonts w:ascii="Times New Roman" w:hAnsi="Times New Roman" w:cs="Times New Roman"/>
            <w:sz w:val="28"/>
            <w:szCs w:val="28"/>
            <w:lang w:val="lv-LV"/>
          </w:rPr>
          <w:t>651/2014</w:t>
        </w:r>
      </w:hyperlink>
      <w:r w:rsidRPr="0039576F">
        <w:rPr>
          <w:rFonts w:ascii="Times New Roman" w:hAnsi="Times New Roman" w:cs="Times New Roman"/>
          <w:sz w:val="28"/>
          <w:szCs w:val="28"/>
          <w:lang w:val="lv-LV"/>
        </w:rPr>
        <w:t xml:space="preserve"> 14.panta 8.punktā noteiktajām prasībām,</w:t>
      </w:r>
    </w:p>
    <w:p w:rsidR="005F3BAC" w:rsidRPr="0039576F" w:rsidRDefault="005F3BAC"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c) veiktie ieguldījumi pēc to pabeigšanas paliek konkrētajā teritorijā vismaz piecus gadus vai trīs gadus, ja ieguldījumus veic ārstniecības</w:t>
      </w:r>
      <w:r w:rsidR="00786ED6" w:rsidRPr="0039576F">
        <w:rPr>
          <w:rFonts w:ascii="Times New Roman" w:hAnsi="Times New Roman" w:cs="Times New Roman"/>
          <w:sz w:val="28"/>
          <w:szCs w:val="28"/>
          <w:lang w:val="lv-LV"/>
        </w:rPr>
        <w:t xml:space="preserve"> iestāde</w:t>
      </w:r>
      <w:r w:rsidRPr="0039576F">
        <w:rPr>
          <w:rFonts w:ascii="Times New Roman" w:hAnsi="Times New Roman" w:cs="Times New Roman"/>
          <w:sz w:val="28"/>
          <w:szCs w:val="28"/>
          <w:lang w:val="lv-LV"/>
        </w:rPr>
        <w:t>, kura atbilst Komisijas regulas Nr.</w:t>
      </w:r>
      <w:hyperlink r:id="rId11" w:tgtFrame="_blank" w:history="1">
        <w:r w:rsidRPr="0039576F">
          <w:rPr>
            <w:rFonts w:ascii="Times New Roman" w:hAnsi="Times New Roman" w:cs="Times New Roman"/>
            <w:sz w:val="28"/>
            <w:szCs w:val="28"/>
            <w:lang w:val="lv-LV"/>
          </w:rPr>
          <w:t>651/2014</w:t>
        </w:r>
      </w:hyperlink>
      <w:r w:rsidRPr="0039576F">
        <w:rPr>
          <w:rFonts w:ascii="Times New Roman" w:hAnsi="Times New Roman" w:cs="Times New Roman"/>
          <w:sz w:val="28"/>
          <w:szCs w:val="28"/>
          <w:lang w:val="lv-LV"/>
        </w:rPr>
        <w:t xml:space="preserve"> I pielikumā noteiktajam mazas vai vidējas kapitālsabiedrības statusam,</w:t>
      </w:r>
    </w:p>
    <w:p w:rsidR="00A360BB" w:rsidRPr="0039576F" w:rsidRDefault="005F3BAC"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d) aktīvi, kas saistīti ar </w:t>
      </w:r>
      <w:r w:rsidRPr="0039576F">
        <w:rPr>
          <w:rFonts w:ascii="Times New Roman" w:eastAsia="Times New Roman" w:hAnsi="Times New Roman" w:cs="Times New Roman"/>
          <w:color w:val="000000"/>
          <w:sz w:val="28"/>
          <w:szCs w:val="28"/>
          <w:lang w:val="lv-LV" w:eastAsia="ru-RU"/>
        </w:rPr>
        <w:t>būtiskām pārmaiņām ārstniecības iestādes esošajā kopējā saimnieciskās darbības procesā</w:t>
      </w:r>
      <w:r w:rsidRPr="0039576F">
        <w:rPr>
          <w:rFonts w:ascii="Times New Roman" w:hAnsi="Times New Roman" w:cs="Times New Roman"/>
          <w:sz w:val="28"/>
          <w:szCs w:val="28"/>
          <w:lang w:val="lv-LV"/>
        </w:rPr>
        <w:t>, atbilst Komisijas regulas Nr.</w:t>
      </w:r>
      <w:hyperlink r:id="rId12" w:tgtFrame="_blank" w:history="1">
        <w:r w:rsidRPr="0039576F">
          <w:rPr>
            <w:rFonts w:ascii="Times New Roman" w:hAnsi="Times New Roman" w:cs="Times New Roman"/>
            <w:sz w:val="28"/>
            <w:szCs w:val="28"/>
            <w:lang w:val="lv-LV"/>
          </w:rPr>
          <w:t>651/2014</w:t>
        </w:r>
      </w:hyperlink>
      <w:r w:rsidRPr="0039576F">
        <w:rPr>
          <w:rFonts w:ascii="Times New Roman" w:hAnsi="Times New Roman" w:cs="Times New Roman"/>
          <w:sz w:val="28"/>
          <w:szCs w:val="28"/>
          <w:lang w:val="lv-LV"/>
        </w:rPr>
        <w:t xml:space="preserve"> 14.panta 7.punktā noteiktajām prasībām; </w:t>
      </w:r>
    </w:p>
    <w:p w:rsidR="00A360BB" w:rsidRPr="0039576F" w:rsidRDefault="00A360BB" w:rsidP="00E31C7A">
      <w:pPr>
        <w:spacing w:after="0" w:line="240" w:lineRule="auto"/>
        <w:ind w:firstLine="708"/>
        <w:jc w:val="both"/>
        <w:rPr>
          <w:rFonts w:ascii="Times New Roman" w:eastAsia="Times New Roman" w:hAnsi="Times New Roman" w:cs="Times New Roman"/>
          <w:color w:val="000000"/>
          <w:sz w:val="28"/>
          <w:szCs w:val="28"/>
          <w:lang w:val="lv-LV" w:eastAsia="ru-RU"/>
        </w:rPr>
      </w:pPr>
      <w:r w:rsidRPr="0039576F">
        <w:rPr>
          <w:rFonts w:ascii="Times New Roman" w:hAnsi="Times New Roman" w:cs="Times New Roman"/>
          <w:sz w:val="28"/>
          <w:szCs w:val="28"/>
          <w:lang w:val="lv-LV"/>
        </w:rPr>
        <w:t xml:space="preserve">4) </w:t>
      </w:r>
      <w:r w:rsidR="00781DC2" w:rsidRPr="0039576F">
        <w:rPr>
          <w:rFonts w:ascii="Times New Roman" w:hAnsi="Times New Roman" w:cs="Times New Roman"/>
          <w:sz w:val="28"/>
          <w:szCs w:val="28"/>
          <w:lang w:val="lv-LV"/>
        </w:rPr>
        <w:t>t</w:t>
      </w:r>
      <w:r w:rsidR="006836C9" w:rsidRPr="0039576F">
        <w:rPr>
          <w:rFonts w:ascii="Times New Roman" w:hAnsi="Times New Roman" w:cs="Times New Roman"/>
          <w:sz w:val="28"/>
          <w:szCs w:val="28"/>
          <w:lang w:val="lv-LV"/>
        </w:rPr>
        <w:t>iešie nodokļi - uzņēmuma ienākuma nodoklis un nekustamā īpašuma nodoklis</w:t>
      </w:r>
      <w:r w:rsidR="005F3BAC" w:rsidRPr="0039576F">
        <w:rPr>
          <w:rFonts w:ascii="Times New Roman" w:hAnsi="Times New Roman" w:cs="Times New Roman"/>
          <w:sz w:val="28"/>
          <w:szCs w:val="28"/>
          <w:lang w:val="lv-LV"/>
        </w:rPr>
        <w:t>.</w:t>
      </w:r>
    </w:p>
    <w:p w:rsidR="00E31C7A" w:rsidRDefault="00E31C7A" w:rsidP="00E31C7A">
      <w:pPr>
        <w:spacing w:after="0" w:line="240" w:lineRule="auto"/>
        <w:jc w:val="both"/>
        <w:rPr>
          <w:rFonts w:ascii="Times New Roman" w:hAnsi="Times New Roman" w:cs="Times New Roman"/>
          <w:b/>
          <w:bCs/>
          <w:sz w:val="28"/>
          <w:szCs w:val="28"/>
          <w:lang w:val="lv-LV"/>
        </w:rPr>
      </w:pPr>
    </w:p>
    <w:p w:rsidR="00F61D7F" w:rsidRDefault="00F61D7F" w:rsidP="00E31C7A">
      <w:pPr>
        <w:spacing w:after="0" w:line="240" w:lineRule="auto"/>
        <w:ind w:firstLine="708"/>
        <w:jc w:val="both"/>
        <w:rPr>
          <w:rFonts w:ascii="Times New Roman" w:hAnsi="Times New Roman" w:cs="Times New Roman"/>
          <w:b/>
          <w:bCs/>
          <w:sz w:val="28"/>
          <w:szCs w:val="28"/>
          <w:lang w:val="lv-LV"/>
        </w:rPr>
      </w:pPr>
      <w:r w:rsidRPr="0039576F">
        <w:rPr>
          <w:rFonts w:ascii="Times New Roman" w:hAnsi="Times New Roman" w:cs="Times New Roman"/>
          <w:b/>
          <w:bCs/>
          <w:sz w:val="28"/>
          <w:szCs w:val="28"/>
          <w:lang w:val="lv-LV"/>
        </w:rPr>
        <w:t>2.pants. Likuma mērķis</w:t>
      </w:r>
    </w:p>
    <w:p w:rsidR="00AD09E5" w:rsidRPr="0039576F" w:rsidRDefault="00AD09E5" w:rsidP="00E31C7A">
      <w:pPr>
        <w:spacing w:after="0" w:line="240" w:lineRule="auto"/>
        <w:ind w:firstLine="708"/>
        <w:jc w:val="both"/>
        <w:rPr>
          <w:rFonts w:ascii="Times New Roman" w:hAnsi="Times New Roman" w:cs="Times New Roman"/>
          <w:b/>
          <w:bCs/>
          <w:sz w:val="28"/>
          <w:szCs w:val="28"/>
          <w:lang w:val="lv-LV"/>
        </w:rPr>
      </w:pPr>
    </w:p>
    <w:p w:rsidR="00C64971" w:rsidRPr="0039576F" w:rsidRDefault="00F61D7F"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Likum</w:t>
      </w:r>
      <w:r w:rsidR="004A4603" w:rsidRPr="0039576F">
        <w:rPr>
          <w:rFonts w:ascii="Times New Roman" w:hAnsi="Times New Roman" w:cs="Times New Roman"/>
          <w:sz w:val="28"/>
          <w:szCs w:val="28"/>
          <w:lang w:val="lv-LV"/>
        </w:rPr>
        <w:t>a mērķis ir veicināt veselības tūrisma attīstību Latvijā, sniedzot</w:t>
      </w:r>
      <w:r w:rsidRPr="0039576F">
        <w:rPr>
          <w:rFonts w:ascii="Times New Roman" w:hAnsi="Times New Roman" w:cs="Times New Roman"/>
          <w:sz w:val="28"/>
          <w:szCs w:val="28"/>
          <w:lang w:val="lv-LV"/>
        </w:rPr>
        <w:t xml:space="preserve"> valsts atbal</w:t>
      </w:r>
      <w:r w:rsidR="00FB5747" w:rsidRPr="0039576F">
        <w:rPr>
          <w:rFonts w:ascii="Times New Roman" w:hAnsi="Times New Roman" w:cs="Times New Roman"/>
          <w:sz w:val="28"/>
          <w:szCs w:val="28"/>
          <w:lang w:val="lv-LV"/>
        </w:rPr>
        <w:t>st</w:t>
      </w:r>
      <w:r w:rsidR="004A4603" w:rsidRPr="0039576F">
        <w:rPr>
          <w:rFonts w:ascii="Times New Roman" w:hAnsi="Times New Roman" w:cs="Times New Roman"/>
          <w:sz w:val="28"/>
          <w:szCs w:val="28"/>
          <w:lang w:val="lv-LV"/>
        </w:rPr>
        <w:t>u</w:t>
      </w:r>
      <w:r w:rsidR="00FB5747" w:rsidRPr="0039576F">
        <w:rPr>
          <w:rFonts w:ascii="Times New Roman" w:hAnsi="Times New Roman" w:cs="Times New Roman"/>
          <w:sz w:val="28"/>
          <w:szCs w:val="28"/>
          <w:lang w:val="lv-LV"/>
        </w:rPr>
        <w:t xml:space="preserve"> </w:t>
      </w:r>
      <w:r w:rsidR="00306200" w:rsidRPr="0039576F">
        <w:rPr>
          <w:rFonts w:ascii="Times New Roman" w:hAnsi="Times New Roman" w:cs="Times New Roman"/>
          <w:sz w:val="28"/>
          <w:szCs w:val="28"/>
          <w:lang w:val="lv-LV"/>
        </w:rPr>
        <w:t>ieguldījumu veikšanai</w:t>
      </w:r>
      <w:r w:rsidRPr="0039576F">
        <w:rPr>
          <w:rFonts w:ascii="Times New Roman" w:hAnsi="Times New Roman" w:cs="Times New Roman"/>
          <w:sz w:val="28"/>
          <w:szCs w:val="28"/>
          <w:lang w:val="lv-LV"/>
        </w:rPr>
        <w:t>.</w:t>
      </w:r>
    </w:p>
    <w:p w:rsidR="00E31C7A" w:rsidRDefault="00E31C7A" w:rsidP="00E31C7A">
      <w:pPr>
        <w:spacing w:after="0" w:line="240" w:lineRule="auto"/>
        <w:jc w:val="both"/>
        <w:rPr>
          <w:rFonts w:ascii="Times New Roman" w:hAnsi="Times New Roman" w:cs="Times New Roman"/>
          <w:b/>
          <w:bCs/>
          <w:sz w:val="28"/>
          <w:szCs w:val="28"/>
          <w:lang w:val="lv-LV"/>
        </w:rPr>
      </w:pPr>
    </w:p>
    <w:p w:rsidR="003E3300" w:rsidRDefault="00FB5747" w:rsidP="00E31C7A">
      <w:pPr>
        <w:spacing w:after="0" w:line="240" w:lineRule="auto"/>
        <w:ind w:firstLine="708"/>
        <w:jc w:val="both"/>
        <w:rPr>
          <w:rFonts w:ascii="Times New Roman" w:hAnsi="Times New Roman" w:cs="Times New Roman"/>
          <w:b/>
          <w:bCs/>
          <w:sz w:val="28"/>
          <w:szCs w:val="28"/>
          <w:lang w:val="lv-LV"/>
        </w:rPr>
      </w:pPr>
      <w:r w:rsidRPr="0039576F">
        <w:rPr>
          <w:rFonts w:ascii="Times New Roman" w:hAnsi="Times New Roman" w:cs="Times New Roman"/>
          <w:b/>
          <w:bCs/>
          <w:sz w:val="28"/>
          <w:szCs w:val="28"/>
          <w:lang w:val="lv-LV"/>
        </w:rPr>
        <w:lastRenderedPageBreak/>
        <w:t>3.pants.</w:t>
      </w:r>
      <w:r w:rsidR="00342E79" w:rsidRPr="0039576F">
        <w:rPr>
          <w:rFonts w:ascii="Times New Roman" w:hAnsi="Times New Roman" w:cs="Times New Roman"/>
          <w:b/>
          <w:bCs/>
          <w:sz w:val="28"/>
          <w:szCs w:val="28"/>
          <w:lang w:val="lv-LV"/>
        </w:rPr>
        <w:t xml:space="preserve"> Valsts a</w:t>
      </w:r>
      <w:r w:rsidR="003E3300" w:rsidRPr="0039576F">
        <w:rPr>
          <w:rFonts w:ascii="Times New Roman" w:hAnsi="Times New Roman" w:cs="Times New Roman"/>
          <w:b/>
          <w:bCs/>
          <w:sz w:val="28"/>
          <w:szCs w:val="28"/>
          <w:lang w:val="lv-LV"/>
        </w:rPr>
        <w:t>tbalsta sniegšanas veids</w:t>
      </w:r>
      <w:r w:rsidR="00342E79" w:rsidRPr="0039576F">
        <w:rPr>
          <w:rFonts w:ascii="Times New Roman" w:hAnsi="Times New Roman" w:cs="Times New Roman"/>
          <w:b/>
          <w:bCs/>
          <w:sz w:val="28"/>
          <w:szCs w:val="28"/>
          <w:lang w:val="lv-LV"/>
        </w:rPr>
        <w:t xml:space="preserve"> un mērķis</w:t>
      </w:r>
    </w:p>
    <w:p w:rsidR="00AD09E5" w:rsidRPr="0039576F" w:rsidRDefault="00AD09E5" w:rsidP="00E31C7A">
      <w:pPr>
        <w:spacing w:after="0" w:line="240" w:lineRule="auto"/>
        <w:ind w:firstLine="708"/>
        <w:jc w:val="both"/>
        <w:rPr>
          <w:rFonts w:ascii="Times New Roman" w:hAnsi="Times New Roman" w:cs="Times New Roman"/>
          <w:sz w:val="28"/>
          <w:szCs w:val="28"/>
          <w:lang w:val="lv-LV"/>
        </w:rPr>
      </w:pPr>
    </w:p>
    <w:p w:rsidR="003E3300" w:rsidRPr="0039576F" w:rsidRDefault="00342E79"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(1) </w:t>
      </w:r>
      <w:r w:rsidR="003E3300" w:rsidRPr="0039576F">
        <w:rPr>
          <w:rFonts w:ascii="Times New Roman" w:hAnsi="Times New Roman" w:cs="Times New Roman"/>
          <w:sz w:val="28"/>
          <w:szCs w:val="28"/>
          <w:lang w:val="lv-LV"/>
        </w:rPr>
        <w:t xml:space="preserve">Valsts atbalstu ieguldījumiem veselības tūrisma attīstības veicināšanai sniedz tiešo nodokļu atlaides veidā. </w:t>
      </w:r>
    </w:p>
    <w:p w:rsidR="00342E79" w:rsidRPr="0039576F" w:rsidRDefault="00342E79"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(2) </w:t>
      </w:r>
      <w:r w:rsidR="009155AD" w:rsidRPr="0039576F">
        <w:rPr>
          <w:rFonts w:ascii="Times New Roman" w:hAnsi="Times New Roman" w:cs="Times New Roman"/>
          <w:sz w:val="28"/>
          <w:szCs w:val="28"/>
          <w:lang w:val="lv-LV"/>
        </w:rPr>
        <w:t xml:space="preserve">Tiešo nodokļu atlaides piemēro par ārstniecība iestādes veiktajiem sākotnējiem ieguldījumiem.  </w:t>
      </w:r>
    </w:p>
    <w:p w:rsidR="00E31C7A" w:rsidRDefault="00E31C7A" w:rsidP="00E31C7A">
      <w:pPr>
        <w:spacing w:after="0" w:line="240" w:lineRule="auto"/>
        <w:jc w:val="both"/>
        <w:rPr>
          <w:rFonts w:ascii="Times New Roman" w:hAnsi="Times New Roman" w:cs="Times New Roman"/>
          <w:b/>
          <w:bCs/>
          <w:sz w:val="28"/>
          <w:szCs w:val="28"/>
          <w:lang w:val="lv-LV"/>
        </w:rPr>
      </w:pPr>
    </w:p>
    <w:p w:rsidR="00F61D7F" w:rsidRDefault="003E3300" w:rsidP="00E31C7A">
      <w:pPr>
        <w:spacing w:after="0" w:line="240" w:lineRule="auto"/>
        <w:ind w:firstLine="708"/>
        <w:jc w:val="both"/>
        <w:rPr>
          <w:rFonts w:ascii="Times New Roman" w:hAnsi="Times New Roman" w:cs="Times New Roman"/>
          <w:b/>
          <w:bCs/>
          <w:sz w:val="28"/>
          <w:szCs w:val="28"/>
          <w:lang w:val="lv-LV"/>
        </w:rPr>
      </w:pPr>
      <w:r w:rsidRPr="0039576F">
        <w:rPr>
          <w:rFonts w:ascii="Times New Roman" w:hAnsi="Times New Roman" w:cs="Times New Roman"/>
          <w:b/>
          <w:bCs/>
          <w:sz w:val="28"/>
          <w:szCs w:val="28"/>
          <w:lang w:val="lv-LV"/>
        </w:rPr>
        <w:t>4.pants.</w:t>
      </w:r>
      <w:r w:rsidRPr="0039576F">
        <w:rPr>
          <w:rFonts w:ascii="Times New Roman" w:hAnsi="Times New Roman" w:cs="Times New Roman"/>
          <w:sz w:val="28"/>
          <w:szCs w:val="28"/>
          <w:lang w:val="lv-LV"/>
        </w:rPr>
        <w:t xml:space="preserve"> </w:t>
      </w:r>
      <w:r w:rsidRPr="0039576F">
        <w:rPr>
          <w:rFonts w:ascii="Times New Roman" w:hAnsi="Times New Roman" w:cs="Times New Roman"/>
          <w:b/>
          <w:bCs/>
          <w:sz w:val="28"/>
          <w:szCs w:val="28"/>
          <w:lang w:val="lv-LV"/>
        </w:rPr>
        <w:t xml:space="preserve">Valsts atbalsta pretendenti </w:t>
      </w:r>
    </w:p>
    <w:p w:rsidR="00AD09E5" w:rsidRPr="0039576F" w:rsidRDefault="00AD09E5" w:rsidP="00E31C7A">
      <w:pPr>
        <w:spacing w:after="0" w:line="240" w:lineRule="auto"/>
        <w:ind w:firstLine="708"/>
        <w:jc w:val="both"/>
        <w:rPr>
          <w:rFonts w:ascii="Times New Roman" w:hAnsi="Times New Roman" w:cs="Times New Roman"/>
          <w:sz w:val="28"/>
          <w:szCs w:val="28"/>
          <w:lang w:val="lv-LV"/>
        </w:rPr>
      </w:pPr>
    </w:p>
    <w:p w:rsidR="003E3300" w:rsidRPr="0039576F" w:rsidRDefault="003E3300"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(1) </w:t>
      </w:r>
      <w:r w:rsidR="007659A5" w:rsidRPr="0039576F">
        <w:rPr>
          <w:rFonts w:ascii="Times New Roman" w:hAnsi="Times New Roman" w:cs="Times New Roman"/>
          <w:sz w:val="28"/>
          <w:szCs w:val="28"/>
          <w:lang w:val="lv-LV"/>
        </w:rPr>
        <w:t xml:space="preserve">Tiesības pretendēt uz </w:t>
      </w:r>
      <w:r w:rsidR="002E113F" w:rsidRPr="0039576F">
        <w:rPr>
          <w:rFonts w:ascii="Times New Roman" w:hAnsi="Times New Roman" w:cs="Times New Roman"/>
          <w:sz w:val="28"/>
          <w:szCs w:val="28"/>
          <w:lang w:val="lv-LV"/>
        </w:rPr>
        <w:t>likumā noteiktajām tiešo nodokļu a</w:t>
      </w:r>
      <w:r w:rsidR="009E63C2" w:rsidRPr="0039576F">
        <w:rPr>
          <w:rFonts w:ascii="Times New Roman" w:hAnsi="Times New Roman" w:cs="Times New Roman"/>
          <w:sz w:val="28"/>
          <w:szCs w:val="28"/>
          <w:lang w:val="lv-LV"/>
        </w:rPr>
        <w:t>tlaidēm ir ārstniecības iestādei, kura ir reģistrēta</w:t>
      </w:r>
      <w:r w:rsidR="002E113F" w:rsidRPr="0039576F">
        <w:rPr>
          <w:rFonts w:ascii="Times New Roman" w:hAnsi="Times New Roman" w:cs="Times New Roman"/>
          <w:sz w:val="28"/>
          <w:szCs w:val="28"/>
          <w:lang w:val="lv-LV"/>
        </w:rPr>
        <w:t xml:space="preserve"> ārstniecības iestāžu reģistrā</w:t>
      </w:r>
      <w:r w:rsidR="00684BEB" w:rsidRPr="0039576F">
        <w:rPr>
          <w:rFonts w:ascii="Times New Roman" w:hAnsi="Times New Roman" w:cs="Times New Roman"/>
          <w:sz w:val="28"/>
          <w:szCs w:val="28"/>
          <w:lang w:val="lv-LV"/>
        </w:rPr>
        <w:t xml:space="preserve"> un kuras plānotā sākotnējā ilgtermiņa ieguldījumu summa pārsniedz 200 000 </w:t>
      </w:r>
      <w:r w:rsidR="00684BEB" w:rsidRPr="0039576F">
        <w:rPr>
          <w:rFonts w:ascii="Times New Roman" w:hAnsi="Times New Roman" w:cs="Times New Roman"/>
          <w:i/>
          <w:iCs/>
          <w:sz w:val="28"/>
          <w:szCs w:val="28"/>
          <w:lang w:val="lv-LV"/>
        </w:rPr>
        <w:t>euro</w:t>
      </w:r>
      <w:r w:rsidR="002E113F" w:rsidRPr="0039576F">
        <w:rPr>
          <w:rFonts w:ascii="Times New Roman" w:hAnsi="Times New Roman" w:cs="Times New Roman"/>
          <w:sz w:val="28"/>
          <w:szCs w:val="28"/>
          <w:lang w:val="lv-LV"/>
        </w:rPr>
        <w:t>.</w:t>
      </w:r>
    </w:p>
    <w:p w:rsidR="00FB4AAB" w:rsidRPr="0039576F" w:rsidRDefault="003E3300"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(2) </w:t>
      </w:r>
      <w:r w:rsidR="00FB4AAB" w:rsidRPr="0039576F">
        <w:rPr>
          <w:rFonts w:ascii="Times New Roman" w:hAnsi="Times New Roman" w:cs="Times New Roman"/>
          <w:sz w:val="28"/>
          <w:szCs w:val="28"/>
          <w:lang w:val="lv-LV"/>
        </w:rPr>
        <w:t xml:space="preserve">Ja projekta pieteikumu iesniedz atbalsta saņemšanai par sākotnējiem ieguldījumiem, kas saistīti ar jaunas ārstniecības iestādes izveidi, </w:t>
      </w:r>
      <w:r w:rsidR="00155EAC" w:rsidRPr="0039576F">
        <w:rPr>
          <w:rFonts w:ascii="Times New Roman" w:hAnsi="Times New Roman" w:cs="Times New Roman"/>
          <w:sz w:val="28"/>
          <w:szCs w:val="28"/>
          <w:lang w:val="lv-LV"/>
        </w:rPr>
        <w:t>iesniedzot ieguldījumu projekta pieteikumu,</w:t>
      </w:r>
      <w:r w:rsidR="00FB4AAB" w:rsidRPr="0039576F">
        <w:rPr>
          <w:rFonts w:ascii="Times New Roman" w:hAnsi="Times New Roman" w:cs="Times New Roman"/>
          <w:sz w:val="28"/>
          <w:szCs w:val="28"/>
          <w:lang w:val="lv-LV"/>
        </w:rPr>
        <w:t xml:space="preserve"> kapitālsabiedrība</w:t>
      </w:r>
      <w:r w:rsidR="00155EAC" w:rsidRPr="0039576F">
        <w:rPr>
          <w:rFonts w:ascii="Times New Roman" w:hAnsi="Times New Roman" w:cs="Times New Roman"/>
          <w:sz w:val="28"/>
          <w:szCs w:val="28"/>
          <w:lang w:val="lv-LV"/>
        </w:rPr>
        <w:t xml:space="preserve"> var neatbilst šā panta pirmajā daļā minētajai prasībai, bet kapitālsabiedrībai</w:t>
      </w:r>
      <w:r w:rsidR="00FB4AAB" w:rsidRPr="0039576F">
        <w:rPr>
          <w:rFonts w:ascii="Times New Roman" w:hAnsi="Times New Roman" w:cs="Times New Roman"/>
          <w:sz w:val="28"/>
          <w:szCs w:val="28"/>
          <w:lang w:val="lv-LV"/>
        </w:rPr>
        <w:t xml:space="preserve"> pēc ieguldījumu projekta</w:t>
      </w:r>
      <w:r w:rsidR="00155EAC" w:rsidRPr="0039576F">
        <w:rPr>
          <w:rFonts w:ascii="Times New Roman" w:hAnsi="Times New Roman" w:cs="Times New Roman"/>
          <w:sz w:val="28"/>
          <w:szCs w:val="28"/>
          <w:lang w:val="lv-LV"/>
        </w:rPr>
        <w:t xml:space="preserve"> īstenošanas pabeigšanas ir</w:t>
      </w:r>
      <w:r w:rsidR="00FB4AAB" w:rsidRPr="0039576F">
        <w:rPr>
          <w:rFonts w:ascii="Times New Roman" w:hAnsi="Times New Roman" w:cs="Times New Roman"/>
          <w:sz w:val="28"/>
          <w:szCs w:val="28"/>
          <w:lang w:val="lv-LV"/>
        </w:rPr>
        <w:t xml:space="preserve"> </w:t>
      </w:r>
      <w:r w:rsidR="00155EAC" w:rsidRPr="0039576F">
        <w:rPr>
          <w:rFonts w:ascii="Times New Roman" w:hAnsi="Times New Roman" w:cs="Times New Roman"/>
          <w:sz w:val="28"/>
          <w:szCs w:val="28"/>
          <w:lang w:val="lv-LV"/>
        </w:rPr>
        <w:t xml:space="preserve">jāveic nepieciešamās darbības, lai </w:t>
      </w:r>
      <w:r w:rsidR="001D6524" w:rsidRPr="0039576F">
        <w:rPr>
          <w:rFonts w:ascii="Times New Roman" w:hAnsi="Times New Roman" w:cs="Times New Roman"/>
          <w:sz w:val="28"/>
          <w:szCs w:val="28"/>
          <w:lang w:val="lv-LV"/>
        </w:rPr>
        <w:t xml:space="preserve">sešu mēnešu laikā </w:t>
      </w:r>
      <w:r w:rsidR="00403592" w:rsidRPr="0039576F">
        <w:rPr>
          <w:rFonts w:ascii="Times New Roman" w:hAnsi="Times New Roman" w:cs="Times New Roman"/>
          <w:sz w:val="28"/>
          <w:szCs w:val="28"/>
          <w:lang w:val="lv-LV"/>
        </w:rPr>
        <w:t xml:space="preserve">tā tiktu </w:t>
      </w:r>
      <w:r w:rsidR="00155EAC" w:rsidRPr="0039576F">
        <w:rPr>
          <w:rFonts w:ascii="Times New Roman" w:hAnsi="Times New Roman" w:cs="Times New Roman"/>
          <w:sz w:val="28"/>
          <w:szCs w:val="28"/>
          <w:lang w:val="lv-LV"/>
        </w:rPr>
        <w:t>reģistrēt</w:t>
      </w:r>
      <w:r w:rsidR="00403592" w:rsidRPr="0039576F">
        <w:rPr>
          <w:rFonts w:ascii="Times New Roman" w:hAnsi="Times New Roman" w:cs="Times New Roman"/>
          <w:sz w:val="28"/>
          <w:szCs w:val="28"/>
          <w:lang w:val="lv-LV"/>
        </w:rPr>
        <w:t>a</w:t>
      </w:r>
      <w:r w:rsidR="00155EAC" w:rsidRPr="0039576F">
        <w:rPr>
          <w:rFonts w:ascii="Times New Roman" w:hAnsi="Times New Roman" w:cs="Times New Roman"/>
          <w:sz w:val="28"/>
          <w:szCs w:val="28"/>
          <w:lang w:val="lv-LV"/>
        </w:rPr>
        <w:t xml:space="preserve"> ārstniecības iestāžu reģistrā kā ārstniecības iestāde. </w:t>
      </w:r>
      <w:r w:rsidR="00FB4AAB" w:rsidRPr="0039576F">
        <w:rPr>
          <w:rFonts w:ascii="Times New Roman" w:hAnsi="Times New Roman" w:cs="Times New Roman"/>
          <w:sz w:val="28"/>
          <w:szCs w:val="28"/>
          <w:lang w:val="lv-LV"/>
        </w:rPr>
        <w:t xml:space="preserve"> </w:t>
      </w:r>
    </w:p>
    <w:p w:rsidR="00640BD2" w:rsidRPr="0039576F" w:rsidRDefault="00FB4AAB"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(3) </w:t>
      </w:r>
      <w:r w:rsidR="004A68B4" w:rsidRPr="0039576F">
        <w:rPr>
          <w:rFonts w:ascii="Times New Roman" w:hAnsi="Times New Roman" w:cs="Times New Roman"/>
          <w:sz w:val="28"/>
          <w:szCs w:val="28"/>
          <w:lang w:val="lv-LV"/>
        </w:rPr>
        <w:t>V</w:t>
      </w:r>
      <w:r w:rsidR="002929BB" w:rsidRPr="0039576F">
        <w:rPr>
          <w:rFonts w:ascii="Times New Roman" w:hAnsi="Times New Roman" w:cs="Times New Roman"/>
          <w:sz w:val="28"/>
          <w:szCs w:val="28"/>
          <w:lang w:val="lv-LV"/>
        </w:rPr>
        <w:t>alsts vai pašvaldības izveidota ārstniecība</w:t>
      </w:r>
      <w:r w:rsidR="004A68B4" w:rsidRPr="0039576F">
        <w:rPr>
          <w:rFonts w:ascii="Times New Roman" w:hAnsi="Times New Roman" w:cs="Times New Roman"/>
          <w:sz w:val="28"/>
          <w:szCs w:val="28"/>
          <w:lang w:val="lv-LV"/>
        </w:rPr>
        <w:t xml:space="preserve"> iestāde, kura sniedz valsts apmaksātos </w:t>
      </w:r>
      <w:r w:rsidR="00640BD2" w:rsidRPr="0039576F">
        <w:rPr>
          <w:rFonts w:ascii="Times New Roman" w:hAnsi="Times New Roman" w:cs="Times New Roman"/>
          <w:sz w:val="28"/>
          <w:szCs w:val="28"/>
          <w:lang w:val="lv-LV"/>
        </w:rPr>
        <w:t>obligātos veselības aprūpes pakalpojumus, var pretendēt uz likumā noteiktajām tiešo nodokļu atlaidēm, ja:</w:t>
      </w:r>
    </w:p>
    <w:p w:rsidR="003E3300" w:rsidRPr="0039576F" w:rsidRDefault="00640BD2"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1) tā ir izveidojusi veselības tūrisma pakalpojumu sniegšanai atsevišķu struktūrvienību, filiāli vai meitas kapitālsabiedrību</w:t>
      </w:r>
      <w:r w:rsidR="00073CAD" w:rsidRPr="0039576F">
        <w:rPr>
          <w:rFonts w:ascii="Times New Roman" w:hAnsi="Times New Roman" w:cs="Times New Roman"/>
          <w:sz w:val="28"/>
          <w:szCs w:val="28"/>
          <w:lang w:val="lv-LV"/>
        </w:rPr>
        <w:t>;</w:t>
      </w:r>
    </w:p>
    <w:p w:rsidR="00335A52" w:rsidRPr="0039576F" w:rsidRDefault="00640BD2" w:rsidP="00E31C7A">
      <w:pPr>
        <w:spacing w:after="0" w:line="240" w:lineRule="auto"/>
        <w:ind w:firstLine="708"/>
        <w:jc w:val="both"/>
        <w:rPr>
          <w:rFonts w:ascii="Times New Roman" w:eastAsia="Times New Roman" w:hAnsi="Times New Roman" w:cs="Times New Roman"/>
          <w:color w:val="000000"/>
          <w:sz w:val="28"/>
          <w:szCs w:val="28"/>
          <w:lang w:val="lv-LV" w:eastAsia="ru-RU"/>
        </w:rPr>
      </w:pPr>
      <w:r w:rsidRPr="0039576F">
        <w:rPr>
          <w:rFonts w:ascii="Times New Roman" w:hAnsi="Times New Roman" w:cs="Times New Roman"/>
          <w:sz w:val="28"/>
          <w:szCs w:val="28"/>
          <w:lang w:val="lv-LV"/>
        </w:rPr>
        <w:t xml:space="preserve">2) </w:t>
      </w:r>
      <w:r w:rsidR="00335A52" w:rsidRPr="0039576F">
        <w:rPr>
          <w:rFonts w:ascii="Times New Roman" w:hAnsi="Times New Roman" w:cs="Times New Roman"/>
          <w:sz w:val="28"/>
          <w:szCs w:val="28"/>
          <w:lang w:val="lv-LV"/>
        </w:rPr>
        <w:t xml:space="preserve">tā </w:t>
      </w:r>
      <w:r w:rsidR="00335A52" w:rsidRPr="0039576F">
        <w:rPr>
          <w:rFonts w:ascii="Times New Roman" w:eastAsia="Times New Roman" w:hAnsi="Times New Roman" w:cs="Times New Roman"/>
          <w:color w:val="000000"/>
          <w:sz w:val="28"/>
          <w:szCs w:val="28"/>
          <w:lang w:val="lv-LV" w:eastAsia="ru-RU"/>
        </w:rPr>
        <w:t>nodrošina pareizu finanšu un organizatorisko struktūru atspoguļojumu atsevišķā grāmatvedībā, lai skaidri varētu identificēt:</w:t>
      </w:r>
    </w:p>
    <w:p w:rsidR="00335A52" w:rsidRPr="0039576F" w:rsidRDefault="00335A52" w:rsidP="00E31C7A">
      <w:pPr>
        <w:spacing w:after="0" w:line="240" w:lineRule="auto"/>
        <w:ind w:firstLine="708"/>
        <w:jc w:val="both"/>
        <w:rPr>
          <w:rFonts w:ascii="Times New Roman" w:eastAsia="Times New Roman" w:hAnsi="Times New Roman" w:cs="Times New Roman"/>
          <w:color w:val="000000"/>
          <w:sz w:val="28"/>
          <w:szCs w:val="28"/>
          <w:lang w:val="lv-LV" w:eastAsia="ru-RU"/>
        </w:rPr>
      </w:pPr>
      <w:r w:rsidRPr="0039576F">
        <w:rPr>
          <w:rFonts w:ascii="Times New Roman" w:eastAsia="Times New Roman" w:hAnsi="Times New Roman" w:cs="Times New Roman"/>
          <w:color w:val="000000"/>
          <w:sz w:val="28"/>
          <w:szCs w:val="28"/>
          <w:lang w:val="lv-LV" w:eastAsia="ru-RU"/>
        </w:rPr>
        <w:t xml:space="preserve">a) </w:t>
      </w:r>
      <w:r w:rsidR="00B64986" w:rsidRPr="0039576F">
        <w:rPr>
          <w:rFonts w:ascii="Times New Roman" w:eastAsia="Times New Roman" w:hAnsi="Times New Roman" w:cs="Times New Roman"/>
          <w:color w:val="000000"/>
          <w:sz w:val="28"/>
          <w:szCs w:val="28"/>
          <w:lang w:val="lv-LV" w:eastAsia="ru-RU"/>
        </w:rPr>
        <w:t xml:space="preserve">ar dažādām darbībām </w:t>
      </w:r>
      <w:r w:rsidR="00781DC2" w:rsidRPr="0039576F">
        <w:rPr>
          <w:rFonts w:ascii="Times New Roman" w:eastAsia="Times New Roman" w:hAnsi="Times New Roman" w:cs="Times New Roman"/>
          <w:color w:val="000000"/>
          <w:sz w:val="28"/>
          <w:szCs w:val="28"/>
          <w:lang w:val="lv-LV" w:eastAsia="ru-RU"/>
        </w:rPr>
        <w:t>saistītas izmaksas un ieņēmumus,</w:t>
      </w:r>
    </w:p>
    <w:p w:rsidR="00B64986" w:rsidRPr="0039576F" w:rsidRDefault="00B64986" w:rsidP="00E31C7A">
      <w:pPr>
        <w:spacing w:after="0" w:line="240" w:lineRule="auto"/>
        <w:ind w:firstLine="708"/>
        <w:jc w:val="both"/>
        <w:rPr>
          <w:rFonts w:ascii="Times New Roman" w:eastAsia="Times New Roman" w:hAnsi="Times New Roman" w:cs="Times New Roman"/>
          <w:color w:val="000000"/>
          <w:sz w:val="28"/>
          <w:szCs w:val="28"/>
          <w:lang w:val="lv-LV" w:eastAsia="ru-RU"/>
        </w:rPr>
      </w:pPr>
      <w:r w:rsidRPr="0039576F">
        <w:rPr>
          <w:rFonts w:ascii="Times New Roman" w:eastAsia="Times New Roman" w:hAnsi="Times New Roman" w:cs="Times New Roman"/>
          <w:color w:val="000000"/>
          <w:sz w:val="28"/>
          <w:szCs w:val="28"/>
          <w:lang w:val="lv-LV" w:eastAsia="ru-RU"/>
        </w:rPr>
        <w:t>b) pilnīgas ziņas par metodēm, pēc kādām izmaksas un ieņēmumi tiek piešķirti vai sadalīti dažādām darbībām.</w:t>
      </w:r>
    </w:p>
    <w:p w:rsidR="00E31C7A" w:rsidRDefault="00E31C7A" w:rsidP="00E31C7A">
      <w:pPr>
        <w:spacing w:after="0" w:line="240" w:lineRule="auto"/>
        <w:jc w:val="both"/>
        <w:rPr>
          <w:rFonts w:ascii="Times New Roman" w:hAnsi="Times New Roman" w:cs="Times New Roman"/>
          <w:b/>
          <w:bCs/>
          <w:sz w:val="28"/>
          <w:szCs w:val="28"/>
          <w:lang w:val="lv-LV"/>
        </w:rPr>
      </w:pPr>
    </w:p>
    <w:p w:rsidR="007025BB" w:rsidRDefault="002178F7" w:rsidP="00E31C7A">
      <w:pPr>
        <w:spacing w:after="0" w:line="240" w:lineRule="auto"/>
        <w:ind w:firstLine="708"/>
        <w:jc w:val="both"/>
        <w:rPr>
          <w:rFonts w:ascii="Times New Roman" w:hAnsi="Times New Roman" w:cs="Times New Roman"/>
          <w:b/>
          <w:bCs/>
          <w:sz w:val="28"/>
          <w:szCs w:val="28"/>
          <w:lang w:val="lv-LV"/>
        </w:rPr>
      </w:pPr>
      <w:r w:rsidRPr="0039576F">
        <w:rPr>
          <w:rFonts w:ascii="Times New Roman" w:hAnsi="Times New Roman" w:cs="Times New Roman"/>
          <w:b/>
          <w:bCs/>
          <w:sz w:val="28"/>
          <w:szCs w:val="28"/>
          <w:lang w:val="lv-LV"/>
        </w:rPr>
        <w:t xml:space="preserve">5.pants. </w:t>
      </w:r>
      <w:r w:rsidR="007025BB" w:rsidRPr="0039576F">
        <w:rPr>
          <w:rFonts w:ascii="Times New Roman" w:hAnsi="Times New Roman" w:cs="Times New Roman"/>
          <w:b/>
          <w:bCs/>
          <w:sz w:val="28"/>
          <w:szCs w:val="28"/>
          <w:lang w:val="lv-LV"/>
        </w:rPr>
        <w:t>Atbalstāmās nozares</w:t>
      </w:r>
    </w:p>
    <w:p w:rsidR="00AD09E5" w:rsidRPr="0039576F" w:rsidRDefault="00AD09E5" w:rsidP="00E31C7A">
      <w:pPr>
        <w:spacing w:after="0" w:line="240" w:lineRule="auto"/>
        <w:ind w:firstLine="708"/>
        <w:jc w:val="both"/>
        <w:rPr>
          <w:rFonts w:ascii="Times New Roman" w:hAnsi="Times New Roman" w:cs="Times New Roman"/>
          <w:b/>
          <w:bCs/>
          <w:sz w:val="28"/>
          <w:szCs w:val="28"/>
          <w:lang w:val="lv-LV"/>
        </w:rPr>
      </w:pPr>
    </w:p>
    <w:p w:rsidR="007025BB" w:rsidRPr="0039576F" w:rsidRDefault="00193B3E"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(1) </w:t>
      </w:r>
      <w:r w:rsidR="005171AD" w:rsidRPr="0039576F">
        <w:rPr>
          <w:rFonts w:ascii="Times New Roman" w:hAnsi="Times New Roman" w:cs="Times New Roman"/>
          <w:sz w:val="28"/>
          <w:szCs w:val="28"/>
          <w:lang w:val="lv-LV"/>
        </w:rPr>
        <w:t xml:space="preserve">Atbalstāmās nozares šā likuma ietvaros ir </w:t>
      </w:r>
      <w:r w:rsidR="00390B0E" w:rsidRPr="0039576F">
        <w:rPr>
          <w:rFonts w:ascii="Times New Roman" w:hAnsi="Times New Roman" w:cs="Times New Roman"/>
          <w:sz w:val="28"/>
          <w:szCs w:val="28"/>
          <w:lang w:val="lv-LV"/>
        </w:rPr>
        <w:t xml:space="preserve">saimnieciskās darbības veidi, kas noteikti Eiropas Parlamenta un Padomes 2006.gada 20.decembra regulā (EK) Nr. </w:t>
      </w:r>
      <w:hyperlink r:id="rId13" w:tgtFrame="_blank" w:history="1">
        <w:r w:rsidR="00390B0E" w:rsidRPr="0039576F">
          <w:rPr>
            <w:rFonts w:ascii="Times New Roman" w:hAnsi="Times New Roman" w:cs="Times New Roman"/>
            <w:sz w:val="28"/>
            <w:szCs w:val="28"/>
            <w:lang w:val="lv-LV"/>
          </w:rPr>
          <w:t>1893/2006</w:t>
        </w:r>
      </w:hyperlink>
      <w:r w:rsidR="00390B0E" w:rsidRPr="0039576F">
        <w:rPr>
          <w:rFonts w:ascii="Times New Roman" w:hAnsi="Times New Roman" w:cs="Times New Roman"/>
          <w:sz w:val="28"/>
          <w:szCs w:val="28"/>
          <w:lang w:val="lv-LV"/>
        </w:rPr>
        <w:t xml:space="preserve">, ar ko izveido NACE 2.red. saimniecisko darbību statistisko klasifikāciju, kā arī groza Padomes regulu (EEK) Nr. </w:t>
      </w:r>
      <w:hyperlink r:id="rId14" w:tgtFrame="_blank" w:history="1">
        <w:r w:rsidR="00390B0E" w:rsidRPr="0039576F">
          <w:rPr>
            <w:rFonts w:ascii="Times New Roman" w:hAnsi="Times New Roman" w:cs="Times New Roman"/>
            <w:sz w:val="28"/>
            <w:szCs w:val="28"/>
            <w:lang w:val="lv-LV"/>
          </w:rPr>
          <w:t>3037/90</w:t>
        </w:r>
      </w:hyperlink>
      <w:r w:rsidR="00390B0E" w:rsidRPr="0039576F">
        <w:rPr>
          <w:rFonts w:ascii="Times New Roman" w:hAnsi="Times New Roman" w:cs="Times New Roman"/>
          <w:sz w:val="28"/>
          <w:szCs w:val="28"/>
          <w:lang w:val="lv-LV"/>
        </w:rPr>
        <w:t xml:space="preserve"> un dažas EK regulas par īpašām statistikas jomām (dokuments attiecas uz EEZ) (turpmāk — NACE):</w:t>
      </w:r>
    </w:p>
    <w:p w:rsidR="00390B0E" w:rsidRPr="0039576F" w:rsidRDefault="00466C01" w:rsidP="00E31C7A">
      <w:pPr>
        <w:spacing w:after="0" w:line="240" w:lineRule="auto"/>
        <w:ind w:firstLine="708"/>
        <w:jc w:val="both"/>
        <w:rPr>
          <w:rFonts w:ascii="Times New Roman" w:eastAsia="Times New Roman" w:hAnsi="Times New Roman" w:cs="Times New Roman"/>
          <w:color w:val="000000"/>
          <w:sz w:val="28"/>
          <w:szCs w:val="28"/>
          <w:lang w:val="lv-LV" w:eastAsia="ru-RU"/>
        </w:rPr>
      </w:pPr>
      <w:r w:rsidRPr="0039576F">
        <w:rPr>
          <w:rFonts w:ascii="Times New Roman" w:eastAsia="Times New Roman" w:hAnsi="Times New Roman" w:cs="Times New Roman"/>
          <w:color w:val="000000"/>
          <w:sz w:val="28"/>
          <w:szCs w:val="28"/>
          <w:lang w:val="lv-LV" w:eastAsia="ru-RU"/>
        </w:rPr>
        <w:t xml:space="preserve">1) </w:t>
      </w:r>
      <w:r w:rsidR="00390B0E" w:rsidRPr="0039576F">
        <w:rPr>
          <w:rFonts w:ascii="Times New Roman" w:eastAsia="Times New Roman" w:hAnsi="Times New Roman" w:cs="Times New Roman"/>
          <w:color w:val="000000"/>
          <w:sz w:val="28"/>
          <w:szCs w:val="28"/>
          <w:lang w:val="lv-LV" w:eastAsia="ru-RU"/>
        </w:rPr>
        <w:t>NACE I55: Izmitināšana;</w:t>
      </w:r>
    </w:p>
    <w:p w:rsidR="00466C01" w:rsidRPr="0039576F" w:rsidRDefault="00466C01" w:rsidP="00E31C7A">
      <w:pPr>
        <w:spacing w:after="0" w:line="240" w:lineRule="auto"/>
        <w:ind w:firstLine="708"/>
        <w:jc w:val="both"/>
        <w:rPr>
          <w:rFonts w:ascii="Times New Roman" w:eastAsia="Times New Roman" w:hAnsi="Times New Roman" w:cs="Times New Roman"/>
          <w:color w:val="000000"/>
          <w:sz w:val="28"/>
          <w:szCs w:val="28"/>
          <w:lang w:val="lv-LV" w:eastAsia="ru-RU"/>
        </w:rPr>
      </w:pPr>
      <w:r w:rsidRPr="0039576F">
        <w:rPr>
          <w:rFonts w:ascii="Times New Roman" w:eastAsia="Times New Roman" w:hAnsi="Times New Roman" w:cs="Times New Roman"/>
          <w:color w:val="000000"/>
          <w:sz w:val="28"/>
          <w:szCs w:val="28"/>
          <w:lang w:val="lv-LV" w:eastAsia="ru-RU"/>
        </w:rPr>
        <w:t>2) NACE Q86: Veselības aizsardzība;</w:t>
      </w:r>
    </w:p>
    <w:p w:rsidR="00390B0E" w:rsidRPr="0039576F" w:rsidRDefault="00466C01" w:rsidP="00E31C7A">
      <w:pPr>
        <w:spacing w:after="0" w:line="240" w:lineRule="auto"/>
        <w:ind w:firstLine="708"/>
        <w:jc w:val="both"/>
        <w:rPr>
          <w:rFonts w:ascii="Times New Roman" w:eastAsia="Times New Roman" w:hAnsi="Times New Roman" w:cs="Times New Roman"/>
          <w:color w:val="000000"/>
          <w:sz w:val="28"/>
          <w:szCs w:val="28"/>
          <w:lang w:val="lv-LV" w:eastAsia="ru-RU"/>
        </w:rPr>
      </w:pPr>
      <w:r w:rsidRPr="0039576F">
        <w:rPr>
          <w:rFonts w:ascii="Times New Roman" w:eastAsia="Times New Roman" w:hAnsi="Times New Roman" w:cs="Times New Roman"/>
          <w:color w:val="000000"/>
          <w:sz w:val="28"/>
          <w:szCs w:val="28"/>
          <w:lang w:val="lv-LV" w:eastAsia="ru-RU"/>
        </w:rPr>
        <w:t xml:space="preserve">3) NACE Q87.1: </w:t>
      </w:r>
      <w:r w:rsidR="00390B0E" w:rsidRPr="0039576F">
        <w:rPr>
          <w:rFonts w:ascii="Times New Roman" w:eastAsia="Times New Roman" w:hAnsi="Times New Roman" w:cs="Times New Roman"/>
          <w:color w:val="000000"/>
          <w:sz w:val="28"/>
          <w:szCs w:val="28"/>
          <w:lang w:val="lv-LV" w:eastAsia="ru-RU"/>
        </w:rPr>
        <w:t>Aprūpes centru pakalpojumi</w:t>
      </w:r>
      <w:r w:rsidRPr="0039576F">
        <w:rPr>
          <w:rFonts w:ascii="Times New Roman" w:eastAsia="Times New Roman" w:hAnsi="Times New Roman" w:cs="Times New Roman"/>
          <w:color w:val="000000"/>
          <w:sz w:val="28"/>
          <w:szCs w:val="28"/>
          <w:lang w:val="lv-LV" w:eastAsia="ru-RU"/>
        </w:rPr>
        <w:t>;</w:t>
      </w:r>
    </w:p>
    <w:p w:rsidR="00390B0E" w:rsidRPr="0039576F" w:rsidRDefault="00466C01" w:rsidP="00E31C7A">
      <w:pPr>
        <w:spacing w:after="0" w:line="240" w:lineRule="auto"/>
        <w:ind w:firstLine="708"/>
        <w:jc w:val="both"/>
        <w:rPr>
          <w:rFonts w:ascii="Times New Roman" w:eastAsia="Times New Roman" w:hAnsi="Times New Roman" w:cs="Times New Roman"/>
          <w:color w:val="000000"/>
          <w:sz w:val="28"/>
          <w:szCs w:val="28"/>
          <w:lang w:val="lv-LV" w:eastAsia="ru-RU"/>
        </w:rPr>
      </w:pPr>
      <w:r w:rsidRPr="0039576F">
        <w:rPr>
          <w:rFonts w:ascii="Times New Roman" w:eastAsia="Times New Roman" w:hAnsi="Times New Roman" w:cs="Times New Roman"/>
          <w:color w:val="000000"/>
          <w:sz w:val="28"/>
          <w:szCs w:val="28"/>
          <w:lang w:val="lv-LV" w:eastAsia="ru-RU"/>
        </w:rPr>
        <w:t>4</w:t>
      </w:r>
      <w:r w:rsidR="00390B0E" w:rsidRPr="0039576F">
        <w:rPr>
          <w:rFonts w:ascii="Times New Roman" w:eastAsia="Times New Roman" w:hAnsi="Times New Roman" w:cs="Times New Roman"/>
          <w:color w:val="000000"/>
          <w:sz w:val="28"/>
          <w:szCs w:val="28"/>
          <w:lang w:val="lv-LV" w:eastAsia="ru-RU"/>
        </w:rPr>
        <w:t>) NACE R93: Sporta nodarbības, izklaides un atpūtas darbība</w:t>
      </w:r>
      <w:r w:rsidR="00012455" w:rsidRPr="0039576F">
        <w:rPr>
          <w:rFonts w:ascii="Times New Roman" w:eastAsia="Times New Roman" w:hAnsi="Times New Roman" w:cs="Times New Roman"/>
          <w:color w:val="000000"/>
          <w:sz w:val="28"/>
          <w:szCs w:val="28"/>
          <w:lang w:val="lv-LV" w:eastAsia="ru-RU"/>
        </w:rPr>
        <w:t>;</w:t>
      </w:r>
    </w:p>
    <w:p w:rsidR="00012455" w:rsidRPr="0039576F" w:rsidRDefault="00012455" w:rsidP="00E31C7A">
      <w:pPr>
        <w:spacing w:after="0" w:line="240" w:lineRule="auto"/>
        <w:ind w:firstLine="708"/>
        <w:jc w:val="both"/>
        <w:rPr>
          <w:rFonts w:ascii="Times New Roman" w:eastAsia="Times New Roman" w:hAnsi="Times New Roman" w:cs="Times New Roman"/>
          <w:color w:val="000000"/>
          <w:sz w:val="28"/>
          <w:szCs w:val="28"/>
          <w:lang w:val="lv-LV" w:eastAsia="ru-RU"/>
        </w:rPr>
      </w:pPr>
      <w:r w:rsidRPr="0039576F">
        <w:rPr>
          <w:rFonts w:ascii="Times New Roman" w:eastAsia="Times New Roman" w:hAnsi="Times New Roman" w:cs="Times New Roman"/>
          <w:color w:val="000000"/>
          <w:sz w:val="28"/>
          <w:szCs w:val="28"/>
          <w:lang w:val="lv-LV" w:eastAsia="ru-RU"/>
        </w:rPr>
        <w:t>5) NACE S96.04: Fiziskās labsajūtas uzlabošanas pasākumi.</w:t>
      </w:r>
    </w:p>
    <w:p w:rsidR="00193B3E" w:rsidRPr="0039576F" w:rsidRDefault="00193B3E" w:rsidP="00E31C7A">
      <w:pPr>
        <w:spacing w:after="0" w:line="240" w:lineRule="auto"/>
        <w:ind w:firstLine="708"/>
        <w:jc w:val="both"/>
        <w:rPr>
          <w:rFonts w:ascii="Times New Roman" w:eastAsia="Times New Roman" w:hAnsi="Times New Roman" w:cs="Times New Roman"/>
          <w:color w:val="000000"/>
          <w:sz w:val="28"/>
          <w:szCs w:val="28"/>
          <w:lang w:val="lv-LV" w:eastAsia="ru-RU"/>
        </w:rPr>
      </w:pPr>
      <w:r w:rsidRPr="0039576F">
        <w:rPr>
          <w:rFonts w:ascii="Times New Roman" w:eastAsia="Times New Roman" w:hAnsi="Times New Roman" w:cs="Times New Roman"/>
          <w:color w:val="000000"/>
          <w:sz w:val="28"/>
          <w:szCs w:val="28"/>
          <w:lang w:val="lv-LV" w:eastAsia="ru-RU"/>
        </w:rPr>
        <w:t xml:space="preserve">(2) </w:t>
      </w:r>
      <w:r w:rsidR="00B14AD3" w:rsidRPr="0039576F">
        <w:rPr>
          <w:rFonts w:ascii="Times New Roman" w:eastAsia="Times New Roman" w:hAnsi="Times New Roman" w:cs="Times New Roman"/>
          <w:color w:val="000000"/>
          <w:sz w:val="28"/>
          <w:szCs w:val="28"/>
          <w:lang w:val="lv-LV" w:eastAsia="ru-RU"/>
        </w:rPr>
        <w:t xml:space="preserve">Ārstniecības iestāde, kura darbojas arī citās darbības nozarēs, kuras nav saistītas ar veselības tūrisma veicināšanu, var </w:t>
      </w:r>
      <w:r w:rsidRPr="0039576F">
        <w:rPr>
          <w:rFonts w:ascii="Times New Roman" w:eastAsia="Times New Roman" w:hAnsi="Times New Roman" w:cs="Times New Roman"/>
          <w:color w:val="000000"/>
          <w:sz w:val="28"/>
          <w:szCs w:val="28"/>
          <w:lang w:val="lv-LV" w:eastAsia="ru-RU"/>
        </w:rPr>
        <w:t xml:space="preserve">pretendēt uz </w:t>
      </w:r>
      <w:r w:rsidR="00B14AD3" w:rsidRPr="0039576F">
        <w:rPr>
          <w:rFonts w:ascii="Times New Roman" w:eastAsia="Times New Roman" w:hAnsi="Times New Roman" w:cs="Times New Roman"/>
          <w:color w:val="000000"/>
          <w:sz w:val="28"/>
          <w:szCs w:val="28"/>
          <w:lang w:val="lv-LV" w:eastAsia="ru-RU"/>
        </w:rPr>
        <w:t xml:space="preserve">šajā </w:t>
      </w:r>
      <w:r w:rsidRPr="0039576F">
        <w:rPr>
          <w:rFonts w:ascii="Times New Roman" w:hAnsi="Times New Roman" w:cs="Times New Roman"/>
          <w:sz w:val="28"/>
          <w:szCs w:val="28"/>
          <w:lang w:val="lv-LV"/>
        </w:rPr>
        <w:t xml:space="preserve">likumā </w:t>
      </w:r>
      <w:r w:rsidRPr="0039576F">
        <w:rPr>
          <w:rFonts w:ascii="Times New Roman" w:hAnsi="Times New Roman" w:cs="Times New Roman"/>
          <w:sz w:val="28"/>
          <w:szCs w:val="28"/>
          <w:lang w:val="lv-LV"/>
        </w:rPr>
        <w:lastRenderedPageBreak/>
        <w:t xml:space="preserve">noteiktajām tiešo nodokļu atlaidēm, ja tā </w:t>
      </w:r>
      <w:r w:rsidR="00B14AD3" w:rsidRPr="0039576F">
        <w:rPr>
          <w:rFonts w:ascii="Times New Roman" w:hAnsi="Times New Roman" w:cs="Times New Roman"/>
          <w:sz w:val="28"/>
          <w:szCs w:val="28"/>
          <w:lang w:val="lv-LV"/>
        </w:rPr>
        <w:t>ieguldījumu projekta īstenošanas</w:t>
      </w:r>
      <w:r w:rsidR="00865A69" w:rsidRPr="0039576F">
        <w:rPr>
          <w:rFonts w:ascii="Times New Roman" w:hAnsi="Times New Roman" w:cs="Times New Roman"/>
          <w:sz w:val="28"/>
          <w:szCs w:val="28"/>
          <w:lang w:val="lv-LV"/>
        </w:rPr>
        <w:t xml:space="preserve"> laikā un visā </w:t>
      </w:r>
      <w:r w:rsidR="00B14AD3" w:rsidRPr="0039576F">
        <w:rPr>
          <w:rFonts w:ascii="Times New Roman" w:hAnsi="Times New Roman" w:cs="Times New Roman"/>
          <w:sz w:val="28"/>
          <w:szCs w:val="28"/>
          <w:lang w:val="lv-LV"/>
        </w:rPr>
        <w:t xml:space="preserve">tiešo </w:t>
      </w:r>
      <w:r w:rsidR="00865A69" w:rsidRPr="0039576F">
        <w:rPr>
          <w:rFonts w:ascii="Times New Roman" w:hAnsi="Times New Roman" w:cs="Times New Roman"/>
          <w:sz w:val="28"/>
          <w:szCs w:val="28"/>
          <w:lang w:val="lv-LV"/>
        </w:rPr>
        <w:t xml:space="preserve">nodokļu atlaižu piemērošanas periodā </w:t>
      </w:r>
      <w:r w:rsidRPr="0039576F">
        <w:rPr>
          <w:rFonts w:ascii="Times New Roman" w:hAnsi="Times New Roman" w:cs="Times New Roman"/>
          <w:sz w:val="28"/>
          <w:szCs w:val="28"/>
          <w:lang w:val="lv-LV"/>
        </w:rPr>
        <w:t xml:space="preserve">skaidri nodala </w:t>
      </w:r>
      <w:r w:rsidR="00B14AD3" w:rsidRPr="0039576F">
        <w:rPr>
          <w:rFonts w:ascii="Times New Roman" w:hAnsi="Times New Roman" w:cs="Times New Roman"/>
          <w:sz w:val="28"/>
          <w:szCs w:val="28"/>
          <w:lang w:val="lv-LV"/>
        </w:rPr>
        <w:t xml:space="preserve">ar </w:t>
      </w:r>
      <w:r w:rsidRPr="0039576F">
        <w:rPr>
          <w:rFonts w:ascii="Times New Roman" w:hAnsi="Times New Roman" w:cs="Times New Roman"/>
          <w:sz w:val="28"/>
          <w:szCs w:val="28"/>
          <w:lang w:val="lv-LV"/>
        </w:rPr>
        <w:t xml:space="preserve">atbalstāmā ieguldījumu projekta </w:t>
      </w:r>
      <w:r w:rsidR="00B14AD3" w:rsidRPr="0039576F">
        <w:rPr>
          <w:rFonts w:ascii="Times New Roman" w:hAnsi="Times New Roman" w:cs="Times New Roman"/>
          <w:sz w:val="28"/>
          <w:szCs w:val="28"/>
          <w:lang w:val="lv-LV"/>
        </w:rPr>
        <w:t>saistīto</w:t>
      </w:r>
      <w:r w:rsidR="001F16AD" w:rsidRPr="0039576F">
        <w:rPr>
          <w:rFonts w:ascii="Times New Roman" w:hAnsi="Times New Roman" w:cs="Times New Roman"/>
          <w:sz w:val="28"/>
          <w:szCs w:val="28"/>
          <w:lang w:val="lv-LV"/>
        </w:rPr>
        <w:t xml:space="preserve"> finanšu plūsm</w:t>
      </w:r>
      <w:r w:rsidR="00B14AD3" w:rsidRPr="0039576F">
        <w:rPr>
          <w:rFonts w:ascii="Times New Roman" w:hAnsi="Times New Roman" w:cs="Times New Roman"/>
          <w:sz w:val="28"/>
          <w:szCs w:val="28"/>
          <w:lang w:val="lv-LV"/>
        </w:rPr>
        <w:t>u</w:t>
      </w:r>
      <w:r w:rsidR="001F16AD" w:rsidRPr="0039576F">
        <w:rPr>
          <w:rFonts w:ascii="Times New Roman" w:hAnsi="Times New Roman" w:cs="Times New Roman"/>
          <w:sz w:val="28"/>
          <w:szCs w:val="28"/>
          <w:lang w:val="lv-LV"/>
        </w:rPr>
        <w:t xml:space="preserve"> no</w:t>
      </w:r>
      <w:r w:rsidR="00865A69" w:rsidRPr="0039576F">
        <w:rPr>
          <w:rFonts w:ascii="Times New Roman" w:hAnsi="Times New Roman" w:cs="Times New Roman"/>
          <w:sz w:val="28"/>
          <w:szCs w:val="28"/>
          <w:lang w:val="lv-LV"/>
        </w:rPr>
        <w:t xml:space="preserve"> citu tās </w:t>
      </w:r>
      <w:r w:rsidR="001F16AD" w:rsidRPr="0039576F">
        <w:rPr>
          <w:rFonts w:ascii="Times New Roman" w:hAnsi="Times New Roman" w:cs="Times New Roman"/>
          <w:sz w:val="28"/>
          <w:szCs w:val="28"/>
          <w:lang w:val="lv-LV"/>
        </w:rPr>
        <w:t>darbības nozaru finanšu plūsm</w:t>
      </w:r>
      <w:r w:rsidR="00865A69" w:rsidRPr="0039576F">
        <w:rPr>
          <w:rFonts w:ascii="Times New Roman" w:hAnsi="Times New Roman" w:cs="Times New Roman"/>
          <w:sz w:val="28"/>
          <w:szCs w:val="28"/>
          <w:lang w:val="lv-LV"/>
        </w:rPr>
        <w:t>ām</w:t>
      </w:r>
      <w:r w:rsidR="001F16AD" w:rsidRPr="0039576F">
        <w:rPr>
          <w:rFonts w:ascii="Times New Roman" w:hAnsi="Times New Roman" w:cs="Times New Roman"/>
          <w:sz w:val="28"/>
          <w:szCs w:val="28"/>
          <w:lang w:val="lv-LV"/>
        </w:rPr>
        <w:t xml:space="preserve">. </w:t>
      </w:r>
    </w:p>
    <w:p w:rsidR="00E31C7A" w:rsidRDefault="00E31C7A" w:rsidP="00E31C7A">
      <w:pPr>
        <w:spacing w:after="0" w:line="240" w:lineRule="auto"/>
        <w:jc w:val="both"/>
        <w:rPr>
          <w:rFonts w:ascii="Times New Roman" w:hAnsi="Times New Roman" w:cs="Times New Roman"/>
          <w:b/>
          <w:bCs/>
          <w:sz w:val="28"/>
          <w:szCs w:val="28"/>
          <w:lang w:val="lv-LV"/>
        </w:rPr>
      </w:pPr>
    </w:p>
    <w:p w:rsidR="002178F7" w:rsidRDefault="007025BB" w:rsidP="00E31C7A">
      <w:pPr>
        <w:spacing w:after="0" w:line="240" w:lineRule="auto"/>
        <w:ind w:firstLine="708"/>
        <w:jc w:val="both"/>
        <w:rPr>
          <w:rFonts w:ascii="Times New Roman" w:hAnsi="Times New Roman" w:cs="Times New Roman"/>
          <w:b/>
          <w:bCs/>
          <w:sz w:val="28"/>
          <w:szCs w:val="28"/>
          <w:lang w:val="lv-LV"/>
        </w:rPr>
      </w:pPr>
      <w:r w:rsidRPr="0039576F">
        <w:rPr>
          <w:rFonts w:ascii="Times New Roman" w:hAnsi="Times New Roman" w:cs="Times New Roman"/>
          <w:b/>
          <w:bCs/>
          <w:sz w:val="28"/>
          <w:szCs w:val="28"/>
          <w:lang w:val="lv-LV"/>
        </w:rPr>
        <w:t xml:space="preserve">6.pants. </w:t>
      </w:r>
      <w:r w:rsidR="002178F7" w:rsidRPr="0039576F">
        <w:rPr>
          <w:rFonts w:ascii="Times New Roman" w:hAnsi="Times New Roman" w:cs="Times New Roman"/>
          <w:b/>
          <w:bCs/>
          <w:sz w:val="28"/>
          <w:szCs w:val="28"/>
          <w:lang w:val="lv-LV"/>
        </w:rPr>
        <w:t>Valsts atbalsta piešķiršanas ierobežojumi</w:t>
      </w:r>
    </w:p>
    <w:p w:rsidR="00AD09E5" w:rsidRPr="0039576F" w:rsidRDefault="00AD09E5" w:rsidP="00E31C7A">
      <w:pPr>
        <w:spacing w:after="0" w:line="240" w:lineRule="auto"/>
        <w:ind w:firstLine="708"/>
        <w:jc w:val="both"/>
        <w:rPr>
          <w:rFonts w:ascii="Times New Roman" w:hAnsi="Times New Roman" w:cs="Times New Roman"/>
          <w:b/>
          <w:bCs/>
          <w:sz w:val="28"/>
          <w:szCs w:val="28"/>
          <w:lang w:val="lv-LV"/>
        </w:rPr>
      </w:pPr>
    </w:p>
    <w:p w:rsidR="002178F7" w:rsidRPr="0039576F" w:rsidRDefault="002178F7"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Tiesības piemērot tiešo nodokļu atvieglojumus nepiešķir, ja:</w:t>
      </w:r>
    </w:p>
    <w:p w:rsidR="002178F7" w:rsidRPr="0039576F" w:rsidRDefault="002178F7"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1) izpildās Komisijas regulas </w:t>
      </w:r>
      <w:hyperlink r:id="rId15" w:history="1">
        <w:r w:rsidRPr="0039576F">
          <w:rPr>
            <w:rStyle w:val="Hyperlink"/>
            <w:rFonts w:ascii="Times New Roman" w:hAnsi="Times New Roman" w:cs="Times New Roman"/>
            <w:color w:val="auto"/>
            <w:sz w:val="28"/>
            <w:szCs w:val="28"/>
            <w:u w:val="none"/>
            <w:lang w:val="lv-LV"/>
          </w:rPr>
          <w:t>Nr.651/2014</w:t>
        </w:r>
      </w:hyperlink>
      <w:r w:rsidRPr="0039576F">
        <w:rPr>
          <w:rFonts w:ascii="Times New Roman" w:hAnsi="Times New Roman" w:cs="Times New Roman"/>
          <w:sz w:val="28"/>
          <w:szCs w:val="28"/>
          <w:lang w:val="lv-LV"/>
        </w:rPr>
        <w:t xml:space="preserve"> 1.panta 2.punkta "c" un "d" apakšpunkta un 4.punkta "a" un "c" apakšpunkta nosacījumi;</w:t>
      </w:r>
    </w:p>
    <w:p w:rsidR="002178F7" w:rsidRPr="0039576F" w:rsidRDefault="002178F7"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2) ārstniecības iestāde divu gadu laikā pirms pieteikuma iesniegšanas līguma par ieguldījumu veikšanu slēgšanai ir beigusi to pašu vai līdzīgu darbību, kā definēts Komisijas regulas </w:t>
      </w:r>
      <w:hyperlink r:id="rId16" w:history="1">
        <w:r w:rsidRPr="0039576F">
          <w:rPr>
            <w:rStyle w:val="Hyperlink"/>
            <w:rFonts w:ascii="Times New Roman" w:hAnsi="Times New Roman" w:cs="Times New Roman"/>
            <w:color w:val="auto"/>
            <w:sz w:val="28"/>
            <w:szCs w:val="28"/>
            <w:u w:val="none"/>
            <w:lang w:val="lv-LV"/>
          </w:rPr>
          <w:t>Nr.651/2014</w:t>
        </w:r>
      </w:hyperlink>
      <w:r w:rsidRPr="0039576F">
        <w:rPr>
          <w:rFonts w:ascii="Times New Roman" w:hAnsi="Times New Roman" w:cs="Times New Roman"/>
          <w:sz w:val="28"/>
          <w:szCs w:val="28"/>
          <w:lang w:val="lv-LV"/>
        </w:rPr>
        <w:t xml:space="preserve"> 2.panta 50.punktā, Eiropas ekonomiskā zonā vai ārstniecības iestādei ir konkrēti plāni izbeigt šādu darbību divu gadu laikā pēc tam, kad līgumā par ieguldījumu veikšanu noteiktais ieguldījumu projekts ir pabeigts.</w:t>
      </w:r>
    </w:p>
    <w:p w:rsidR="00B64986" w:rsidRPr="0039576F" w:rsidRDefault="00B64986" w:rsidP="00E31C7A">
      <w:pPr>
        <w:spacing w:after="0" w:line="240" w:lineRule="auto"/>
        <w:jc w:val="both"/>
        <w:rPr>
          <w:rFonts w:ascii="Times New Roman" w:hAnsi="Times New Roman" w:cs="Times New Roman"/>
          <w:sz w:val="28"/>
          <w:szCs w:val="28"/>
          <w:lang w:val="lv-LV"/>
        </w:rPr>
      </w:pPr>
    </w:p>
    <w:p w:rsidR="006F6978" w:rsidRDefault="006F6978" w:rsidP="00E31C7A">
      <w:pPr>
        <w:spacing w:after="0" w:line="240" w:lineRule="auto"/>
        <w:jc w:val="center"/>
        <w:rPr>
          <w:rFonts w:ascii="Times New Roman" w:hAnsi="Times New Roman" w:cs="Times New Roman"/>
          <w:b/>
          <w:bCs/>
          <w:sz w:val="28"/>
          <w:szCs w:val="28"/>
          <w:lang w:val="lv-LV"/>
        </w:rPr>
      </w:pPr>
      <w:r w:rsidRPr="0039576F">
        <w:rPr>
          <w:rFonts w:ascii="Times New Roman" w:hAnsi="Times New Roman" w:cs="Times New Roman"/>
          <w:b/>
          <w:bCs/>
          <w:sz w:val="28"/>
          <w:szCs w:val="28"/>
          <w:lang w:val="lv-LV"/>
        </w:rPr>
        <w:t>II nodaļa</w:t>
      </w:r>
      <w:r w:rsidR="00E31C7A">
        <w:rPr>
          <w:rFonts w:ascii="Times New Roman" w:hAnsi="Times New Roman" w:cs="Times New Roman"/>
          <w:b/>
          <w:bCs/>
          <w:sz w:val="28"/>
          <w:szCs w:val="28"/>
          <w:lang w:val="lv-LV"/>
        </w:rPr>
        <w:t>.</w:t>
      </w:r>
      <w:r w:rsidRPr="0039576F">
        <w:rPr>
          <w:rFonts w:ascii="Times New Roman" w:hAnsi="Times New Roman" w:cs="Times New Roman"/>
          <w:b/>
          <w:bCs/>
          <w:sz w:val="28"/>
          <w:szCs w:val="28"/>
          <w:lang w:val="lv-LV"/>
        </w:rPr>
        <w:t xml:space="preserve"> Tiešo nodokļu atlaižu piemērošana</w:t>
      </w:r>
      <w:r w:rsidR="00F107D9" w:rsidRPr="0039576F">
        <w:rPr>
          <w:rFonts w:ascii="Times New Roman" w:hAnsi="Times New Roman" w:cs="Times New Roman"/>
          <w:b/>
          <w:bCs/>
          <w:sz w:val="28"/>
          <w:szCs w:val="28"/>
          <w:lang w:val="lv-LV"/>
        </w:rPr>
        <w:t>s nosacījumi</w:t>
      </w:r>
    </w:p>
    <w:p w:rsidR="00E31C7A" w:rsidRPr="0039576F" w:rsidRDefault="00E31C7A" w:rsidP="00E31C7A">
      <w:pPr>
        <w:spacing w:after="0" w:line="240" w:lineRule="auto"/>
        <w:jc w:val="center"/>
        <w:rPr>
          <w:rFonts w:ascii="Times New Roman" w:hAnsi="Times New Roman" w:cs="Times New Roman"/>
          <w:b/>
          <w:bCs/>
          <w:sz w:val="28"/>
          <w:szCs w:val="28"/>
          <w:lang w:val="lv-LV"/>
        </w:rPr>
      </w:pPr>
    </w:p>
    <w:p w:rsidR="00160B2C" w:rsidRDefault="007025BB" w:rsidP="00E31C7A">
      <w:pPr>
        <w:spacing w:after="0" w:line="240" w:lineRule="auto"/>
        <w:ind w:firstLine="708"/>
        <w:jc w:val="both"/>
        <w:rPr>
          <w:rFonts w:ascii="Times New Roman" w:hAnsi="Times New Roman" w:cs="Times New Roman"/>
          <w:b/>
          <w:bCs/>
          <w:sz w:val="28"/>
          <w:szCs w:val="28"/>
          <w:lang w:val="lv-LV"/>
        </w:rPr>
      </w:pPr>
      <w:r w:rsidRPr="0039576F">
        <w:rPr>
          <w:rFonts w:ascii="Times New Roman" w:hAnsi="Times New Roman" w:cs="Times New Roman"/>
          <w:b/>
          <w:bCs/>
          <w:sz w:val="28"/>
          <w:szCs w:val="28"/>
          <w:lang w:val="lv-LV"/>
        </w:rPr>
        <w:t>7</w:t>
      </w:r>
      <w:r w:rsidR="00160B2C" w:rsidRPr="0039576F">
        <w:rPr>
          <w:rFonts w:ascii="Times New Roman" w:hAnsi="Times New Roman" w:cs="Times New Roman"/>
          <w:b/>
          <w:bCs/>
          <w:sz w:val="28"/>
          <w:szCs w:val="28"/>
          <w:lang w:val="lv-LV"/>
        </w:rPr>
        <w:t xml:space="preserve">.pants. </w:t>
      </w:r>
      <w:r w:rsidR="00D917F9" w:rsidRPr="0039576F">
        <w:rPr>
          <w:rFonts w:ascii="Times New Roman" w:hAnsi="Times New Roman" w:cs="Times New Roman"/>
          <w:b/>
          <w:bCs/>
          <w:sz w:val="28"/>
          <w:szCs w:val="28"/>
          <w:lang w:val="lv-LV"/>
        </w:rPr>
        <w:t>Tiesīb</w:t>
      </w:r>
      <w:r w:rsidR="007247FE" w:rsidRPr="0039576F">
        <w:rPr>
          <w:rFonts w:ascii="Times New Roman" w:hAnsi="Times New Roman" w:cs="Times New Roman"/>
          <w:b/>
          <w:bCs/>
          <w:sz w:val="28"/>
          <w:szCs w:val="28"/>
          <w:lang w:val="lv-LV"/>
        </w:rPr>
        <w:t>as</w:t>
      </w:r>
      <w:r w:rsidR="00D917F9" w:rsidRPr="0039576F">
        <w:rPr>
          <w:rFonts w:ascii="Times New Roman" w:hAnsi="Times New Roman" w:cs="Times New Roman"/>
          <w:b/>
          <w:bCs/>
          <w:sz w:val="28"/>
          <w:szCs w:val="28"/>
          <w:lang w:val="lv-LV"/>
        </w:rPr>
        <w:t xml:space="preserve"> piemērot tiešo nodokļu atlaides</w:t>
      </w:r>
    </w:p>
    <w:p w:rsidR="00AD09E5" w:rsidRPr="0039576F" w:rsidRDefault="00AD09E5" w:rsidP="00E31C7A">
      <w:pPr>
        <w:spacing w:after="0" w:line="240" w:lineRule="auto"/>
        <w:ind w:firstLine="708"/>
        <w:jc w:val="both"/>
        <w:rPr>
          <w:rFonts w:ascii="Times New Roman" w:hAnsi="Times New Roman" w:cs="Times New Roman"/>
          <w:b/>
          <w:bCs/>
          <w:sz w:val="28"/>
          <w:szCs w:val="28"/>
          <w:lang w:val="lv-LV"/>
        </w:rPr>
      </w:pPr>
    </w:p>
    <w:p w:rsidR="00D01340" w:rsidRPr="0039576F" w:rsidRDefault="00D01340"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(1) </w:t>
      </w:r>
      <w:r w:rsidR="00160B2C" w:rsidRPr="0039576F">
        <w:rPr>
          <w:rFonts w:ascii="Times New Roman" w:hAnsi="Times New Roman" w:cs="Times New Roman"/>
          <w:sz w:val="28"/>
          <w:szCs w:val="28"/>
          <w:lang w:val="lv-LV"/>
        </w:rPr>
        <w:t xml:space="preserve">Lai ārstniecības iestāde iegūtu tiesības piemērot tiešo nodokļu </w:t>
      </w:r>
      <w:r w:rsidR="00D917F9" w:rsidRPr="0039576F">
        <w:rPr>
          <w:rFonts w:ascii="Times New Roman" w:hAnsi="Times New Roman" w:cs="Times New Roman"/>
          <w:sz w:val="28"/>
          <w:szCs w:val="28"/>
          <w:lang w:val="lv-LV"/>
        </w:rPr>
        <w:t>atlaides</w:t>
      </w:r>
      <w:r w:rsidR="00160B2C" w:rsidRPr="0039576F">
        <w:rPr>
          <w:rFonts w:ascii="Times New Roman" w:hAnsi="Times New Roman" w:cs="Times New Roman"/>
          <w:sz w:val="28"/>
          <w:szCs w:val="28"/>
          <w:lang w:val="lv-LV"/>
        </w:rPr>
        <w:t>, tā iesniedz</w:t>
      </w:r>
      <w:r w:rsidR="002178F7" w:rsidRPr="0039576F">
        <w:rPr>
          <w:rFonts w:ascii="Times New Roman" w:hAnsi="Times New Roman" w:cs="Times New Roman"/>
          <w:sz w:val="28"/>
          <w:szCs w:val="28"/>
          <w:lang w:val="lv-LV"/>
        </w:rPr>
        <w:t xml:space="preserve"> Veselības inspekcijā </w:t>
      </w:r>
      <w:r w:rsidR="00160B2C" w:rsidRPr="0039576F">
        <w:rPr>
          <w:rFonts w:ascii="Times New Roman" w:hAnsi="Times New Roman" w:cs="Times New Roman"/>
          <w:sz w:val="28"/>
          <w:szCs w:val="28"/>
          <w:lang w:val="lv-LV"/>
        </w:rPr>
        <w:t>ieguldījumu projekta pieteikumu.</w:t>
      </w:r>
      <w:r w:rsidRPr="0039576F">
        <w:rPr>
          <w:rFonts w:ascii="Times New Roman" w:hAnsi="Times New Roman" w:cs="Times New Roman"/>
          <w:sz w:val="28"/>
          <w:szCs w:val="28"/>
          <w:lang w:val="lv-LV"/>
        </w:rPr>
        <w:t xml:space="preserve"> </w:t>
      </w:r>
    </w:p>
    <w:p w:rsidR="009E63C2" w:rsidRPr="0039576F" w:rsidRDefault="009E63C2"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(2) </w:t>
      </w:r>
      <w:r w:rsidR="00716834" w:rsidRPr="0039576F">
        <w:rPr>
          <w:rFonts w:ascii="Times New Roman" w:hAnsi="Times New Roman" w:cs="Times New Roman"/>
          <w:sz w:val="28"/>
          <w:szCs w:val="28"/>
          <w:lang w:val="lv-LV"/>
        </w:rPr>
        <w:t>Tiešo nodokļu atvieglojumu piemērošanas nosacījumus nosaka līgumā par ieguldījumu veikšanu, kas noslēgts starp ārstniecības iestādi un Veselības inspekciju.</w:t>
      </w:r>
    </w:p>
    <w:p w:rsidR="00EA7D36" w:rsidRPr="0039576F" w:rsidRDefault="009E63C2"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(3</w:t>
      </w:r>
      <w:r w:rsidR="00D01340" w:rsidRPr="0039576F">
        <w:rPr>
          <w:rFonts w:ascii="Times New Roman" w:hAnsi="Times New Roman" w:cs="Times New Roman"/>
          <w:sz w:val="28"/>
          <w:szCs w:val="28"/>
          <w:lang w:val="lv-LV"/>
        </w:rPr>
        <w:t xml:space="preserve">) </w:t>
      </w:r>
      <w:r w:rsidR="00716834" w:rsidRPr="0039576F">
        <w:rPr>
          <w:rFonts w:ascii="Times New Roman" w:hAnsi="Times New Roman" w:cs="Times New Roman"/>
          <w:sz w:val="28"/>
          <w:szCs w:val="28"/>
          <w:lang w:val="lv-LV"/>
        </w:rPr>
        <w:t xml:space="preserve">Veselības inspekcija </w:t>
      </w:r>
      <w:r w:rsidR="005257F7" w:rsidRPr="0039576F">
        <w:rPr>
          <w:rFonts w:ascii="Times New Roman" w:hAnsi="Times New Roman" w:cs="Times New Roman"/>
          <w:sz w:val="28"/>
          <w:szCs w:val="28"/>
          <w:lang w:val="lv-LV"/>
        </w:rPr>
        <w:t>neslēdz ar ārstniecības iestādi līgumu par ieguldījumu</w:t>
      </w:r>
      <w:r w:rsidR="00716834" w:rsidRPr="0039576F">
        <w:rPr>
          <w:rFonts w:ascii="Times New Roman" w:hAnsi="Times New Roman" w:cs="Times New Roman"/>
          <w:sz w:val="28"/>
          <w:szCs w:val="28"/>
          <w:lang w:val="lv-LV"/>
        </w:rPr>
        <w:t xml:space="preserve"> veikšanu un nenosaka tiesības piemērot tiešo nodokļu atlaides, ja ārstniecības iestāde ieguldījuma projekta īstenošanu uzsākusi pirms projekta pieteikuma iesniegšanas Veselības inspekcijā. Par ieguldījumu projekta īstenošanas uzsākšanas dienu uzskata dienu, kad tiek sākti būvdarbi vai kad ārstniecības iestāde uzņemas pirmās noteiktās iekārtu pasūtījuma saistības vai citas saistības, kas padara ieguldījumu neatgriezenisku, izņemot zemes pirkšanu un tādus sagatavošanās darbus kā atļauju saņemšana un priekšizpētes veikšana.</w:t>
      </w:r>
    </w:p>
    <w:p w:rsidR="000D7BE4" w:rsidRPr="0039576F" w:rsidRDefault="009E63C2"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(4</w:t>
      </w:r>
      <w:r w:rsidR="000D7BE4" w:rsidRPr="0039576F">
        <w:rPr>
          <w:rFonts w:ascii="Times New Roman" w:hAnsi="Times New Roman" w:cs="Times New Roman"/>
          <w:sz w:val="28"/>
          <w:szCs w:val="28"/>
          <w:lang w:val="lv-LV"/>
        </w:rPr>
        <w:t>) Līgumā par ieguldījumu veikšanu paredzētais ieguldījumu veikšanas termiņš nepārsniedz piecus gadus no līguma slēgšanas dienas.</w:t>
      </w:r>
    </w:p>
    <w:p w:rsidR="00F80355" w:rsidRPr="0039576F" w:rsidRDefault="009E63C2"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(5</w:t>
      </w:r>
      <w:r w:rsidR="000D7BE4" w:rsidRPr="0039576F">
        <w:rPr>
          <w:rFonts w:ascii="Times New Roman" w:hAnsi="Times New Roman" w:cs="Times New Roman"/>
          <w:sz w:val="28"/>
          <w:szCs w:val="28"/>
          <w:lang w:val="lv-LV"/>
        </w:rPr>
        <w:t xml:space="preserve">) </w:t>
      </w:r>
      <w:r w:rsidR="00F80355" w:rsidRPr="0039576F">
        <w:rPr>
          <w:rFonts w:ascii="Times New Roman" w:hAnsi="Times New Roman" w:cs="Times New Roman"/>
          <w:sz w:val="28"/>
          <w:szCs w:val="28"/>
          <w:lang w:val="lv-LV"/>
        </w:rPr>
        <w:t>Veselības inspekcija lauž noslēgto līgumu par ieguldījumu veikšanu</w:t>
      </w:r>
      <w:r w:rsidR="0096212D" w:rsidRPr="0039576F">
        <w:rPr>
          <w:rFonts w:ascii="Times New Roman" w:hAnsi="Times New Roman" w:cs="Times New Roman"/>
          <w:sz w:val="28"/>
          <w:szCs w:val="28"/>
          <w:lang w:val="lv-LV"/>
        </w:rPr>
        <w:t xml:space="preserve"> </w:t>
      </w:r>
      <w:r w:rsidR="00321518" w:rsidRPr="0039576F">
        <w:rPr>
          <w:rFonts w:ascii="Times New Roman" w:hAnsi="Times New Roman" w:cs="Times New Roman"/>
          <w:sz w:val="28"/>
          <w:szCs w:val="28"/>
          <w:lang w:val="lv-LV"/>
        </w:rPr>
        <w:t>un ārstniecības iestāde zaudē tiesības piemērot šajā likumā noteiktās tiešo nodokļu atlaides</w:t>
      </w:r>
      <w:r w:rsidR="00F80355" w:rsidRPr="0039576F">
        <w:rPr>
          <w:rFonts w:ascii="Times New Roman" w:hAnsi="Times New Roman" w:cs="Times New Roman"/>
          <w:sz w:val="28"/>
          <w:szCs w:val="28"/>
          <w:lang w:val="lv-LV"/>
        </w:rPr>
        <w:t xml:space="preserve">, </w:t>
      </w:r>
      <w:r w:rsidR="00321518" w:rsidRPr="0039576F">
        <w:rPr>
          <w:rFonts w:ascii="Times New Roman" w:hAnsi="Times New Roman" w:cs="Times New Roman"/>
          <w:sz w:val="28"/>
          <w:szCs w:val="28"/>
          <w:lang w:val="lv-LV"/>
        </w:rPr>
        <w:t xml:space="preserve">ja gada laikā pēc līguma noslēgšanas ārstniecības iestāde nav uzsākusi darbus pie ieguldījumu projekta īstenošanas.  </w:t>
      </w:r>
    </w:p>
    <w:p w:rsidR="009E63C2" w:rsidRDefault="00F80355"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(6) </w:t>
      </w:r>
      <w:r w:rsidR="009E63C2" w:rsidRPr="0039576F">
        <w:rPr>
          <w:rFonts w:ascii="Times New Roman" w:hAnsi="Times New Roman" w:cs="Times New Roman"/>
          <w:sz w:val="28"/>
          <w:szCs w:val="28"/>
          <w:lang w:val="lv-LV"/>
        </w:rPr>
        <w:t>Līgumu ar ārstniecības iestādi</w:t>
      </w:r>
      <w:r w:rsidR="00FA1FEF" w:rsidRPr="0039576F">
        <w:rPr>
          <w:rFonts w:ascii="Times New Roman" w:hAnsi="Times New Roman" w:cs="Times New Roman"/>
          <w:sz w:val="28"/>
          <w:szCs w:val="28"/>
          <w:lang w:val="lv-LV"/>
        </w:rPr>
        <w:t xml:space="preserve"> par ieguldījumu veikšanu saskaņā ar šī likuma nosacījumiem drīkst slēgt līdz 2020.gada 30.decembrim.</w:t>
      </w:r>
    </w:p>
    <w:p w:rsidR="00AD09E5" w:rsidRPr="0039576F" w:rsidRDefault="00AD09E5" w:rsidP="00E31C7A">
      <w:pPr>
        <w:spacing w:after="0" w:line="240" w:lineRule="auto"/>
        <w:ind w:firstLine="708"/>
        <w:jc w:val="both"/>
        <w:rPr>
          <w:rFonts w:ascii="Times New Roman" w:hAnsi="Times New Roman" w:cs="Times New Roman"/>
          <w:sz w:val="28"/>
          <w:szCs w:val="28"/>
          <w:lang w:val="lv-LV"/>
        </w:rPr>
      </w:pPr>
    </w:p>
    <w:p w:rsidR="00E31C7A" w:rsidRDefault="00E31C7A" w:rsidP="00E31C7A">
      <w:pPr>
        <w:spacing w:after="0" w:line="240" w:lineRule="auto"/>
        <w:jc w:val="both"/>
        <w:rPr>
          <w:rFonts w:ascii="Times New Roman" w:hAnsi="Times New Roman" w:cs="Times New Roman"/>
          <w:b/>
          <w:bCs/>
          <w:sz w:val="28"/>
          <w:szCs w:val="28"/>
          <w:lang w:val="lv-LV"/>
        </w:rPr>
      </w:pPr>
    </w:p>
    <w:p w:rsidR="00F107D9" w:rsidRDefault="007025BB" w:rsidP="00E31C7A">
      <w:pPr>
        <w:spacing w:after="0" w:line="240" w:lineRule="auto"/>
        <w:ind w:firstLine="708"/>
        <w:jc w:val="both"/>
        <w:rPr>
          <w:rFonts w:ascii="Times New Roman" w:hAnsi="Times New Roman" w:cs="Times New Roman"/>
          <w:b/>
          <w:bCs/>
          <w:sz w:val="28"/>
          <w:szCs w:val="28"/>
          <w:lang w:val="lv-LV"/>
        </w:rPr>
      </w:pPr>
      <w:r w:rsidRPr="0039576F">
        <w:rPr>
          <w:rFonts w:ascii="Times New Roman" w:hAnsi="Times New Roman" w:cs="Times New Roman"/>
          <w:b/>
          <w:bCs/>
          <w:sz w:val="28"/>
          <w:szCs w:val="28"/>
          <w:lang w:val="lv-LV"/>
        </w:rPr>
        <w:lastRenderedPageBreak/>
        <w:t>8</w:t>
      </w:r>
      <w:r w:rsidR="00F107D9" w:rsidRPr="0039576F">
        <w:rPr>
          <w:rFonts w:ascii="Times New Roman" w:hAnsi="Times New Roman" w:cs="Times New Roman"/>
          <w:b/>
          <w:bCs/>
          <w:sz w:val="28"/>
          <w:szCs w:val="28"/>
          <w:lang w:val="lv-LV"/>
        </w:rPr>
        <w:t>.pants.</w:t>
      </w:r>
      <w:r w:rsidR="00CC0A82" w:rsidRPr="0039576F">
        <w:rPr>
          <w:rFonts w:ascii="Times New Roman" w:hAnsi="Times New Roman" w:cs="Times New Roman"/>
          <w:b/>
          <w:bCs/>
          <w:sz w:val="28"/>
          <w:szCs w:val="28"/>
          <w:lang w:val="lv-LV"/>
        </w:rPr>
        <w:t xml:space="preserve"> Nekustamā īpašuma nodokļa atlaide</w:t>
      </w:r>
      <w:r w:rsidR="00300833" w:rsidRPr="0039576F">
        <w:rPr>
          <w:rFonts w:ascii="Times New Roman" w:hAnsi="Times New Roman" w:cs="Times New Roman"/>
          <w:b/>
          <w:bCs/>
          <w:sz w:val="28"/>
          <w:szCs w:val="28"/>
          <w:lang w:val="lv-LV"/>
        </w:rPr>
        <w:t xml:space="preserve"> </w:t>
      </w:r>
    </w:p>
    <w:p w:rsidR="00AD09E5" w:rsidRPr="0039576F" w:rsidRDefault="00AD09E5" w:rsidP="00E31C7A">
      <w:pPr>
        <w:spacing w:after="0" w:line="240" w:lineRule="auto"/>
        <w:ind w:firstLine="708"/>
        <w:jc w:val="both"/>
        <w:rPr>
          <w:rFonts w:ascii="Times New Roman" w:hAnsi="Times New Roman" w:cs="Times New Roman"/>
          <w:b/>
          <w:bCs/>
          <w:sz w:val="28"/>
          <w:szCs w:val="28"/>
          <w:lang w:val="lv-LV"/>
        </w:rPr>
      </w:pPr>
    </w:p>
    <w:p w:rsidR="00D01340" w:rsidRPr="0039576F" w:rsidRDefault="00CC747B"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(1) </w:t>
      </w:r>
      <w:r w:rsidR="00621B06" w:rsidRPr="0039576F">
        <w:rPr>
          <w:rFonts w:ascii="Times New Roman" w:hAnsi="Times New Roman" w:cs="Times New Roman"/>
          <w:sz w:val="28"/>
          <w:szCs w:val="28"/>
          <w:lang w:val="lv-LV"/>
        </w:rPr>
        <w:t>Pašvaldība piemēro ā</w:t>
      </w:r>
      <w:r w:rsidRPr="0039576F">
        <w:rPr>
          <w:rFonts w:ascii="Times New Roman" w:hAnsi="Times New Roman" w:cs="Times New Roman"/>
          <w:sz w:val="28"/>
          <w:szCs w:val="28"/>
          <w:lang w:val="lv-LV"/>
        </w:rPr>
        <w:t>rstniecības iestāde</w:t>
      </w:r>
      <w:r w:rsidR="00621B06" w:rsidRPr="0039576F">
        <w:rPr>
          <w:rFonts w:ascii="Times New Roman" w:hAnsi="Times New Roman" w:cs="Times New Roman"/>
          <w:sz w:val="28"/>
          <w:szCs w:val="28"/>
          <w:lang w:val="lv-LV"/>
        </w:rPr>
        <w:t>i</w:t>
      </w:r>
      <w:r w:rsidR="00E33AEE" w:rsidRPr="0039576F">
        <w:rPr>
          <w:rFonts w:ascii="Times New Roman" w:hAnsi="Times New Roman" w:cs="Times New Roman"/>
          <w:sz w:val="28"/>
          <w:szCs w:val="28"/>
          <w:lang w:val="lv-LV"/>
        </w:rPr>
        <w:t xml:space="preserve"> par tās īpašumā, tiesiskajā valdījumā esošo vai lietošanā piešķirto nekustamo īpašumu</w:t>
      </w:r>
      <w:r w:rsidR="00833435" w:rsidRPr="0039576F">
        <w:rPr>
          <w:rFonts w:ascii="Times New Roman" w:hAnsi="Times New Roman" w:cs="Times New Roman"/>
          <w:sz w:val="28"/>
          <w:szCs w:val="28"/>
          <w:lang w:val="lv-LV"/>
        </w:rPr>
        <w:t xml:space="preserve"> vai tā daļu</w:t>
      </w:r>
      <w:r w:rsidR="00E33AEE" w:rsidRPr="0039576F">
        <w:rPr>
          <w:rFonts w:ascii="Times New Roman" w:hAnsi="Times New Roman" w:cs="Times New Roman"/>
          <w:sz w:val="28"/>
          <w:szCs w:val="28"/>
          <w:lang w:val="lv-LV"/>
        </w:rPr>
        <w:t>, kuru izmanto veselības tūrisma pakalpojumu sniegšanā</w:t>
      </w:r>
      <w:r w:rsidR="00D0613E" w:rsidRPr="0039576F">
        <w:rPr>
          <w:rFonts w:ascii="Times New Roman" w:hAnsi="Times New Roman" w:cs="Times New Roman"/>
          <w:sz w:val="28"/>
          <w:szCs w:val="28"/>
          <w:lang w:val="lv-LV"/>
        </w:rPr>
        <w:t>,</w:t>
      </w:r>
      <w:r w:rsidR="003A2E34" w:rsidRPr="0039576F">
        <w:rPr>
          <w:rFonts w:ascii="Times New Roman" w:hAnsi="Times New Roman" w:cs="Times New Roman"/>
          <w:sz w:val="28"/>
          <w:szCs w:val="28"/>
          <w:lang w:val="lv-LV"/>
        </w:rPr>
        <w:t xml:space="preserve"> nekustamā īpašuma nodokļu atlaidi </w:t>
      </w:r>
      <w:r w:rsidR="00C55118" w:rsidRPr="0039576F">
        <w:rPr>
          <w:rFonts w:ascii="Times New Roman" w:hAnsi="Times New Roman" w:cs="Times New Roman"/>
          <w:sz w:val="28"/>
          <w:szCs w:val="28"/>
          <w:lang w:val="lv-LV"/>
        </w:rPr>
        <w:t>astoņdesmit</w:t>
      </w:r>
      <w:r w:rsidR="003A2E34" w:rsidRPr="0039576F">
        <w:rPr>
          <w:rFonts w:ascii="Times New Roman" w:hAnsi="Times New Roman" w:cs="Times New Roman"/>
          <w:sz w:val="28"/>
          <w:szCs w:val="28"/>
          <w:lang w:val="lv-LV"/>
        </w:rPr>
        <w:t xml:space="preserve"> procentu apmērā no aprēķinā</w:t>
      </w:r>
      <w:r w:rsidR="001449F8" w:rsidRPr="0039576F">
        <w:rPr>
          <w:rFonts w:ascii="Times New Roman" w:hAnsi="Times New Roman" w:cs="Times New Roman"/>
          <w:sz w:val="28"/>
          <w:szCs w:val="28"/>
          <w:lang w:val="lv-LV"/>
        </w:rPr>
        <w:t>tās</w:t>
      </w:r>
      <w:r w:rsidR="003A2E34" w:rsidRPr="0039576F">
        <w:rPr>
          <w:rFonts w:ascii="Times New Roman" w:hAnsi="Times New Roman" w:cs="Times New Roman"/>
          <w:sz w:val="28"/>
          <w:szCs w:val="28"/>
          <w:lang w:val="lv-LV"/>
        </w:rPr>
        <w:t xml:space="preserve"> (bez citu atlaižu piemērošanas) nodokļa summas.</w:t>
      </w:r>
    </w:p>
    <w:p w:rsidR="003A2E34" w:rsidRPr="0039576F" w:rsidRDefault="003A2E34"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(2) Nekustamā īpašuma maksāšanas </w:t>
      </w:r>
      <w:r w:rsidR="009E2135" w:rsidRPr="0039576F">
        <w:rPr>
          <w:rFonts w:ascii="Times New Roman" w:hAnsi="Times New Roman" w:cs="Times New Roman"/>
          <w:sz w:val="28"/>
          <w:szCs w:val="28"/>
          <w:lang w:val="lv-LV"/>
        </w:rPr>
        <w:t xml:space="preserve">paziņojumā pašvaldība norāda taksācijas periodā samaksājamo nekustamā īpašuma nodokļa summu, ņemot vērā šā panta pirmajā daļā noteikto nekustamā īpašuma nodokļa atlaidi. </w:t>
      </w:r>
    </w:p>
    <w:p w:rsidR="00A57F59" w:rsidRPr="0039576F" w:rsidRDefault="009E2135"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(3) </w:t>
      </w:r>
      <w:r w:rsidR="0085451B" w:rsidRPr="0039576F">
        <w:rPr>
          <w:rFonts w:ascii="Times New Roman" w:hAnsi="Times New Roman" w:cs="Times New Roman"/>
          <w:sz w:val="28"/>
          <w:szCs w:val="28"/>
          <w:lang w:val="lv-LV"/>
        </w:rPr>
        <w:t xml:space="preserve">Veselības inspekcija divu kalendāro nedēļu laikā no līguma par ieguldījumu veikšanu slēgšanas dienas informē attiecīgo pašvaldību par ārstniecības iestādes tiesībām pretendēt uz šā panta pirmajā daļā noteikto nekustamā īpašuma nodokļa atlaidi, ievērojot citus līgumā par ieguldījumu veikšanu iekļautos nosacījumus. </w:t>
      </w:r>
    </w:p>
    <w:p w:rsidR="00A57F59" w:rsidRPr="0039576F" w:rsidRDefault="00A57F59"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(4) </w:t>
      </w:r>
      <w:r w:rsidR="009E2135" w:rsidRPr="0039576F">
        <w:rPr>
          <w:rFonts w:ascii="Times New Roman" w:hAnsi="Times New Roman" w:cs="Times New Roman"/>
          <w:sz w:val="28"/>
          <w:szCs w:val="28"/>
          <w:lang w:val="lv-LV"/>
        </w:rPr>
        <w:t>Šā panta pirmajā daļā minēt</w:t>
      </w:r>
      <w:r w:rsidRPr="0039576F">
        <w:rPr>
          <w:rFonts w:ascii="Times New Roman" w:hAnsi="Times New Roman" w:cs="Times New Roman"/>
          <w:sz w:val="28"/>
          <w:szCs w:val="28"/>
          <w:lang w:val="lv-LV"/>
        </w:rPr>
        <w:t>o</w:t>
      </w:r>
      <w:r w:rsidR="009E2135" w:rsidRPr="0039576F">
        <w:rPr>
          <w:rFonts w:ascii="Times New Roman" w:hAnsi="Times New Roman" w:cs="Times New Roman"/>
          <w:sz w:val="28"/>
          <w:szCs w:val="28"/>
          <w:lang w:val="lv-LV"/>
        </w:rPr>
        <w:t xml:space="preserve"> nekustamā īpašuma nodokļa atlaid</w:t>
      </w:r>
      <w:r w:rsidRPr="0039576F">
        <w:rPr>
          <w:rFonts w:ascii="Times New Roman" w:hAnsi="Times New Roman" w:cs="Times New Roman"/>
          <w:sz w:val="28"/>
          <w:szCs w:val="28"/>
          <w:lang w:val="lv-LV"/>
        </w:rPr>
        <w:t>i</w:t>
      </w:r>
      <w:r w:rsidR="009E2135" w:rsidRPr="0039576F">
        <w:rPr>
          <w:rFonts w:ascii="Times New Roman" w:hAnsi="Times New Roman" w:cs="Times New Roman"/>
          <w:sz w:val="28"/>
          <w:szCs w:val="28"/>
          <w:lang w:val="lv-LV"/>
        </w:rPr>
        <w:t xml:space="preserve"> ņem vērā, nosakot pašvaldībām finansu izlīdzināšanas aprēķinā izmantojamo nekustamā īpašuma nodokļa prognozi n</w:t>
      </w:r>
      <w:r w:rsidR="005548D7" w:rsidRPr="0039576F">
        <w:rPr>
          <w:rFonts w:ascii="Times New Roman" w:hAnsi="Times New Roman" w:cs="Times New Roman"/>
          <w:sz w:val="28"/>
          <w:szCs w:val="28"/>
          <w:lang w:val="lv-LV"/>
        </w:rPr>
        <w:t>ākamajam saimnieciskajam gadam</w:t>
      </w:r>
      <w:r w:rsidR="000D2EC3" w:rsidRPr="0039576F">
        <w:rPr>
          <w:rFonts w:ascii="Times New Roman" w:hAnsi="Times New Roman" w:cs="Times New Roman"/>
          <w:sz w:val="28"/>
          <w:szCs w:val="28"/>
          <w:lang w:val="lv-LV"/>
        </w:rPr>
        <w:t>, un to kompensē no pašvaldības izlīdzināšanas fonda</w:t>
      </w:r>
      <w:r w:rsidR="005548D7" w:rsidRPr="0039576F">
        <w:rPr>
          <w:rFonts w:ascii="Times New Roman" w:hAnsi="Times New Roman" w:cs="Times New Roman"/>
          <w:sz w:val="28"/>
          <w:szCs w:val="28"/>
          <w:lang w:val="lv-LV"/>
        </w:rPr>
        <w:t>.</w:t>
      </w:r>
    </w:p>
    <w:p w:rsidR="00E31C7A" w:rsidRDefault="00E31C7A" w:rsidP="00E31C7A">
      <w:pPr>
        <w:spacing w:after="0" w:line="240" w:lineRule="auto"/>
        <w:jc w:val="both"/>
        <w:rPr>
          <w:rFonts w:ascii="Times New Roman" w:hAnsi="Times New Roman" w:cs="Times New Roman"/>
          <w:b/>
          <w:bCs/>
          <w:sz w:val="28"/>
          <w:szCs w:val="28"/>
          <w:lang w:val="lv-LV"/>
        </w:rPr>
      </w:pPr>
    </w:p>
    <w:p w:rsidR="00CC0A82" w:rsidRDefault="007025BB" w:rsidP="00E31C7A">
      <w:pPr>
        <w:spacing w:after="0" w:line="240" w:lineRule="auto"/>
        <w:ind w:firstLine="708"/>
        <w:jc w:val="both"/>
        <w:rPr>
          <w:rFonts w:ascii="Times New Roman" w:hAnsi="Times New Roman" w:cs="Times New Roman"/>
          <w:b/>
          <w:bCs/>
          <w:sz w:val="28"/>
          <w:szCs w:val="28"/>
          <w:lang w:val="lv-LV"/>
        </w:rPr>
      </w:pPr>
      <w:r w:rsidRPr="0039576F">
        <w:rPr>
          <w:rFonts w:ascii="Times New Roman" w:hAnsi="Times New Roman" w:cs="Times New Roman"/>
          <w:b/>
          <w:bCs/>
          <w:sz w:val="28"/>
          <w:szCs w:val="28"/>
          <w:lang w:val="lv-LV"/>
        </w:rPr>
        <w:t>9</w:t>
      </w:r>
      <w:r w:rsidR="00CC0A82" w:rsidRPr="0039576F">
        <w:rPr>
          <w:rFonts w:ascii="Times New Roman" w:hAnsi="Times New Roman" w:cs="Times New Roman"/>
          <w:b/>
          <w:bCs/>
          <w:sz w:val="28"/>
          <w:szCs w:val="28"/>
          <w:lang w:val="lv-LV"/>
        </w:rPr>
        <w:t>.pants. Uzņēmuma ienākuma nodokļa atlaide</w:t>
      </w:r>
      <w:r w:rsidR="00300833" w:rsidRPr="0039576F">
        <w:rPr>
          <w:rFonts w:ascii="Times New Roman" w:hAnsi="Times New Roman" w:cs="Times New Roman"/>
          <w:b/>
          <w:bCs/>
          <w:sz w:val="28"/>
          <w:szCs w:val="28"/>
          <w:lang w:val="lv-LV"/>
        </w:rPr>
        <w:t xml:space="preserve"> </w:t>
      </w:r>
    </w:p>
    <w:p w:rsidR="00AD09E5" w:rsidRPr="0039576F" w:rsidRDefault="00AD09E5" w:rsidP="00E31C7A">
      <w:pPr>
        <w:spacing w:after="0" w:line="240" w:lineRule="auto"/>
        <w:ind w:firstLine="708"/>
        <w:jc w:val="both"/>
        <w:rPr>
          <w:rFonts w:ascii="Times New Roman" w:hAnsi="Times New Roman" w:cs="Times New Roman"/>
          <w:b/>
          <w:bCs/>
          <w:sz w:val="28"/>
          <w:szCs w:val="28"/>
          <w:lang w:val="lv-LV"/>
        </w:rPr>
      </w:pPr>
    </w:p>
    <w:p w:rsidR="00D01340" w:rsidRPr="0039576F" w:rsidRDefault="00956450"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(1) Ārstniecības iestāde </w:t>
      </w:r>
      <w:r w:rsidR="005668D5" w:rsidRPr="0039576F">
        <w:rPr>
          <w:rFonts w:ascii="Times New Roman" w:hAnsi="Times New Roman" w:cs="Times New Roman"/>
          <w:sz w:val="28"/>
          <w:szCs w:val="28"/>
          <w:lang w:val="lv-LV"/>
        </w:rPr>
        <w:t>piemēro</w:t>
      </w:r>
      <w:r w:rsidRPr="0039576F">
        <w:rPr>
          <w:rFonts w:ascii="Times New Roman" w:hAnsi="Times New Roman" w:cs="Times New Roman"/>
          <w:sz w:val="28"/>
          <w:szCs w:val="28"/>
          <w:lang w:val="lv-LV"/>
        </w:rPr>
        <w:t xml:space="preserve"> uzņēmuma ienākuma nodokļa atlaidi </w:t>
      </w:r>
      <w:r w:rsidR="00C55118" w:rsidRPr="0039576F">
        <w:rPr>
          <w:rFonts w:ascii="Times New Roman" w:hAnsi="Times New Roman" w:cs="Times New Roman"/>
          <w:sz w:val="28"/>
          <w:szCs w:val="28"/>
          <w:lang w:val="lv-LV"/>
        </w:rPr>
        <w:t>astoņdesmit</w:t>
      </w:r>
      <w:r w:rsidR="005668D5" w:rsidRPr="0039576F">
        <w:rPr>
          <w:rFonts w:ascii="Times New Roman" w:hAnsi="Times New Roman" w:cs="Times New Roman"/>
          <w:sz w:val="28"/>
          <w:szCs w:val="28"/>
          <w:lang w:val="lv-LV"/>
        </w:rPr>
        <w:t xml:space="preserve"> </w:t>
      </w:r>
      <w:r w:rsidRPr="0039576F">
        <w:rPr>
          <w:rFonts w:ascii="Times New Roman" w:hAnsi="Times New Roman" w:cs="Times New Roman"/>
          <w:sz w:val="28"/>
          <w:szCs w:val="28"/>
          <w:lang w:val="lv-LV"/>
        </w:rPr>
        <w:t>procentu apmērā no aprēķinātās nodokļa summas.</w:t>
      </w:r>
    </w:p>
    <w:p w:rsidR="00956450" w:rsidRPr="0039576F" w:rsidRDefault="00956450"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(2) Ārstniecības iestāde, nosakot uzņēmuma ienākuma nodokļa avansa maksājumus, ņem vērā šā panta pirmajā daļā paredzēto nodokļa atlaidi un avansa maksājumus aprēķina likumā "Par uzņēmuma</w:t>
      </w:r>
      <w:r w:rsidR="00C56D5C" w:rsidRPr="0039576F">
        <w:rPr>
          <w:rFonts w:ascii="Times New Roman" w:hAnsi="Times New Roman" w:cs="Times New Roman"/>
          <w:sz w:val="28"/>
          <w:szCs w:val="28"/>
          <w:lang w:val="lv-LV"/>
        </w:rPr>
        <w:t xml:space="preserve"> ienākuma nodokli" noteiktajā kārtībā.</w:t>
      </w:r>
      <w:r w:rsidRPr="0039576F">
        <w:rPr>
          <w:rFonts w:ascii="Times New Roman" w:hAnsi="Times New Roman" w:cs="Times New Roman"/>
          <w:sz w:val="28"/>
          <w:szCs w:val="28"/>
          <w:lang w:val="lv-LV"/>
        </w:rPr>
        <w:t xml:space="preserve"> </w:t>
      </w:r>
    </w:p>
    <w:p w:rsidR="00E31C7A" w:rsidRDefault="00E31C7A" w:rsidP="00E31C7A">
      <w:pPr>
        <w:spacing w:after="0" w:line="240" w:lineRule="auto"/>
        <w:jc w:val="both"/>
        <w:rPr>
          <w:rFonts w:ascii="Times New Roman" w:hAnsi="Times New Roman" w:cs="Times New Roman"/>
          <w:b/>
          <w:bCs/>
          <w:sz w:val="28"/>
          <w:szCs w:val="28"/>
          <w:lang w:val="lv-LV"/>
        </w:rPr>
      </w:pPr>
    </w:p>
    <w:p w:rsidR="00C63A8D" w:rsidRDefault="007025BB" w:rsidP="00E31C7A">
      <w:pPr>
        <w:spacing w:after="0" w:line="240" w:lineRule="auto"/>
        <w:ind w:firstLine="708"/>
        <w:jc w:val="both"/>
        <w:rPr>
          <w:rFonts w:ascii="Times New Roman" w:hAnsi="Times New Roman" w:cs="Times New Roman"/>
          <w:b/>
          <w:bCs/>
          <w:sz w:val="28"/>
          <w:szCs w:val="28"/>
          <w:lang w:val="lv-LV"/>
        </w:rPr>
      </w:pPr>
      <w:r w:rsidRPr="0039576F">
        <w:rPr>
          <w:rFonts w:ascii="Times New Roman" w:hAnsi="Times New Roman" w:cs="Times New Roman"/>
          <w:b/>
          <w:bCs/>
          <w:sz w:val="28"/>
          <w:szCs w:val="28"/>
          <w:lang w:val="lv-LV"/>
        </w:rPr>
        <w:t>10</w:t>
      </w:r>
      <w:r w:rsidR="00CC0A82" w:rsidRPr="0039576F">
        <w:rPr>
          <w:rFonts w:ascii="Times New Roman" w:hAnsi="Times New Roman" w:cs="Times New Roman"/>
          <w:b/>
          <w:bCs/>
          <w:sz w:val="28"/>
          <w:szCs w:val="28"/>
          <w:lang w:val="lv-LV"/>
        </w:rPr>
        <w:t xml:space="preserve">.pants. </w:t>
      </w:r>
      <w:r w:rsidR="00C63A8D" w:rsidRPr="0039576F">
        <w:rPr>
          <w:rFonts w:ascii="Times New Roman" w:hAnsi="Times New Roman" w:cs="Times New Roman"/>
          <w:b/>
          <w:bCs/>
          <w:sz w:val="28"/>
          <w:szCs w:val="28"/>
          <w:lang w:val="lv-LV"/>
        </w:rPr>
        <w:t>Tiešo nodokļu atvieglojumu piemērošanas nosacījumi</w:t>
      </w:r>
    </w:p>
    <w:p w:rsidR="00AD09E5" w:rsidRPr="0039576F" w:rsidRDefault="00AD09E5" w:rsidP="00E31C7A">
      <w:pPr>
        <w:spacing w:after="0" w:line="240" w:lineRule="auto"/>
        <w:ind w:firstLine="708"/>
        <w:jc w:val="both"/>
        <w:rPr>
          <w:rFonts w:ascii="Times New Roman" w:hAnsi="Times New Roman" w:cs="Times New Roman"/>
          <w:b/>
          <w:bCs/>
          <w:sz w:val="28"/>
          <w:szCs w:val="28"/>
          <w:lang w:val="lv-LV"/>
        </w:rPr>
      </w:pPr>
    </w:p>
    <w:p w:rsidR="00C63A8D" w:rsidRPr="0039576F" w:rsidRDefault="00252193"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(1) Tiesības piemērot tiešo nodokļu atlaides ārstniecības iestāde iegūst ar to taksācijas periodu, kurā ir noslēgts līgums </w:t>
      </w:r>
      <w:r w:rsidR="00303B3F" w:rsidRPr="0039576F">
        <w:rPr>
          <w:rFonts w:ascii="Times New Roman" w:hAnsi="Times New Roman" w:cs="Times New Roman"/>
          <w:sz w:val="28"/>
          <w:szCs w:val="28"/>
          <w:lang w:val="lv-LV"/>
        </w:rPr>
        <w:t>par ieguldījumu veikšanu.</w:t>
      </w:r>
    </w:p>
    <w:p w:rsidR="00303B3F" w:rsidRPr="0039576F" w:rsidRDefault="00303B3F"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(2) </w:t>
      </w:r>
      <w:r w:rsidR="00580867" w:rsidRPr="0039576F">
        <w:rPr>
          <w:rFonts w:ascii="Times New Roman" w:hAnsi="Times New Roman" w:cs="Times New Roman"/>
          <w:sz w:val="28"/>
          <w:szCs w:val="28"/>
          <w:lang w:val="lv-LV"/>
        </w:rPr>
        <w:t>Nekustamā īpašuma nodokļa atlaidi ārstniecības iestāde var piemērot ar taksācijas periodu, kad uzsākta ieguldījumu projekta īstenošana.</w:t>
      </w:r>
    </w:p>
    <w:p w:rsidR="00303B3F" w:rsidRPr="0039576F" w:rsidRDefault="00303B3F"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(3) </w:t>
      </w:r>
      <w:r w:rsidR="00580867" w:rsidRPr="0039576F">
        <w:rPr>
          <w:rFonts w:ascii="Times New Roman" w:hAnsi="Times New Roman" w:cs="Times New Roman"/>
          <w:sz w:val="28"/>
          <w:szCs w:val="28"/>
          <w:lang w:val="lv-LV"/>
        </w:rPr>
        <w:t xml:space="preserve">Uzņēmuma ienākuma nodokļa atlaidi piemēro ar taksācijas periodu, kurā ieguldījumu projekts ir pabeigts. </w:t>
      </w:r>
    </w:p>
    <w:p w:rsidR="00303B3F" w:rsidRPr="0039576F" w:rsidRDefault="00303B3F"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(4) Līgumā par ieguldījumu veikšanu nosaka maksimāli piemērojamo tiešo nodokļu atlaižu summu līgumā par ieguldījumu veikšanu paredzētajiem ieguldījumiem, kā arī kārtību piemērotās nekustamā īpašuma nodokļa atlaides un </w:t>
      </w:r>
      <w:r w:rsidR="00106460">
        <w:rPr>
          <w:rFonts w:ascii="Times New Roman" w:hAnsi="Times New Roman" w:cs="Times New Roman"/>
          <w:sz w:val="28"/>
          <w:szCs w:val="28"/>
          <w:lang w:val="lv-LV"/>
        </w:rPr>
        <w:t>uzņēmuma</w:t>
      </w:r>
      <w:r w:rsidRPr="0039576F">
        <w:rPr>
          <w:rFonts w:ascii="Times New Roman" w:hAnsi="Times New Roman" w:cs="Times New Roman"/>
          <w:sz w:val="28"/>
          <w:szCs w:val="28"/>
          <w:lang w:val="lv-LV"/>
        </w:rPr>
        <w:t xml:space="preserve"> ienākuma</w:t>
      </w:r>
      <w:r w:rsidR="00106460">
        <w:rPr>
          <w:rFonts w:ascii="Times New Roman" w:hAnsi="Times New Roman" w:cs="Times New Roman"/>
          <w:sz w:val="28"/>
          <w:szCs w:val="28"/>
          <w:lang w:val="lv-LV"/>
        </w:rPr>
        <w:t xml:space="preserve"> nodokļa</w:t>
      </w:r>
      <w:r w:rsidRPr="0039576F">
        <w:rPr>
          <w:rFonts w:ascii="Times New Roman" w:hAnsi="Times New Roman" w:cs="Times New Roman"/>
          <w:sz w:val="28"/>
          <w:szCs w:val="28"/>
          <w:lang w:val="lv-LV"/>
        </w:rPr>
        <w:t xml:space="preserve"> atlaides uzskaitei, </w:t>
      </w:r>
      <w:r w:rsidR="009E63C2" w:rsidRPr="0039576F">
        <w:rPr>
          <w:rFonts w:ascii="Times New Roman" w:hAnsi="Times New Roman" w:cs="Times New Roman"/>
          <w:sz w:val="28"/>
          <w:szCs w:val="28"/>
          <w:lang w:val="lv-LV"/>
        </w:rPr>
        <w:t xml:space="preserve">lai nodrošinātu, ka </w:t>
      </w:r>
      <w:r w:rsidRPr="0039576F">
        <w:rPr>
          <w:rFonts w:ascii="Times New Roman" w:hAnsi="Times New Roman" w:cs="Times New Roman"/>
          <w:sz w:val="28"/>
          <w:szCs w:val="28"/>
          <w:lang w:val="lv-LV"/>
        </w:rPr>
        <w:t>piemērotās tiešo nodokļu atlaides kopā nepārsnie</w:t>
      </w:r>
      <w:r w:rsidR="009E63C2" w:rsidRPr="0039576F">
        <w:rPr>
          <w:rFonts w:ascii="Times New Roman" w:hAnsi="Times New Roman" w:cs="Times New Roman"/>
          <w:sz w:val="28"/>
          <w:szCs w:val="28"/>
          <w:lang w:val="lv-LV"/>
        </w:rPr>
        <w:t>dz</w:t>
      </w:r>
      <w:r w:rsidRPr="0039576F">
        <w:rPr>
          <w:rFonts w:ascii="Times New Roman" w:hAnsi="Times New Roman" w:cs="Times New Roman"/>
          <w:sz w:val="28"/>
          <w:szCs w:val="28"/>
          <w:lang w:val="lv-LV"/>
        </w:rPr>
        <w:t xml:space="preserve"> ieguldījumu projektam noteikto maksimāli piemērojamo tiešo nodokļu atlaižu summu. </w:t>
      </w:r>
    </w:p>
    <w:p w:rsidR="00DB3D5D" w:rsidRPr="0039576F" w:rsidRDefault="00580867"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lastRenderedPageBreak/>
        <w:t xml:space="preserve">(5) Tiešo nodokļu atlaides ārstniecības iestāde var piemērot līdz līgumā par ieguldījumu veikšanu noteiktā maksimāli piemērojamā tiešo nodokļu atlaižu summa ir pilnībā izmantota, taču ne ilgāk kā </w:t>
      </w:r>
      <w:r w:rsidR="0057693F" w:rsidRPr="0039576F">
        <w:rPr>
          <w:rFonts w:ascii="Times New Roman" w:hAnsi="Times New Roman" w:cs="Times New Roman"/>
          <w:sz w:val="28"/>
          <w:szCs w:val="28"/>
          <w:lang w:val="lv-LV"/>
        </w:rPr>
        <w:t>desmit</w:t>
      </w:r>
      <w:r w:rsidRPr="0039576F">
        <w:rPr>
          <w:rFonts w:ascii="Times New Roman" w:hAnsi="Times New Roman" w:cs="Times New Roman"/>
          <w:sz w:val="28"/>
          <w:szCs w:val="28"/>
          <w:lang w:val="lv-LV"/>
        </w:rPr>
        <w:t xml:space="preserve"> taksācijas period</w:t>
      </w:r>
      <w:r w:rsidR="00865A69" w:rsidRPr="0039576F">
        <w:rPr>
          <w:rFonts w:ascii="Times New Roman" w:hAnsi="Times New Roman" w:cs="Times New Roman"/>
          <w:sz w:val="28"/>
          <w:szCs w:val="28"/>
          <w:lang w:val="lv-LV"/>
        </w:rPr>
        <w:t>u</w:t>
      </w:r>
      <w:r w:rsidRPr="0039576F">
        <w:rPr>
          <w:rFonts w:ascii="Times New Roman" w:hAnsi="Times New Roman" w:cs="Times New Roman"/>
          <w:sz w:val="28"/>
          <w:szCs w:val="28"/>
          <w:lang w:val="lv-LV"/>
        </w:rPr>
        <w:t>s</w:t>
      </w:r>
      <w:r w:rsidR="00865A69" w:rsidRPr="0039576F">
        <w:rPr>
          <w:rFonts w:ascii="Times New Roman" w:hAnsi="Times New Roman" w:cs="Times New Roman"/>
          <w:sz w:val="28"/>
          <w:szCs w:val="28"/>
          <w:lang w:val="lv-LV"/>
        </w:rPr>
        <w:t xml:space="preserve"> pēc ieguldījumu projekta īstenošanas pabeigšanas</w:t>
      </w:r>
      <w:r w:rsidRPr="0039576F">
        <w:rPr>
          <w:rFonts w:ascii="Times New Roman" w:hAnsi="Times New Roman" w:cs="Times New Roman"/>
          <w:sz w:val="28"/>
          <w:szCs w:val="28"/>
          <w:lang w:val="lv-LV"/>
        </w:rPr>
        <w:t xml:space="preserve">.  </w:t>
      </w:r>
    </w:p>
    <w:p w:rsidR="007025BB" w:rsidRPr="0039576F" w:rsidRDefault="007025BB"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(6) Ārstniecības iestāde, kura piemēro šajā likumā noteiktās tiešo nodokļu atlaides, nepiemēro citas likumā "Par uzņēmuma ienākuma nodokli", likumā "Par nekustamā īpašuma nodokli" un likumā "Par nodokļu piemērošanu brīvostās un speciālajās ekonomiskajās zonās" noteiktās tiešo nodokļu atlaides.</w:t>
      </w:r>
    </w:p>
    <w:p w:rsidR="001411D1" w:rsidRPr="0039576F" w:rsidRDefault="001411D1"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(7) </w:t>
      </w:r>
      <w:r w:rsidR="00EA1AD7" w:rsidRPr="0039576F">
        <w:rPr>
          <w:rFonts w:ascii="Times New Roman" w:hAnsi="Times New Roman" w:cs="Times New Roman"/>
          <w:sz w:val="28"/>
          <w:szCs w:val="28"/>
          <w:lang w:val="lv-LV"/>
        </w:rPr>
        <w:t xml:space="preserve">Ja kāds no sākotnējos ieguldījumos ietvertajiem pamatlīdzekļiem tiek atsavināts, nodots lietošanā citai personai vai netiek izmantots veselības tūrisma pakalpojumu sniegšanai, vai tiek pārcelts uz citu valsti pirms līgumā par ieguldījumu veikšanu noteiktā termiņa beigām, ārstniecības iestāde precizē sākotnējo ilgtermiņa ieguldījumu vērtību un maksājamos tiešos nodokļus par iepriekšējiem taksācijas periodiem. </w:t>
      </w:r>
    </w:p>
    <w:p w:rsidR="00E74475" w:rsidRPr="0039576F" w:rsidRDefault="00E74475"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(8) </w:t>
      </w:r>
      <w:r w:rsidR="00D25C70" w:rsidRPr="0039576F">
        <w:rPr>
          <w:rFonts w:ascii="Times New Roman" w:hAnsi="Times New Roman" w:cs="Times New Roman"/>
          <w:sz w:val="28"/>
          <w:szCs w:val="28"/>
          <w:lang w:val="lv-LV"/>
        </w:rPr>
        <w:t xml:space="preserve">Ja kapitālsabiedrība atbilstoši šā likuma 4.panta otrajā daļā noteiktajam </w:t>
      </w:r>
      <w:r w:rsidR="00AF7593" w:rsidRPr="0039576F">
        <w:rPr>
          <w:rFonts w:ascii="Times New Roman" w:hAnsi="Times New Roman" w:cs="Times New Roman"/>
          <w:sz w:val="28"/>
          <w:szCs w:val="28"/>
          <w:lang w:val="lv-LV"/>
        </w:rPr>
        <w:t xml:space="preserve">pēc ieguldījumu projekta īstenošanas pabeigšanas </w:t>
      </w:r>
      <w:r w:rsidR="00D25C70" w:rsidRPr="0039576F">
        <w:rPr>
          <w:rFonts w:ascii="Times New Roman" w:hAnsi="Times New Roman" w:cs="Times New Roman"/>
          <w:sz w:val="28"/>
          <w:szCs w:val="28"/>
          <w:lang w:val="lv-LV"/>
        </w:rPr>
        <w:t>sešu mēnešu laikā</w:t>
      </w:r>
      <w:r w:rsidR="00DB6658" w:rsidRPr="0039576F">
        <w:rPr>
          <w:rFonts w:ascii="Times New Roman" w:hAnsi="Times New Roman" w:cs="Times New Roman"/>
          <w:sz w:val="28"/>
          <w:szCs w:val="28"/>
          <w:lang w:val="lv-LV"/>
        </w:rPr>
        <w:t xml:space="preserve"> nav</w:t>
      </w:r>
      <w:r w:rsidR="00D25C70" w:rsidRPr="0039576F">
        <w:rPr>
          <w:rFonts w:ascii="Times New Roman" w:hAnsi="Times New Roman" w:cs="Times New Roman"/>
          <w:sz w:val="28"/>
          <w:szCs w:val="28"/>
          <w:lang w:val="lv-LV"/>
        </w:rPr>
        <w:t xml:space="preserve"> </w:t>
      </w:r>
      <w:r w:rsidR="00AF7593" w:rsidRPr="0039576F">
        <w:rPr>
          <w:rFonts w:ascii="Times New Roman" w:hAnsi="Times New Roman" w:cs="Times New Roman"/>
          <w:sz w:val="28"/>
          <w:szCs w:val="28"/>
          <w:lang w:val="lv-LV"/>
        </w:rPr>
        <w:t>reģistrējusies</w:t>
      </w:r>
      <w:r w:rsidR="00D25C70" w:rsidRPr="0039576F">
        <w:rPr>
          <w:rFonts w:ascii="Times New Roman" w:hAnsi="Times New Roman" w:cs="Times New Roman"/>
          <w:sz w:val="28"/>
          <w:szCs w:val="28"/>
          <w:lang w:val="lv-LV"/>
        </w:rPr>
        <w:t xml:space="preserve"> ārstniecības iestāžu r</w:t>
      </w:r>
      <w:r w:rsidR="00F83D89" w:rsidRPr="0039576F">
        <w:rPr>
          <w:rFonts w:ascii="Times New Roman" w:hAnsi="Times New Roman" w:cs="Times New Roman"/>
          <w:sz w:val="28"/>
          <w:szCs w:val="28"/>
          <w:lang w:val="lv-LV"/>
        </w:rPr>
        <w:t>eģistrā kā ārstniecības iestāde</w:t>
      </w:r>
      <w:r w:rsidR="00D25C70" w:rsidRPr="0039576F">
        <w:rPr>
          <w:rFonts w:ascii="Times New Roman" w:hAnsi="Times New Roman" w:cs="Times New Roman"/>
          <w:sz w:val="28"/>
          <w:szCs w:val="28"/>
          <w:lang w:val="lv-LV"/>
        </w:rPr>
        <w:t xml:space="preserve">, </w:t>
      </w:r>
      <w:r w:rsidR="004D3E19" w:rsidRPr="0039576F">
        <w:rPr>
          <w:rFonts w:ascii="Times New Roman" w:hAnsi="Times New Roman" w:cs="Times New Roman"/>
          <w:sz w:val="28"/>
          <w:szCs w:val="28"/>
          <w:lang w:val="lv-LV"/>
        </w:rPr>
        <w:t>un ir saņēmusi tiešo nodokļu atlaides ieguldījumu projekta īstenošanas laikā, tā veic tiešo nodokļu pārrēķinu par taksācijas periodiem, kuros piemērotas tiešo nodokļu atlaides, un iemaksā budžetā summu, par kuru šo atlaižu piemērošanas rezultātā bija samazināti maksājamie nodokļi.</w:t>
      </w:r>
    </w:p>
    <w:p w:rsidR="00AF7593" w:rsidRPr="0039576F" w:rsidRDefault="00AF7593" w:rsidP="00E31C7A">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(9) Ja Veselības inspekcija atbilstoši 7.panta piektajā daļā noteiktajam ir lauzusi ar ārstniecības iestādi  noslēgto līgumu par ieguldījumu veikšanu un ārstniecības iestāde ir saņēmusi nekustamā īpašuma nodokļa atlaidi, tā veic nekustamā īpašuma nodokļu pārrēķinu par taksācijas periodiem, kuros atlaide piemērota, un iemaksā budžetā summu, par kuru atlaides piemērošanas rezultātā bija samazināti maksājamie nodokļi.</w:t>
      </w:r>
    </w:p>
    <w:p w:rsidR="00E31C7A" w:rsidRDefault="00E31C7A" w:rsidP="00E31C7A">
      <w:pPr>
        <w:spacing w:after="0" w:line="240" w:lineRule="auto"/>
        <w:jc w:val="both"/>
        <w:rPr>
          <w:rFonts w:ascii="Times New Roman" w:hAnsi="Times New Roman" w:cs="Times New Roman"/>
          <w:b/>
          <w:bCs/>
          <w:sz w:val="28"/>
          <w:szCs w:val="28"/>
          <w:lang w:val="lv-LV"/>
        </w:rPr>
      </w:pPr>
    </w:p>
    <w:p w:rsidR="00CC0A82" w:rsidRDefault="007025BB" w:rsidP="005D5422">
      <w:pPr>
        <w:spacing w:after="0" w:line="240" w:lineRule="auto"/>
        <w:ind w:firstLine="708"/>
        <w:jc w:val="both"/>
        <w:rPr>
          <w:rFonts w:ascii="Times New Roman" w:hAnsi="Times New Roman" w:cs="Times New Roman"/>
          <w:b/>
          <w:bCs/>
          <w:sz w:val="28"/>
          <w:szCs w:val="28"/>
          <w:lang w:val="lv-LV"/>
        </w:rPr>
      </w:pPr>
      <w:r w:rsidRPr="0039576F">
        <w:rPr>
          <w:rFonts w:ascii="Times New Roman" w:hAnsi="Times New Roman" w:cs="Times New Roman"/>
          <w:b/>
          <w:bCs/>
          <w:sz w:val="28"/>
          <w:szCs w:val="28"/>
          <w:lang w:val="lv-LV"/>
        </w:rPr>
        <w:t>11</w:t>
      </w:r>
      <w:r w:rsidR="00C63A8D" w:rsidRPr="0039576F">
        <w:rPr>
          <w:rFonts w:ascii="Times New Roman" w:hAnsi="Times New Roman" w:cs="Times New Roman"/>
          <w:b/>
          <w:bCs/>
          <w:sz w:val="28"/>
          <w:szCs w:val="28"/>
          <w:lang w:val="lv-LV"/>
        </w:rPr>
        <w:t xml:space="preserve">.pants. </w:t>
      </w:r>
      <w:r w:rsidR="00CC0A82" w:rsidRPr="0039576F">
        <w:rPr>
          <w:rFonts w:ascii="Times New Roman" w:hAnsi="Times New Roman" w:cs="Times New Roman"/>
          <w:b/>
          <w:bCs/>
          <w:sz w:val="28"/>
          <w:szCs w:val="28"/>
          <w:lang w:val="lv-LV"/>
        </w:rPr>
        <w:t>Ierobežojumi tiešo nodokļu atlaižu piemērošanai</w:t>
      </w:r>
    </w:p>
    <w:p w:rsidR="00AD09E5" w:rsidRPr="0039576F" w:rsidRDefault="00AD09E5" w:rsidP="005D5422">
      <w:pPr>
        <w:spacing w:after="0" w:line="240" w:lineRule="auto"/>
        <w:ind w:firstLine="708"/>
        <w:jc w:val="both"/>
        <w:rPr>
          <w:rFonts w:ascii="Times New Roman" w:hAnsi="Times New Roman" w:cs="Times New Roman"/>
          <w:b/>
          <w:bCs/>
          <w:sz w:val="28"/>
          <w:szCs w:val="28"/>
          <w:lang w:val="lv-LV"/>
        </w:rPr>
      </w:pPr>
    </w:p>
    <w:p w:rsidR="006F6978" w:rsidRPr="0039576F" w:rsidRDefault="009155AD"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(1) </w:t>
      </w:r>
      <w:r w:rsidR="00786ED6" w:rsidRPr="0039576F">
        <w:rPr>
          <w:rFonts w:ascii="Times New Roman" w:hAnsi="Times New Roman" w:cs="Times New Roman"/>
          <w:sz w:val="28"/>
          <w:szCs w:val="28"/>
          <w:lang w:val="lv-LV"/>
        </w:rPr>
        <w:t>Likuma 3.panta pirmajā daļā</w:t>
      </w:r>
      <w:r w:rsidR="00F107D9" w:rsidRPr="0039576F">
        <w:rPr>
          <w:rFonts w:ascii="Times New Roman" w:hAnsi="Times New Roman" w:cs="Times New Roman"/>
          <w:sz w:val="28"/>
          <w:szCs w:val="28"/>
          <w:lang w:val="lv-LV"/>
        </w:rPr>
        <w:t xml:space="preserve"> </w:t>
      </w:r>
      <w:r w:rsidR="006F6978" w:rsidRPr="0039576F">
        <w:rPr>
          <w:rFonts w:ascii="Times New Roman" w:hAnsi="Times New Roman" w:cs="Times New Roman"/>
          <w:sz w:val="28"/>
          <w:szCs w:val="28"/>
          <w:lang w:val="lv-LV"/>
        </w:rPr>
        <w:t xml:space="preserve">noteiktās tiešo nodokļu atlaides par atbalstāmā ieguldījumu projekta ietvaros veiktajiem sākotnējiem ieguldījumiem </w:t>
      </w:r>
      <w:r w:rsidR="00225E3A" w:rsidRPr="0039576F">
        <w:rPr>
          <w:rFonts w:ascii="Times New Roman" w:hAnsi="Times New Roman" w:cs="Times New Roman"/>
          <w:sz w:val="28"/>
          <w:szCs w:val="28"/>
          <w:lang w:val="lv-LV"/>
        </w:rPr>
        <w:t>ārstniecības iestāde</w:t>
      </w:r>
      <w:r w:rsidR="006F6978" w:rsidRPr="0039576F">
        <w:rPr>
          <w:rFonts w:ascii="Times New Roman" w:hAnsi="Times New Roman" w:cs="Times New Roman"/>
          <w:sz w:val="28"/>
          <w:szCs w:val="28"/>
          <w:lang w:val="lv-LV"/>
        </w:rPr>
        <w:t xml:space="preserve"> ir tiesīga piemērot, nepārsniedzot šādus attiecīgajai </w:t>
      </w:r>
      <w:r w:rsidR="00225E3A" w:rsidRPr="0039576F">
        <w:rPr>
          <w:rFonts w:ascii="Times New Roman" w:hAnsi="Times New Roman" w:cs="Times New Roman"/>
          <w:sz w:val="28"/>
          <w:szCs w:val="28"/>
          <w:lang w:val="lv-LV"/>
        </w:rPr>
        <w:t>ārstniecības iestādei</w:t>
      </w:r>
      <w:r w:rsidR="006F6978" w:rsidRPr="0039576F">
        <w:rPr>
          <w:rFonts w:ascii="Times New Roman" w:hAnsi="Times New Roman" w:cs="Times New Roman"/>
          <w:sz w:val="28"/>
          <w:szCs w:val="28"/>
          <w:lang w:val="lv-LV"/>
        </w:rPr>
        <w:t xml:space="preserve"> piemērojamos procentus no kopējās sākotnējo ieguldījumu summas:</w:t>
      </w:r>
    </w:p>
    <w:p w:rsidR="006F6978" w:rsidRPr="0039576F" w:rsidRDefault="00DA1C86"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1) 35 procentu</w:t>
      </w:r>
      <w:r w:rsidR="006F6978" w:rsidRPr="0039576F">
        <w:rPr>
          <w:rFonts w:ascii="Times New Roman" w:hAnsi="Times New Roman" w:cs="Times New Roman"/>
          <w:sz w:val="28"/>
          <w:szCs w:val="28"/>
          <w:lang w:val="lv-LV"/>
        </w:rPr>
        <w:t xml:space="preserve"> apmērā </w:t>
      </w:r>
      <w:r w:rsidR="00225E3A" w:rsidRPr="0039576F">
        <w:rPr>
          <w:rFonts w:ascii="Times New Roman" w:hAnsi="Times New Roman" w:cs="Times New Roman"/>
          <w:sz w:val="28"/>
          <w:szCs w:val="28"/>
          <w:lang w:val="lv-LV"/>
        </w:rPr>
        <w:t>ārstniecības iestādei</w:t>
      </w:r>
      <w:r w:rsidR="006F6978" w:rsidRPr="0039576F">
        <w:rPr>
          <w:rFonts w:ascii="Times New Roman" w:hAnsi="Times New Roman" w:cs="Times New Roman"/>
          <w:sz w:val="28"/>
          <w:szCs w:val="28"/>
          <w:lang w:val="lv-LV"/>
        </w:rPr>
        <w:t xml:space="preserve">, kura neatbilst Komisijas regulas </w:t>
      </w:r>
      <w:hyperlink r:id="rId17" w:history="1">
        <w:r w:rsidR="006F6978" w:rsidRPr="0039576F">
          <w:rPr>
            <w:rStyle w:val="Hyperlink"/>
            <w:rFonts w:ascii="Times New Roman" w:hAnsi="Times New Roman" w:cs="Times New Roman"/>
            <w:color w:val="auto"/>
            <w:sz w:val="28"/>
            <w:szCs w:val="28"/>
            <w:u w:val="none"/>
            <w:lang w:val="lv-LV"/>
          </w:rPr>
          <w:t>Nr.651/2014</w:t>
        </w:r>
      </w:hyperlink>
      <w:r w:rsidR="006F6978" w:rsidRPr="0039576F">
        <w:rPr>
          <w:rFonts w:ascii="Times New Roman" w:hAnsi="Times New Roman" w:cs="Times New Roman"/>
          <w:sz w:val="28"/>
          <w:szCs w:val="28"/>
          <w:lang w:val="lv-LV"/>
        </w:rPr>
        <w:t xml:space="preserve"> 1.pielikumā noteiktajiem kritērijiem,</w:t>
      </w:r>
    </w:p>
    <w:p w:rsidR="006F6978" w:rsidRPr="0039576F" w:rsidRDefault="006F6978"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2) 45 procentu apmērā </w:t>
      </w:r>
      <w:r w:rsidR="00225E3A" w:rsidRPr="0039576F">
        <w:rPr>
          <w:rFonts w:ascii="Times New Roman" w:hAnsi="Times New Roman" w:cs="Times New Roman"/>
          <w:sz w:val="28"/>
          <w:szCs w:val="28"/>
          <w:lang w:val="lv-LV"/>
        </w:rPr>
        <w:t>ārstniecības iestādei</w:t>
      </w:r>
      <w:r w:rsidRPr="0039576F">
        <w:rPr>
          <w:rFonts w:ascii="Times New Roman" w:hAnsi="Times New Roman" w:cs="Times New Roman"/>
          <w:sz w:val="28"/>
          <w:szCs w:val="28"/>
          <w:lang w:val="lv-LV"/>
        </w:rPr>
        <w:t xml:space="preserve">, kura atbilst Komisijas regulas </w:t>
      </w:r>
      <w:hyperlink r:id="rId18" w:history="1">
        <w:r w:rsidRPr="0039576F">
          <w:rPr>
            <w:rStyle w:val="Hyperlink"/>
            <w:rFonts w:ascii="Times New Roman" w:hAnsi="Times New Roman" w:cs="Times New Roman"/>
            <w:color w:val="auto"/>
            <w:sz w:val="28"/>
            <w:szCs w:val="28"/>
            <w:u w:val="none"/>
            <w:lang w:val="lv-LV"/>
          </w:rPr>
          <w:t>Nr.</w:t>
        </w:r>
        <w:r w:rsidR="00225E3A" w:rsidRPr="0039576F">
          <w:rPr>
            <w:rStyle w:val="Hyperlink"/>
            <w:rFonts w:ascii="Times New Roman" w:hAnsi="Times New Roman" w:cs="Times New Roman"/>
            <w:color w:val="auto"/>
            <w:sz w:val="28"/>
            <w:szCs w:val="28"/>
            <w:u w:val="none"/>
            <w:lang w:val="lv-LV"/>
          </w:rPr>
          <w:t>651/2014</w:t>
        </w:r>
      </w:hyperlink>
      <w:r w:rsidR="00225E3A" w:rsidRPr="0039576F">
        <w:rPr>
          <w:rFonts w:ascii="Times New Roman" w:hAnsi="Times New Roman" w:cs="Times New Roman"/>
          <w:sz w:val="28"/>
          <w:szCs w:val="28"/>
          <w:lang w:val="lv-LV"/>
        </w:rPr>
        <w:t xml:space="preserve"> 1.pielikumā noteiktaja</w:t>
      </w:r>
      <w:r w:rsidRPr="0039576F">
        <w:rPr>
          <w:rFonts w:ascii="Times New Roman" w:hAnsi="Times New Roman" w:cs="Times New Roman"/>
          <w:sz w:val="28"/>
          <w:szCs w:val="28"/>
          <w:lang w:val="lv-LV"/>
        </w:rPr>
        <w:t>m vidējas komercsabiedrības statusam,</w:t>
      </w:r>
    </w:p>
    <w:p w:rsidR="007254D3" w:rsidRPr="0039576F" w:rsidRDefault="006F6978"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3) 55 procentu apmērā </w:t>
      </w:r>
      <w:r w:rsidR="00225E3A" w:rsidRPr="0039576F">
        <w:rPr>
          <w:rFonts w:ascii="Times New Roman" w:hAnsi="Times New Roman" w:cs="Times New Roman"/>
          <w:sz w:val="28"/>
          <w:szCs w:val="28"/>
          <w:lang w:val="lv-LV"/>
        </w:rPr>
        <w:t>ārstniecības iestādei</w:t>
      </w:r>
      <w:r w:rsidRPr="0039576F">
        <w:rPr>
          <w:rFonts w:ascii="Times New Roman" w:hAnsi="Times New Roman" w:cs="Times New Roman"/>
          <w:sz w:val="28"/>
          <w:szCs w:val="28"/>
          <w:lang w:val="lv-LV"/>
        </w:rPr>
        <w:t xml:space="preserve">, kura atbilst Komisijas regulas </w:t>
      </w:r>
      <w:hyperlink r:id="rId19" w:history="1">
        <w:r w:rsidRPr="0039576F">
          <w:rPr>
            <w:rStyle w:val="Hyperlink"/>
            <w:rFonts w:ascii="Times New Roman" w:hAnsi="Times New Roman" w:cs="Times New Roman"/>
            <w:color w:val="auto"/>
            <w:sz w:val="28"/>
            <w:szCs w:val="28"/>
            <w:u w:val="none"/>
            <w:lang w:val="lv-LV"/>
          </w:rPr>
          <w:t>Nr.</w:t>
        </w:r>
        <w:r w:rsidR="00225E3A" w:rsidRPr="0039576F">
          <w:rPr>
            <w:rStyle w:val="Hyperlink"/>
            <w:rFonts w:ascii="Times New Roman" w:hAnsi="Times New Roman" w:cs="Times New Roman"/>
            <w:color w:val="auto"/>
            <w:sz w:val="28"/>
            <w:szCs w:val="28"/>
            <w:u w:val="none"/>
            <w:lang w:val="lv-LV"/>
          </w:rPr>
          <w:t>651/2014</w:t>
        </w:r>
      </w:hyperlink>
      <w:r w:rsidR="00225E3A" w:rsidRPr="0039576F">
        <w:rPr>
          <w:rFonts w:ascii="Times New Roman" w:hAnsi="Times New Roman" w:cs="Times New Roman"/>
          <w:sz w:val="28"/>
          <w:szCs w:val="28"/>
          <w:lang w:val="lv-LV"/>
        </w:rPr>
        <w:t xml:space="preserve"> 1.pielikumā noteiktaja</w:t>
      </w:r>
      <w:r w:rsidRPr="0039576F">
        <w:rPr>
          <w:rFonts w:ascii="Times New Roman" w:hAnsi="Times New Roman" w:cs="Times New Roman"/>
          <w:sz w:val="28"/>
          <w:szCs w:val="28"/>
          <w:lang w:val="lv-LV"/>
        </w:rPr>
        <w:t>m mazas komercsabiedrības statusam.</w:t>
      </w:r>
    </w:p>
    <w:p w:rsidR="00044679" w:rsidRPr="0039576F" w:rsidRDefault="009155AD"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(2) </w:t>
      </w:r>
      <w:r w:rsidR="00FD5368" w:rsidRPr="0039576F">
        <w:rPr>
          <w:rFonts w:ascii="Times New Roman" w:hAnsi="Times New Roman" w:cs="Times New Roman"/>
          <w:sz w:val="28"/>
          <w:szCs w:val="28"/>
          <w:lang w:val="lv-LV"/>
        </w:rPr>
        <w:t xml:space="preserve">Atbilstību </w:t>
      </w:r>
      <w:r w:rsidR="00F265DD" w:rsidRPr="0039576F">
        <w:rPr>
          <w:rFonts w:ascii="Times New Roman" w:hAnsi="Times New Roman" w:cs="Times New Roman"/>
          <w:sz w:val="28"/>
          <w:szCs w:val="28"/>
          <w:lang w:val="lv-LV"/>
        </w:rPr>
        <w:t>Komisijas regulas Nr.</w:t>
      </w:r>
      <w:hyperlink r:id="rId20" w:history="1">
        <w:r w:rsidR="00F265DD" w:rsidRPr="0039576F">
          <w:rPr>
            <w:rStyle w:val="Hyperlink"/>
            <w:rFonts w:ascii="Times New Roman" w:hAnsi="Times New Roman" w:cs="Times New Roman"/>
            <w:color w:val="auto"/>
            <w:sz w:val="28"/>
            <w:szCs w:val="28"/>
            <w:u w:val="none"/>
            <w:lang w:val="lv-LV"/>
          </w:rPr>
          <w:t>651/2014</w:t>
        </w:r>
      </w:hyperlink>
      <w:r w:rsidR="00F265DD" w:rsidRPr="0039576F">
        <w:rPr>
          <w:rFonts w:ascii="Times New Roman" w:hAnsi="Times New Roman" w:cs="Times New Roman"/>
          <w:sz w:val="28"/>
          <w:szCs w:val="28"/>
          <w:lang w:val="lv-LV"/>
        </w:rPr>
        <w:t xml:space="preserve"> 1.pielikumā noteiktajam mazas vai vidējas komercsabiedrības statusam apliecina ārstniecības iestādes iesniegta Deklarācija par </w:t>
      </w:r>
      <w:r w:rsidR="0026249E" w:rsidRPr="0039576F">
        <w:rPr>
          <w:rFonts w:ascii="Times New Roman" w:hAnsi="Times New Roman" w:cs="Times New Roman"/>
          <w:sz w:val="28"/>
          <w:szCs w:val="28"/>
          <w:lang w:val="lv-LV"/>
        </w:rPr>
        <w:t xml:space="preserve">komercsabiedrības atbilstību mazajai (sīkajai) vai </w:t>
      </w:r>
      <w:r w:rsidR="0026249E" w:rsidRPr="0039576F">
        <w:rPr>
          <w:rFonts w:ascii="Times New Roman" w:hAnsi="Times New Roman" w:cs="Times New Roman"/>
          <w:sz w:val="28"/>
          <w:szCs w:val="28"/>
          <w:lang w:val="lv-LV"/>
        </w:rPr>
        <w:lastRenderedPageBreak/>
        <w:t xml:space="preserve">vidējai komercsabiedrībai, kas aizpildīta saskaņā ar normatīvajiem aktiem par komercsabiedrību deklarēšanas kārtību </w:t>
      </w:r>
      <w:r w:rsidR="00881E6B" w:rsidRPr="0039576F">
        <w:rPr>
          <w:rFonts w:ascii="Times New Roman" w:hAnsi="Times New Roman" w:cs="Times New Roman"/>
          <w:sz w:val="28"/>
          <w:szCs w:val="28"/>
          <w:lang w:val="lv-LV"/>
        </w:rPr>
        <w:t xml:space="preserve">atbilstoši mazajai (sīkajai) vai vidējai komercsabiedrībai. </w:t>
      </w:r>
    </w:p>
    <w:p w:rsidR="00716834" w:rsidRPr="0039576F" w:rsidRDefault="00044679"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(3) </w:t>
      </w:r>
      <w:r w:rsidR="00871E99" w:rsidRPr="0039576F">
        <w:rPr>
          <w:rFonts w:ascii="Times New Roman" w:hAnsi="Times New Roman" w:cs="Times New Roman"/>
          <w:sz w:val="28"/>
          <w:szCs w:val="28"/>
          <w:lang w:val="lv-LV"/>
        </w:rPr>
        <w:t>Ārstniecības iestāde</w:t>
      </w:r>
      <w:r w:rsidR="009155AD" w:rsidRPr="0039576F">
        <w:rPr>
          <w:rFonts w:ascii="Times New Roman" w:hAnsi="Times New Roman" w:cs="Times New Roman"/>
          <w:sz w:val="28"/>
          <w:szCs w:val="28"/>
          <w:lang w:val="lv-LV"/>
        </w:rPr>
        <w:t xml:space="preserve"> vismaz 25 procentus no līgumā par ieguldījumu veikšanu paredzētajiem sākotnējiem ieguldījumiem veic, izmantojot pašu līdzekļus vai ārējo finansējumu, par kuru nav saņemts nekāds valsts atbalsts, tostarp atbalsts kā ieguldījums valsts vai pašvaldības kapitālsabiedrības pamatkapitālā, kā valsts vai pašvaldības galvojums vai kā aizdevums ar atvieglotiem nosacījumiem.</w:t>
      </w:r>
    </w:p>
    <w:p w:rsidR="005D5422" w:rsidRDefault="005D5422" w:rsidP="00E31C7A">
      <w:pPr>
        <w:spacing w:after="0" w:line="240" w:lineRule="auto"/>
        <w:jc w:val="both"/>
        <w:rPr>
          <w:rFonts w:ascii="Times New Roman" w:hAnsi="Times New Roman" w:cs="Times New Roman"/>
          <w:b/>
          <w:bCs/>
          <w:sz w:val="28"/>
          <w:szCs w:val="28"/>
          <w:lang w:val="lv-LV"/>
        </w:rPr>
      </w:pPr>
    </w:p>
    <w:p w:rsidR="00CC0A82" w:rsidRDefault="00EA21FF" w:rsidP="005D5422">
      <w:pPr>
        <w:spacing w:after="0" w:line="240" w:lineRule="auto"/>
        <w:ind w:firstLine="708"/>
        <w:jc w:val="both"/>
        <w:rPr>
          <w:rFonts w:ascii="Times New Roman" w:hAnsi="Times New Roman" w:cs="Times New Roman"/>
          <w:b/>
          <w:bCs/>
          <w:sz w:val="28"/>
          <w:szCs w:val="28"/>
          <w:lang w:val="lv-LV"/>
        </w:rPr>
      </w:pPr>
      <w:r w:rsidRPr="0039576F">
        <w:rPr>
          <w:rFonts w:ascii="Times New Roman" w:hAnsi="Times New Roman" w:cs="Times New Roman"/>
          <w:b/>
          <w:bCs/>
          <w:sz w:val="28"/>
          <w:szCs w:val="28"/>
          <w:lang w:val="lv-LV"/>
        </w:rPr>
        <w:t>1</w:t>
      </w:r>
      <w:r w:rsidR="007025BB" w:rsidRPr="0039576F">
        <w:rPr>
          <w:rFonts w:ascii="Times New Roman" w:hAnsi="Times New Roman" w:cs="Times New Roman"/>
          <w:b/>
          <w:bCs/>
          <w:sz w:val="28"/>
          <w:szCs w:val="28"/>
          <w:lang w:val="lv-LV"/>
        </w:rPr>
        <w:t>2</w:t>
      </w:r>
      <w:r w:rsidR="00CC0A82" w:rsidRPr="0039576F">
        <w:rPr>
          <w:rFonts w:ascii="Times New Roman" w:hAnsi="Times New Roman" w:cs="Times New Roman"/>
          <w:b/>
          <w:bCs/>
          <w:sz w:val="28"/>
          <w:szCs w:val="28"/>
          <w:lang w:val="lv-LV"/>
        </w:rPr>
        <w:t xml:space="preserve">.pants. </w:t>
      </w:r>
      <w:r w:rsidR="00685FA4" w:rsidRPr="0039576F">
        <w:rPr>
          <w:rFonts w:ascii="Times New Roman" w:hAnsi="Times New Roman" w:cs="Times New Roman"/>
          <w:b/>
          <w:bCs/>
          <w:sz w:val="28"/>
          <w:szCs w:val="28"/>
          <w:lang w:val="lv-LV"/>
        </w:rPr>
        <w:t xml:space="preserve">Nodokļu atlaižu apvienošana ar citu atbalstu sākotnējo ieguldījumu veikšanai </w:t>
      </w:r>
    </w:p>
    <w:p w:rsidR="00AD09E5" w:rsidRPr="0039576F" w:rsidRDefault="00AD09E5" w:rsidP="005D5422">
      <w:pPr>
        <w:spacing w:after="0" w:line="240" w:lineRule="auto"/>
        <w:ind w:firstLine="708"/>
        <w:jc w:val="both"/>
        <w:rPr>
          <w:rFonts w:ascii="Times New Roman" w:hAnsi="Times New Roman" w:cs="Times New Roman"/>
          <w:b/>
          <w:bCs/>
          <w:sz w:val="28"/>
          <w:szCs w:val="28"/>
          <w:lang w:val="lv-LV"/>
        </w:rPr>
      </w:pPr>
    </w:p>
    <w:p w:rsidR="00CC0A82" w:rsidRPr="0039576F" w:rsidRDefault="006A18B2"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(1) Ja </w:t>
      </w:r>
      <w:r w:rsidR="00482E42" w:rsidRPr="0039576F">
        <w:rPr>
          <w:rFonts w:ascii="Times New Roman" w:hAnsi="Times New Roman" w:cs="Times New Roman"/>
          <w:sz w:val="28"/>
          <w:szCs w:val="28"/>
          <w:lang w:val="lv-LV"/>
        </w:rPr>
        <w:t xml:space="preserve">papildus šajā likumā noteiktajam atbalstam </w:t>
      </w:r>
      <w:r w:rsidRPr="0039576F">
        <w:rPr>
          <w:rFonts w:ascii="Times New Roman" w:hAnsi="Times New Roman" w:cs="Times New Roman"/>
          <w:sz w:val="28"/>
          <w:szCs w:val="28"/>
          <w:lang w:val="lv-LV"/>
        </w:rPr>
        <w:t xml:space="preserve">ārstniecības iestāde </w:t>
      </w:r>
      <w:r w:rsidR="00482E42" w:rsidRPr="0039576F">
        <w:rPr>
          <w:rFonts w:ascii="Times New Roman" w:hAnsi="Times New Roman" w:cs="Times New Roman"/>
          <w:sz w:val="28"/>
          <w:szCs w:val="28"/>
          <w:lang w:val="lv-LV"/>
        </w:rPr>
        <w:t xml:space="preserve">par tām pašām ieguldījumu projekta izmaksām </w:t>
      </w:r>
      <w:r w:rsidRPr="0039576F">
        <w:rPr>
          <w:rFonts w:ascii="Times New Roman" w:hAnsi="Times New Roman" w:cs="Times New Roman"/>
          <w:sz w:val="28"/>
          <w:szCs w:val="28"/>
          <w:lang w:val="lv-LV"/>
        </w:rPr>
        <w:t>saņem vai plāno saņemt citu atbalstu sākotnējo ieguldījumu veikšanai</w:t>
      </w:r>
      <w:r w:rsidR="00786ED6" w:rsidRPr="0039576F">
        <w:rPr>
          <w:rFonts w:ascii="Times New Roman" w:hAnsi="Times New Roman" w:cs="Times New Roman"/>
          <w:sz w:val="28"/>
          <w:szCs w:val="28"/>
          <w:lang w:val="lv-LV"/>
        </w:rPr>
        <w:t>, tad nepiemēro šā likuma 11</w:t>
      </w:r>
      <w:r w:rsidRPr="0039576F">
        <w:rPr>
          <w:rFonts w:ascii="Times New Roman" w:hAnsi="Times New Roman" w:cs="Times New Roman"/>
          <w:sz w:val="28"/>
          <w:szCs w:val="28"/>
          <w:lang w:val="lv-LV"/>
        </w:rPr>
        <w:t>.pantā noteiktos pieļaujamos maksimālos procentus, bet līgumā par ieguldījuma veikšanu Veselības inspekcija nosaka maksimālos pieļaujamos procentus līgumā par ieguldījumu veikšanu paredzētajiem ieguldījumiem.</w:t>
      </w:r>
    </w:p>
    <w:p w:rsidR="006A18B2" w:rsidRPr="0039576F" w:rsidRDefault="00066505"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(2) </w:t>
      </w:r>
      <w:r w:rsidR="00BD7D0B" w:rsidRPr="0039576F">
        <w:rPr>
          <w:rFonts w:ascii="Times New Roman" w:hAnsi="Times New Roman" w:cs="Times New Roman"/>
          <w:sz w:val="28"/>
          <w:szCs w:val="28"/>
          <w:lang w:val="lv-LV"/>
        </w:rPr>
        <w:t>Šā panta pirmajā daļā minētajā gadījumā Veselības inspekcijai, n</w:t>
      </w:r>
      <w:r w:rsidRPr="0039576F">
        <w:rPr>
          <w:rFonts w:ascii="Times New Roman" w:hAnsi="Times New Roman" w:cs="Times New Roman"/>
          <w:sz w:val="28"/>
          <w:szCs w:val="28"/>
          <w:lang w:val="lv-LV"/>
        </w:rPr>
        <w:t>osakot maksimāli pieļaujamos procentus, jānodrošina, ka atbalstu apvienošanas rezultātā attiecīgajai ārstniecības iestādei piemērojamie p</w:t>
      </w:r>
      <w:r w:rsidR="00786ED6" w:rsidRPr="0039576F">
        <w:rPr>
          <w:rFonts w:ascii="Times New Roman" w:hAnsi="Times New Roman" w:cs="Times New Roman"/>
          <w:sz w:val="28"/>
          <w:szCs w:val="28"/>
          <w:lang w:val="lv-LV"/>
        </w:rPr>
        <w:t>rocenti nepārsniedz šā likuma 11.pantā un 13</w:t>
      </w:r>
      <w:r w:rsidRPr="0039576F">
        <w:rPr>
          <w:rFonts w:ascii="Times New Roman" w:hAnsi="Times New Roman" w:cs="Times New Roman"/>
          <w:sz w:val="28"/>
          <w:szCs w:val="28"/>
          <w:lang w:val="lv-LV"/>
        </w:rPr>
        <w:t>.pantā noteiktos pieļaujamos procentus nodokļu atlaižu piemērošanai.</w:t>
      </w:r>
    </w:p>
    <w:p w:rsidR="009E63C2" w:rsidRPr="0039576F" w:rsidRDefault="009E63C2"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(3) </w:t>
      </w:r>
      <w:r w:rsidR="004606AE" w:rsidRPr="0039576F">
        <w:rPr>
          <w:rFonts w:ascii="Times New Roman" w:hAnsi="Times New Roman" w:cs="Times New Roman"/>
          <w:sz w:val="28"/>
          <w:szCs w:val="28"/>
          <w:lang w:val="lv-LV"/>
        </w:rPr>
        <w:t xml:space="preserve">Ja ārstniecības iestāde šajā likumā noteikto atbalstu nodokļu atlaižu veidā </w:t>
      </w:r>
      <w:r w:rsidR="00BD7D0B" w:rsidRPr="0039576F">
        <w:rPr>
          <w:rFonts w:ascii="Times New Roman" w:hAnsi="Times New Roman" w:cs="Times New Roman"/>
          <w:sz w:val="28"/>
          <w:szCs w:val="28"/>
          <w:lang w:val="lv-LV"/>
        </w:rPr>
        <w:t xml:space="preserve">par tām pašām ieguldījumu projekta izmaksām </w:t>
      </w:r>
      <w:r w:rsidR="004606AE" w:rsidRPr="0039576F">
        <w:rPr>
          <w:rFonts w:ascii="Times New Roman" w:hAnsi="Times New Roman" w:cs="Times New Roman"/>
          <w:sz w:val="28"/>
          <w:szCs w:val="28"/>
          <w:lang w:val="lv-LV"/>
        </w:rPr>
        <w:t>vēlas apvienot ar citu atbalstu sākotnējo ieguldījumu veikšanai, līgums par ieguldījumu veikšanu, kurš noslēgts ar Ves</w:t>
      </w:r>
      <w:r w:rsidR="00153393" w:rsidRPr="0039576F">
        <w:rPr>
          <w:rFonts w:ascii="Times New Roman" w:hAnsi="Times New Roman" w:cs="Times New Roman"/>
          <w:sz w:val="28"/>
          <w:szCs w:val="28"/>
          <w:lang w:val="lv-LV"/>
        </w:rPr>
        <w:t xml:space="preserve">elības inspekciju, stājas spēkā </w:t>
      </w:r>
      <w:r w:rsidR="004606AE" w:rsidRPr="0039576F">
        <w:rPr>
          <w:rFonts w:ascii="Times New Roman" w:hAnsi="Times New Roman" w:cs="Times New Roman"/>
          <w:sz w:val="28"/>
          <w:szCs w:val="28"/>
          <w:lang w:val="lv-LV"/>
        </w:rPr>
        <w:t>un ieguldījumu veikšanu ārstniecības iestāde uzsāk tikai pēc tam, kad visas iesaistītās institūcijas pieņēmušas lēmumu</w:t>
      </w:r>
      <w:r w:rsidR="00BD7D0B" w:rsidRPr="0039576F">
        <w:rPr>
          <w:rFonts w:ascii="Times New Roman" w:hAnsi="Times New Roman" w:cs="Times New Roman"/>
          <w:sz w:val="28"/>
          <w:szCs w:val="28"/>
          <w:lang w:val="lv-LV"/>
        </w:rPr>
        <w:t xml:space="preserve"> vai noslēgušas līgumu</w:t>
      </w:r>
      <w:r w:rsidR="004606AE" w:rsidRPr="0039576F">
        <w:rPr>
          <w:rFonts w:ascii="Times New Roman" w:hAnsi="Times New Roman" w:cs="Times New Roman"/>
          <w:sz w:val="28"/>
          <w:szCs w:val="28"/>
          <w:lang w:val="lv-LV"/>
        </w:rPr>
        <w:t xml:space="preserve"> par atbalsta sniegšanu ieguldījumu projektam. </w:t>
      </w:r>
      <w:hyperlink r:id="rId21" w:anchor="p8.1" w:tgtFrame="_blank" w:history="1">
        <w:r w:rsidR="004606AE" w:rsidRPr="0039576F">
          <w:rPr>
            <w:rFonts w:ascii="Times New Roman" w:hAnsi="Times New Roman" w:cs="Times New Roman"/>
            <w:sz w:val="28"/>
            <w:szCs w:val="28"/>
            <w:lang w:val="lv-LV"/>
          </w:rPr>
          <w:t>13.</w:t>
        </w:r>
        <w:r w:rsidR="004606AE" w:rsidRPr="0039576F">
          <w:rPr>
            <w:rFonts w:ascii="Times New Roman" w:hAnsi="Times New Roman" w:cs="Times New Roman"/>
            <w:sz w:val="28"/>
            <w:szCs w:val="28"/>
            <w:vertAlign w:val="superscript"/>
            <w:lang w:val="lv-LV"/>
          </w:rPr>
          <w:t xml:space="preserve"> </w:t>
        </w:r>
        <w:r w:rsidR="004606AE" w:rsidRPr="0039576F">
          <w:rPr>
            <w:rFonts w:ascii="Times New Roman" w:hAnsi="Times New Roman" w:cs="Times New Roman"/>
            <w:sz w:val="28"/>
            <w:szCs w:val="28"/>
            <w:lang w:val="lv-LV"/>
          </w:rPr>
          <w:t>panta</w:t>
        </w:r>
      </w:hyperlink>
      <w:r w:rsidR="004606AE" w:rsidRPr="0039576F">
        <w:rPr>
          <w:rFonts w:ascii="Times New Roman" w:hAnsi="Times New Roman" w:cs="Times New Roman"/>
          <w:sz w:val="28"/>
          <w:szCs w:val="28"/>
          <w:lang w:val="lv-LV"/>
        </w:rPr>
        <w:t xml:space="preserve"> piektajā daļā minētajos gadījumos līgums par ieguldījumu veikšanu stājas spēkā tikai pēc Eiropas Komisijas lēmuma saņemšanas.</w:t>
      </w:r>
    </w:p>
    <w:p w:rsidR="005D5422" w:rsidRDefault="005D5422" w:rsidP="00E31C7A">
      <w:pPr>
        <w:spacing w:after="0" w:line="240" w:lineRule="auto"/>
        <w:jc w:val="both"/>
        <w:rPr>
          <w:rFonts w:ascii="Times New Roman" w:hAnsi="Times New Roman" w:cs="Times New Roman"/>
          <w:b/>
          <w:bCs/>
          <w:sz w:val="28"/>
          <w:szCs w:val="28"/>
          <w:lang w:val="lv-LV"/>
        </w:rPr>
      </w:pPr>
    </w:p>
    <w:p w:rsidR="00CC0A82" w:rsidRDefault="00CC0A82" w:rsidP="005D5422">
      <w:pPr>
        <w:spacing w:after="0" w:line="240" w:lineRule="auto"/>
        <w:ind w:firstLine="708"/>
        <w:jc w:val="both"/>
        <w:rPr>
          <w:rFonts w:ascii="Times New Roman" w:hAnsi="Times New Roman" w:cs="Times New Roman"/>
          <w:b/>
          <w:bCs/>
          <w:sz w:val="28"/>
          <w:szCs w:val="28"/>
          <w:lang w:val="lv-LV"/>
        </w:rPr>
      </w:pPr>
      <w:r w:rsidRPr="0039576F">
        <w:rPr>
          <w:rFonts w:ascii="Times New Roman" w:hAnsi="Times New Roman" w:cs="Times New Roman"/>
          <w:b/>
          <w:bCs/>
          <w:sz w:val="28"/>
          <w:szCs w:val="28"/>
          <w:lang w:val="lv-LV"/>
        </w:rPr>
        <w:t>1</w:t>
      </w:r>
      <w:r w:rsidR="007025BB" w:rsidRPr="0039576F">
        <w:rPr>
          <w:rFonts w:ascii="Times New Roman" w:hAnsi="Times New Roman" w:cs="Times New Roman"/>
          <w:b/>
          <w:bCs/>
          <w:sz w:val="28"/>
          <w:szCs w:val="28"/>
          <w:lang w:val="lv-LV"/>
        </w:rPr>
        <w:t>3</w:t>
      </w:r>
      <w:r w:rsidRPr="0039576F">
        <w:rPr>
          <w:rFonts w:ascii="Times New Roman" w:hAnsi="Times New Roman" w:cs="Times New Roman"/>
          <w:b/>
          <w:bCs/>
          <w:sz w:val="28"/>
          <w:szCs w:val="28"/>
          <w:lang w:val="lv-LV"/>
        </w:rPr>
        <w:t xml:space="preserve">.pants. </w:t>
      </w:r>
      <w:r w:rsidR="00685FA4" w:rsidRPr="0039576F">
        <w:rPr>
          <w:rFonts w:ascii="Times New Roman" w:hAnsi="Times New Roman" w:cs="Times New Roman"/>
          <w:b/>
          <w:bCs/>
          <w:sz w:val="28"/>
          <w:szCs w:val="28"/>
          <w:lang w:val="lv-LV"/>
        </w:rPr>
        <w:t>Nodokļu atlaižu piemērošana lieliem ieguldījumu projektiem</w:t>
      </w:r>
    </w:p>
    <w:p w:rsidR="00AD09E5" w:rsidRPr="0039576F" w:rsidRDefault="00AD09E5" w:rsidP="005D5422">
      <w:pPr>
        <w:spacing w:after="0" w:line="240" w:lineRule="auto"/>
        <w:ind w:firstLine="708"/>
        <w:jc w:val="both"/>
        <w:rPr>
          <w:rFonts w:ascii="Times New Roman" w:hAnsi="Times New Roman" w:cs="Times New Roman"/>
          <w:b/>
          <w:bCs/>
          <w:sz w:val="28"/>
          <w:szCs w:val="28"/>
          <w:lang w:val="lv-LV"/>
        </w:rPr>
      </w:pPr>
    </w:p>
    <w:p w:rsidR="00300833" w:rsidRPr="0039576F" w:rsidRDefault="00482B28"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(1) Par lielu ieguldījumu projektu šā likuma piemērošanai tiek uzskatīts ārstniecības plānotais ieguldījumu projekts, kura apmērs pārsniedz 50 miljonus </w:t>
      </w:r>
      <w:r w:rsidRPr="0039576F">
        <w:rPr>
          <w:rFonts w:ascii="Times New Roman" w:hAnsi="Times New Roman" w:cs="Times New Roman"/>
          <w:i/>
          <w:iCs/>
          <w:sz w:val="28"/>
          <w:szCs w:val="28"/>
          <w:lang w:val="lv-LV"/>
        </w:rPr>
        <w:t>euro</w:t>
      </w:r>
      <w:r w:rsidRPr="0039576F">
        <w:rPr>
          <w:rFonts w:ascii="Times New Roman" w:hAnsi="Times New Roman" w:cs="Times New Roman"/>
          <w:sz w:val="28"/>
          <w:szCs w:val="28"/>
          <w:lang w:val="lv-LV"/>
        </w:rPr>
        <w:t xml:space="preserve">. Lielam ieguldījumu </w:t>
      </w:r>
      <w:r w:rsidR="00786ED6" w:rsidRPr="0039576F">
        <w:rPr>
          <w:rFonts w:ascii="Times New Roman" w:hAnsi="Times New Roman" w:cs="Times New Roman"/>
          <w:sz w:val="28"/>
          <w:szCs w:val="28"/>
          <w:lang w:val="lv-LV"/>
        </w:rPr>
        <w:t>projektam nepiemēro šā likuma 11</w:t>
      </w:r>
      <w:r w:rsidRPr="0039576F">
        <w:rPr>
          <w:rFonts w:ascii="Times New Roman" w:hAnsi="Times New Roman" w:cs="Times New Roman"/>
          <w:sz w:val="28"/>
          <w:szCs w:val="28"/>
          <w:lang w:val="lv-LV"/>
        </w:rPr>
        <w:t>.pantā noteiktos pieļaujamos maksimālos procentus.</w:t>
      </w:r>
    </w:p>
    <w:p w:rsidR="00C52E63" w:rsidRPr="0039576F" w:rsidRDefault="00D85A97"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(2) Nosakot plānotā ieguldījumu projekta apmēru un pieļaujamos procentus nodokļu atvieglojumu piemērošanai, ņem vērā visus ārstniecības iestādes (grupas līmenī) veiktos sākotnējos ieguldījumus triju gadu laikā, kuri veikti tajā pašā statistiski teritoriālo vienību klasifikācijas (NUTS) III līmeņa </w:t>
      </w:r>
      <w:r w:rsidRPr="0039576F">
        <w:rPr>
          <w:rFonts w:ascii="Times New Roman" w:hAnsi="Times New Roman" w:cs="Times New Roman"/>
          <w:sz w:val="28"/>
          <w:szCs w:val="28"/>
          <w:lang w:val="lv-LV"/>
        </w:rPr>
        <w:lastRenderedPageBreak/>
        <w:t>reģionā (vienots ieguldījumu projekts), kuru veikšanai ārstniecības iestāde saņēmusi vai plāno saņemt atbalstu.</w:t>
      </w:r>
    </w:p>
    <w:p w:rsidR="007025BB" w:rsidRPr="0039576F" w:rsidRDefault="00C52E63"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(3) Lieliem ieguldījumu projektiem neatkarīgi no tā, vai ieguldījumus veic ārstniecības iestāde, kura atbilst mazas, vidējas vai lielas kapitālsabiedrības statusam saskaņā ar Komisijas regulas Nr.651/2014 1.pielikumā noteiktajiem kritērijiem, </w:t>
      </w:r>
      <w:r w:rsidR="00521E7A" w:rsidRPr="0039576F">
        <w:rPr>
          <w:rFonts w:ascii="Times New Roman" w:hAnsi="Times New Roman" w:cs="Times New Roman"/>
          <w:sz w:val="28"/>
          <w:szCs w:val="28"/>
          <w:lang w:val="lv-LV"/>
        </w:rPr>
        <w:t>Veselības inspekcija</w:t>
      </w:r>
      <w:r w:rsidRPr="0039576F">
        <w:rPr>
          <w:rFonts w:ascii="Times New Roman" w:hAnsi="Times New Roman" w:cs="Times New Roman"/>
          <w:sz w:val="28"/>
          <w:szCs w:val="28"/>
          <w:lang w:val="lv-LV"/>
        </w:rPr>
        <w:t xml:space="preserve"> līgumā par ieguldījuma veikšanu nosaka </w:t>
      </w:r>
      <w:r w:rsidR="00521E7A" w:rsidRPr="0039576F">
        <w:rPr>
          <w:rFonts w:ascii="Times New Roman" w:hAnsi="Times New Roman" w:cs="Times New Roman"/>
          <w:sz w:val="28"/>
          <w:szCs w:val="28"/>
          <w:lang w:val="lv-LV"/>
        </w:rPr>
        <w:t>attiecīgajai ārstniecības iestādei piemērojamos procentus no kopējās sākotnējo ieguldījumu summas, ievērojot šādus nosacījumus</w:t>
      </w:r>
      <w:r w:rsidRPr="0039576F">
        <w:rPr>
          <w:rFonts w:ascii="Times New Roman" w:hAnsi="Times New Roman" w:cs="Times New Roman"/>
          <w:sz w:val="28"/>
          <w:szCs w:val="28"/>
          <w:lang w:val="lv-LV"/>
        </w:rPr>
        <w:t>:</w:t>
      </w:r>
    </w:p>
    <w:p w:rsidR="007025BB" w:rsidRPr="0039576F" w:rsidRDefault="00C52E63"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1) 35 procentus no uzkrātās ieguldījumu summas piemēro ieguldījumu projektam līdz 50 miljoniem </w:t>
      </w:r>
      <w:r w:rsidRPr="0039576F">
        <w:rPr>
          <w:rFonts w:ascii="Times New Roman" w:hAnsi="Times New Roman" w:cs="Times New Roman"/>
          <w:i/>
          <w:iCs/>
          <w:sz w:val="28"/>
          <w:szCs w:val="28"/>
          <w:lang w:val="lv-LV"/>
        </w:rPr>
        <w:t>euro</w:t>
      </w:r>
      <w:r w:rsidR="00781DC2" w:rsidRPr="0039576F">
        <w:rPr>
          <w:rFonts w:ascii="Times New Roman" w:hAnsi="Times New Roman" w:cs="Times New Roman"/>
          <w:sz w:val="28"/>
          <w:szCs w:val="28"/>
          <w:lang w:val="lv-LV"/>
        </w:rPr>
        <w:t>;</w:t>
      </w:r>
    </w:p>
    <w:p w:rsidR="007025BB" w:rsidRPr="0039576F" w:rsidRDefault="00C52E63"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2) 17,5 procentus no uzkrātās ieguldījumu summas piemēro projekta daļai no 50 līdz 100 miljoniem </w:t>
      </w:r>
      <w:r w:rsidRPr="0039576F">
        <w:rPr>
          <w:rFonts w:ascii="Times New Roman" w:hAnsi="Times New Roman" w:cs="Times New Roman"/>
          <w:i/>
          <w:iCs/>
          <w:sz w:val="28"/>
          <w:szCs w:val="28"/>
          <w:lang w:val="lv-LV"/>
        </w:rPr>
        <w:t>euro</w:t>
      </w:r>
      <w:r w:rsidRPr="0039576F">
        <w:rPr>
          <w:rFonts w:ascii="Times New Roman" w:hAnsi="Times New Roman" w:cs="Times New Roman"/>
          <w:sz w:val="28"/>
          <w:szCs w:val="28"/>
          <w:lang w:val="lv-LV"/>
        </w:rPr>
        <w:t>;</w:t>
      </w:r>
    </w:p>
    <w:p w:rsidR="00C52E63" w:rsidRPr="0039576F" w:rsidRDefault="00C52E63"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3) 0 procentus no uzkrātās ieguldījumu summas piemēro projekta daļai, kas pārsniedz 100 miljonus </w:t>
      </w:r>
      <w:r w:rsidRPr="0039576F">
        <w:rPr>
          <w:rFonts w:ascii="Times New Roman" w:hAnsi="Times New Roman" w:cs="Times New Roman"/>
          <w:i/>
          <w:iCs/>
          <w:sz w:val="28"/>
          <w:szCs w:val="28"/>
          <w:lang w:val="lv-LV"/>
        </w:rPr>
        <w:t>euro</w:t>
      </w:r>
      <w:r w:rsidRPr="0039576F">
        <w:rPr>
          <w:rFonts w:ascii="Times New Roman" w:hAnsi="Times New Roman" w:cs="Times New Roman"/>
          <w:sz w:val="28"/>
          <w:szCs w:val="28"/>
          <w:lang w:val="lv-LV"/>
        </w:rPr>
        <w:t>.</w:t>
      </w:r>
    </w:p>
    <w:p w:rsidR="00AF7F85" w:rsidRPr="0039576F" w:rsidRDefault="00F533DC"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(4) Lielo ieguldījumu projektiem piemērojamā maksimālā tiešo nodokļu atlaižu summa nepārsniedz 26,25 miljonus </w:t>
      </w:r>
      <w:r w:rsidRPr="0039576F">
        <w:rPr>
          <w:rFonts w:ascii="Times New Roman" w:hAnsi="Times New Roman" w:cs="Times New Roman"/>
          <w:i/>
          <w:iCs/>
          <w:sz w:val="28"/>
          <w:szCs w:val="28"/>
          <w:lang w:val="lv-LV"/>
        </w:rPr>
        <w:t>euro</w:t>
      </w:r>
      <w:r w:rsidRPr="0039576F">
        <w:rPr>
          <w:rFonts w:ascii="Times New Roman" w:hAnsi="Times New Roman" w:cs="Times New Roman"/>
          <w:sz w:val="28"/>
          <w:szCs w:val="28"/>
          <w:lang w:val="lv-LV"/>
        </w:rPr>
        <w:t>.</w:t>
      </w:r>
    </w:p>
    <w:p w:rsidR="00AF7F85" w:rsidRPr="0039576F" w:rsidRDefault="00AF7F85"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(5) Lielo ieguldījumu projektam, kura plānotās izmaksas pārsniedz 100 miljonus </w:t>
      </w:r>
      <w:r w:rsidRPr="0039576F">
        <w:rPr>
          <w:rFonts w:ascii="Times New Roman" w:hAnsi="Times New Roman" w:cs="Times New Roman"/>
          <w:i/>
          <w:iCs/>
          <w:sz w:val="28"/>
          <w:szCs w:val="28"/>
          <w:lang w:val="lv-LV"/>
        </w:rPr>
        <w:t xml:space="preserve">euro </w:t>
      </w:r>
      <w:r w:rsidRPr="0039576F">
        <w:rPr>
          <w:rFonts w:ascii="Times New Roman" w:hAnsi="Times New Roman" w:cs="Times New Roman"/>
          <w:sz w:val="28"/>
          <w:szCs w:val="28"/>
          <w:lang w:val="lv-LV"/>
        </w:rPr>
        <w:t xml:space="preserve">un tiešo nodokļu atlaižu summa pārsniedz 26,25 miljonus </w:t>
      </w:r>
      <w:r w:rsidRPr="0039576F">
        <w:rPr>
          <w:rFonts w:ascii="Times New Roman" w:hAnsi="Times New Roman" w:cs="Times New Roman"/>
          <w:i/>
          <w:iCs/>
          <w:sz w:val="28"/>
          <w:szCs w:val="28"/>
          <w:lang w:val="lv-LV"/>
        </w:rPr>
        <w:t>euro</w:t>
      </w:r>
      <w:r w:rsidRPr="0039576F">
        <w:rPr>
          <w:rFonts w:ascii="Times New Roman" w:hAnsi="Times New Roman" w:cs="Times New Roman"/>
          <w:sz w:val="28"/>
          <w:szCs w:val="28"/>
          <w:lang w:val="lv-LV"/>
        </w:rPr>
        <w:t xml:space="preserve">, Veselības inspekcija līgumā par ieguldījumu veikšanu var noteikt piemērojamo maksimālo tiešo nodokļu atlaižu summu lielāku nekā 26,25 miljoni </w:t>
      </w:r>
      <w:r w:rsidRPr="0039576F">
        <w:rPr>
          <w:rFonts w:ascii="Times New Roman" w:hAnsi="Times New Roman" w:cs="Times New Roman"/>
          <w:i/>
          <w:iCs/>
          <w:sz w:val="28"/>
          <w:szCs w:val="28"/>
          <w:lang w:val="lv-LV"/>
        </w:rPr>
        <w:t>euro</w:t>
      </w:r>
      <w:r w:rsidRPr="0039576F">
        <w:rPr>
          <w:rFonts w:ascii="Times New Roman" w:hAnsi="Times New Roman" w:cs="Times New Roman"/>
          <w:sz w:val="28"/>
          <w:szCs w:val="28"/>
          <w:lang w:val="lv-LV"/>
        </w:rPr>
        <w:t>, ja:</w:t>
      </w:r>
    </w:p>
    <w:p w:rsidR="00AF7F85" w:rsidRPr="0039576F" w:rsidRDefault="00AF7F85"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1) Ministru kabinets ir pieņēmis lēmumu par liela ieguldījumu projekta atbalstīšanu un piemērojamo maksimālo tiešo nodokļu atlaižu summu lielāku nekā 26,25 miljoni </w:t>
      </w:r>
      <w:r w:rsidRPr="0039576F">
        <w:rPr>
          <w:rFonts w:ascii="Times New Roman" w:hAnsi="Times New Roman" w:cs="Times New Roman"/>
          <w:i/>
          <w:iCs/>
          <w:sz w:val="28"/>
          <w:szCs w:val="28"/>
          <w:lang w:val="lv-LV"/>
        </w:rPr>
        <w:t>euro</w:t>
      </w:r>
      <w:r w:rsidRPr="0039576F">
        <w:rPr>
          <w:rFonts w:ascii="Times New Roman" w:hAnsi="Times New Roman" w:cs="Times New Roman"/>
          <w:sz w:val="28"/>
          <w:szCs w:val="28"/>
          <w:lang w:val="lv-LV"/>
        </w:rPr>
        <w:t>;</w:t>
      </w:r>
    </w:p>
    <w:p w:rsidR="00AF7F85" w:rsidRPr="0039576F" w:rsidRDefault="00AF7F85"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2) ir saņemts Eiropas Komisijas lēmums par atbalsta saderīgumu ar Kopējo tirgu.</w:t>
      </w:r>
    </w:p>
    <w:p w:rsidR="00F533DC" w:rsidRPr="0039576F" w:rsidRDefault="004B3D6C"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(6) Šā panta piektajā daļā noteiktās tiešo nodokļu atlaižu summas pārsniegšanas gadījumā Veselības ministrija iesniedz nepieciešamo informāciju Ministru kabinetam. Pēc tam, kad saņemts Ministru kabineta lēmums, Veselības ministrija iesniedz valsts atbalsta paziņojumu Eiropas Komisijai normatīvajos aktos par komercdarbības atbalsta kontroli noteiktajā kārtībā.</w:t>
      </w:r>
    </w:p>
    <w:p w:rsidR="005D5422" w:rsidRDefault="005D5422" w:rsidP="00E31C7A">
      <w:pPr>
        <w:spacing w:after="0" w:line="240" w:lineRule="auto"/>
        <w:jc w:val="both"/>
        <w:rPr>
          <w:rFonts w:ascii="Times New Roman" w:hAnsi="Times New Roman" w:cs="Times New Roman"/>
          <w:b/>
          <w:bCs/>
          <w:sz w:val="28"/>
          <w:szCs w:val="28"/>
          <w:lang w:val="lv-LV"/>
        </w:rPr>
      </w:pPr>
    </w:p>
    <w:p w:rsidR="00160B2C" w:rsidRDefault="00247B8E" w:rsidP="005D5422">
      <w:pPr>
        <w:spacing w:after="0" w:line="240" w:lineRule="auto"/>
        <w:ind w:firstLine="708"/>
        <w:jc w:val="both"/>
        <w:rPr>
          <w:rFonts w:ascii="Times New Roman" w:hAnsi="Times New Roman" w:cs="Times New Roman"/>
          <w:b/>
          <w:bCs/>
          <w:sz w:val="28"/>
          <w:szCs w:val="28"/>
          <w:lang w:val="lv-LV"/>
        </w:rPr>
      </w:pPr>
      <w:r w:rsidRPr="0039576F">
        <w:rPr>
          <w:rFonts w:ascii="Times New Roman" w:hAnsi="Times New Roman" w:cs="Times New Roman"/>
          <w:b/>
          <w:bCs/>
          <w:sz w:val="28"/>
          <w:szCs w:val="28"/>
          <w:lang w:val="lv-LV"/>
        </w:rPr>
        <w:t>1</w:t>
      </w:r>
      <w:r w:rsidR="005171AD" w:rsidRPr="0039576F">
        <w:rPr>
          <w:rFonts w:ascii="Times New Roman" w:hAnsi="Times New Roman" w:cs="Times New Roman"/>
          <w:b/>
          <w:bCs/>
          <w:sz w:val="28"/>
          <w:szCs w:val="28"/>
          <w:lang w:val="lv-LV"/>
        </w:rPr>
        <w:t>4</w:t>
      </w:r>
      <w:r w:rsidRPr="0039576F">
        <w:rPr>
          <w:rFonts w:ascii="Times New Roman" w:hAnsi="Times New Roman" w:cs="Times New Roman"/>
          <w:b/>
          <w:bCs/>
          <w:sz w:val="28"/>
          <w:szCs w:val="28"/>
          <w:lang w:val="lv-LV"/>
        </w:rPr>
        <w:t>.p</w:t>
      </w:r>
      <w:r w:rsidR="00160B2C" w:rsidRPr="0039576F">
        <w:rPr>
          <w:rFonts w:ascii="Times New Roman" w:hAnsi="Times New Roman" w:cs="Times New Roman"/>
          <w:b/>
          <w:bCs/>
          <w:sz w:val="28"/>
          <w:szCs w:val="28"/>
          <w:lang w:val="lv-LV"/>
        </w:rPr>
        <w:t xml:space="preserve">ants. </w:t>
      </w:r>
      <w:r w:rsidR="00CC0A82" w:rsidRPr="0039576F">
        <w:rPr>
          <w:rFonts w:ascii="Times New Roman" w:hAnsi="Times New Roman" w:cs="Times New Roman"/>
          <w:b/>
          <w:bCs/>
          <w:sz w:val="28"/>
          <w:szCs w:val="28"/>
          <w:lang w:val="lv-LV"/>
        </w:rPr>
        <w:t>Ministru kabineta kompetence</w:t>
      </w:r>
    </w:p>
    <w:p w:rsidR="00AD09E5" w:rsidRPr="0039576F" w:rsidRDefault="00AD09E5" w:rsidP="005D5422">
      <w:pPr>
        <w:spacing w:after="0" w:line="240" w:lineRule="auto"/>
        <w:ind w:firstLine="708"/>
        <w:jc w:val="both"/>
        <w:rPr>
          <w:rFonts w:ascii="Times New Roman" w:hAnsi="Times New Roman" w:cs="Times New Roman"/>
          <w:b/>
          <w:bCs/>
          <w:sz w:val="28"/>
          <w:szCs w:val="28"/>
          <w:lang w:val="lv-LV"/>
        </w:rPr>
      </w:pPr>
    </w:p>
    <w:p w:rsidR="00291291" w:rsidRPr="0039576F" w:rsidRDefault="00160B2C"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Ministru kabinets izdot noteikumus, kuros nosaka</w:t>
      </w:r>
      <w:r w:rsidR="00C35BE8" w:rsidRPr="0039576F">
        <w:rPr>
          <w:rFonts w:ascii="Times New Roman" w:hAnsi="Times New Roman" w:cs="Times New Roman"/>
          <w:sz w:val="28"/>
          <w:szCs w:val="28"/>
          <w:lang w:val="lv-LV"/>
        </w:rPr>
        <w:t>:</w:t>
      </w:r>
      <w:r w:rsidR="009839A6" w:rsidRPr="0039576F">
        <w:rPr>
          <w:rFonts w:ascii="Times New Roman" w:hAnsi="Times New Roman" w:cs="Times New Roman"/>
          <w:sz w:val="28"/>
          <w:szCs w:val="28"/>
          <w:lang w:val="lv-LV"/>
        </w:rPr>
        <w:t xml:space="preserve"> </w:t>
      </w:r>
    </w:p>
    <w:p w:rsidR="00640BD2" w:rsidRPr="0039576F" w:rsidRDefault="00291291"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1) </w:t>
      </w:r>
      <w:r w:rsidR="009839A6" w:rsidRPr="0039576F">
        <w:rPr>
          <w:rFonts w:ascii="Times New Roman" w:hAnsi="Times New Roman" w:cs="Times New Roman"/>
          <w:sz w:val="28"/>
          <w:szCs w:val="28"/>
          <w:lang w:val="lv-LV"/>
        </w:rPr>
        <w:t>prasības</w:t>
      </w:r>
      <w:r w:rsidR="00B6216F" w:rsidRPr="0039576F">
        <w:rPr>
          <w:rFonts w:ascii="Times New Roman" w:hAnsi="Times New Roman" w:cs="Times New Roman"/>
          <w:sz w:val="28"/>
          <w:szCs w:val="28"/>
          <w:lang w:val="lv-LV"/>
        </w:rPr>
        <w:t xml:space="preserve"> </w:t>
      </w:r>
      <w:r w:rsidR="00160B2C" w:rsidRPr="0039576F">
        <w:rPr>
          <w:rFonts w:ascii="Times New Roman" w:hAnsi="Times New Roman" w:cs="Times New Roman"/>
          <w:sz w:val="28"/>
          <w:szCs w:val="28"/>
          <w:lang w:val="lv-LV"/>
        </w:rPr>
        <w:t>ieguldījumu projekta pieteikuma iesniegšanai</w:t>
      </w:r>
      <w:r w:rsidR="00B6216F" w:rsidRPr="0039576F">
        <w:rPr>
          <w:rFonts w:ascii="Times New Roman" w:hAnsi="Times New Roman" w:cs="Times New Roman"/>
          <w:sz w:val="28"/>
          <w:szCs w:val="28"/>
          <w:lang w:val="lv-LV"/>
        </w:rPr>
        <w:t xml:space="preserve">, </w:t>
      </w:r>
      <w:r w:rsidR="00160B2C" w:rsidRPr="0039576F">
        <w:rPr>
          <w:rFonts w:ascii="Times New Roman" w:hAnsi="Times New Roman" w:cs="Times New Roman"/>
          <w:sz w:val="28"/>
          <w:szCs w:val="28"/>
          <w:lang w:val="lv-LV"/>
        </w:rPr>
        <w:t>ieguldījumu projekta pieteikuma vērtēšanai</w:t>
      </w:r>
      <w:r w:rsidR="00B6216F" w:rsidRPr="0039576F">
        <w:rPr>
          <w:rFonts w:ascii="Times New Roman" w:hAnsi="Times New Roman" w:cs="Times New Roman"/>
          <w:sz w:val="28"/>
          <w:szCs w:val="28"/>
          <w:lang w:val="lv-LV"/>
        </w:rPr>
        <w:t xml:space="preserve">, </w:t>
      </w:r>
      <w:r w:rsidR="00160B2C" w:rsidRPr="0039576F">
        <w:rPr>
          <w:rFonts w:ascii="Times New Roman" w:hAnsi="Times New Roman" w:cs="Times New Roman"/>
          <w:sz w:val="28"/>
          <w:szCs w:val="28"/>
          <w:lang w:val="lv-LV"/>
        </w:rPr>
        <w:t xml:space="preserve">līguma par ieguldījumu veikšanu slēgšanai un </w:t>
      </w:r>
      <w:r w:rsidR="00C90061" w:rsidRPr="0039576F">
        <w:rPr>
          <w:rFonts w:ascii="Times New Roman" w:hAnsi="Times New Roman" w:cs="Times New Roman"/>
          <w:sz w:val="28"/>
          <w:szCs w:val="28"/>
          <w:lang w:val="lv-LV"/>
        </w:rPr>
        <w:t>informācijas</w:t>
      </w:r>
      <w:r w:rsidR="00160B2C" w:rsidRPr="0039576F">
        <w:rPr>
          <w:rFonts w:ascii="Times New Roman" w:hAnsi="Times New Roman" w:cs="Times New Roman"/>
          <w:sz w:val="28"/>
          <w:szCs w:val="28"/>
          <w:lang w:val="lv-LV"/>
        </w:rPr>
        <w:t xml:space="preserve"> sniegšanai par ieguldījumu projekta īstenošanu</w:t>
      </w:r>
      <w:r w:rsidR="005D6E04" w:rsidRPr="0039576F">
        <w:rPr>
          <w:rFonts w:ascii="Times New Roman" w:hAnsi="Times New Roman" w:cs="Times New Roman"/>
          <w:sz w:val="28"/>
          <w:szCs w:val="28"/>
          <w:lang w:val="lv-LV"/>
        </w:rPr>
        <w:t xml:space="preserve"> un tiešo nodokļu atlaižu piemērošanu</w:t>
      </w:r>
      <w:r w:rsidRPr="0039576F">
        <w:rPr>
          <w:rFonts w:ascii="Times New Roman" w:hAnsi="Times New Roman" w:cs="Times New Roman"/>
          <w:sz w:val="28"/>
          <w:szCs w:val="28"/>
          <w:lang w:val="lv-LV"/>
        </w:rPr>
        <w:t>;</w:t>
      </w:r>
    </w:p>
    <w:p w:rsidR="00291291" w:rsidRDefault="00291291"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2) kārtību, kādā ārstniecības iestāde sniedz pārskatus par tiešo nodokļu atlaižu piemērošanu par līgumā par ieguldījumu veikšanu paredzētajiem ieguldījumiem.</w:t>
      </w:r>
    </w:p>
    <w:p w:rsidR="00AD09E5" w:rsidRDefault="00AD09E5" w:rsidP="005D5422">
      <w:pPr>
        <w:spacing w:after="0" w:line="240" w:lineRule="auto"/>
        <w:ind w:firstLine="708"/>
        <w:jc w:val="both"/>
        <w:rPr>
          <w:rFonts w:ascii="Times New Roman" w:hAnsi="Times New Roman" w:cs="Times New Roman"/>
          <w:sz w:val="28"/>
          <w:szCs w:val="28"/>
          <w:lang w:val="lv-LV"/>
        </w:rPr>
      </w:pPr>
    </w:p>
    <w:p w:rsidR="00AD09E5" w:rsidRPr="0039576F" w:rsidRDefault="00AD09E5" w:rsidP="005D5422">
      <w:pPr>
        <w:spacing w:after="0" w:line="240" w:lineRule="auto"/>
        <w:ind w:firstLine="708"/>
        <w:jc w:val="both"/>
        <w:rPr>
          <w:rFonts w:ascii="Times New Roman" w:hAnsi="Times New Roman" w:cs="Times New Roman"/>
          <w:sz w:val="28"/>
          <w:szCs w:val="28"/>
          <w:lang w:val="lv-LV"/>
        </w:rPr>
      </w:pPr>
    </w:p>
    <w:p w:rsidR="005D5422" w:rsidRDefault="005D5422" w:rsidP="00E31C7A">
      <w:pPr>
        <w:spacing w:after="0" w:line="240" w:lineRule="auto"/>
        <w:jc w:val="both"/>
        <w:rPr>
          <w:rFonts w:ascii="Times New Roman" w:hAnsi="Times New Roman" w:cs="Times New Roman"/>
          <w:b/>
          <w:bCs/>
          <w:sz w:val="28"/>
          <w:szCs w:val="28"/>
          <w:lang w:val="lv-LV"/>
        </w:rPr>
      </w:pPr>
    </w:p>
    <w:p w:rsidR="00603480" w:rsidRDefault="00247B8E" w:rsidP="005D5422">
      <w:pPr>
        <w:spacing w:after="0" w:line="240" w:lineRule="auto"/>
        <w:ind w:firstLine="708"/>
        <w:jc w:val="both"/>
        <w:rPr>
          <w:rFonts w:ascii="Times New Roman" w:hAnsi="Times New Roman" w:cs="Times New Roman"/>
          <w:b/>
          <w:bCs/>
          <w:sz w:val="28"/>
          <w:szCs w:val="28"/>
          <w:lang w:val="lv-LV"/>
        </w:rPr>
      </w:pPr>
      <w:r w:rsidRPr="0039576F">
        <w:rPr>
          <w:rFonts w:ascii="Times New Roman" w:hAnsi="Times New Roman" w:cs="Times New Roman"/>
          <w:b/>
          <w:bCs/>
          <w:sz w:val="28"/>
          <w:szCs w:val="28"/>
          <w:lang w:val="lv-LV"/>
        </w:rPr>
        <w:lastRenderedPageBreak/>
        <w:t>1</w:t>
      </w:r>
      <w:r w:rsidR="005171AD" w:rsidRPr="0039576F">
        <w:rPr>
          <w:rFonts w:ascii="Times New Roman" w:hAnsi="Times New Roman" w:cs="Times New Roman"/>
          <w:b/>
          <w:bCs/>
          <w:sz w:val="28"/>
          <w:szCs w:val="28"/>
          <w:lang w:val="lv-LV"/>
        </w:rPr>
        <w:t>5</w:t>
      </w:r>
      <w:r w:rsidRPr="0039576F">
        <w:rPr>
          <w:rFonts w:ascii="Times New Roman" w:hAnsi="Times New Roman" w:cs="Times New Roman"/>
          <w:b/>
          <w:bCs/>
          <w:sz w:val="28"/>
          <w:szCs w:val="28"/>
          <w:lang w:val="lv-LV"/>
        </w:rPr>
        <w:t>.p</w:t>
      </w:r>
      <w:r w:rsidR="00603480" w:rsidRPr="0039576F">
        <w:rPr>
          <w:rFonts w:ascii="Times New Roman" w:hAnsi="Times New Roman" w:cs="Times New Roman"/>
          <w:b/>
          <w:bCs/>
          <w:sz w:val="28"/>
          <w:szCs w:val="28"/>
          <w:lang w:val="lv-LV"/>
        </w:rPr>
        <w:t>ants. Valsts atbalsta sniegšanas tiesiskais pamats</w:t>
      </w:r>
      <w:r w:rsidR="002F217F" w:rsidRPr="0039576F">
        <w:rPr>
          <w:rFonts w:ascii="Times New Roman" w:hAnsi="Times New Roman" w:cs="Times New Roman"/>
          <w:b/>
          <w:bCs/>
          <w:sz w:val="28"/>
          <w:szCs w:val="28"/>
          <w:lang w:val="lv-LV"/>
        </w:rPr>
        <w:t xml:space="preserve"> </w:t>
      </w:r>
    </w:p>
    <w:p w:rsidR="00AD09E5" w:rsidRPr="0039576F" w:rsidRDefault="00AD09E5" w:rsidP="005D5422">
      <w:pPr>
        <w:spacing w:after="0" w:line="240" w:lineRule="auto"/>
        <w:ind w:firstLine="708"/>
        <w:jc w:val="both"/>
        <w:rPr>
          <w:rFonts w:ascii="Times New Roman" w:hAnsi="Times New Roman" w:cs="Times New Roman"/>
          <w:b/>
          <w:bCs/>
          <w:sz w:val="28"/>
          <w:szCs w:val="28"/>
          <w:lang w:val="lv-LV"/>
        </w:rPr>
      </w:pPr>
    </w:p>
    <w:p w:rsidR="003961DF" w:rsidRDefault="002F217F" w:rsidP="005D5422">
      <w:pPr>
        <w:spacing w:after="0" w:line="240" w:lineRule="auto"/>
        <w:ind w:firstLine="708"/>
        <w:jc w:val="both"/>
        <w:rPr>
          <w:rFonts w:ascii="Times New Roman" w:hAnsi="Times New Roman" w:cs="Times New Roman"/>
          <w:sz w:val="28"/>
          <w:szCs w:val="28"/>
          <w:lang w:val="lv-LV"/>
        </w:rPr>
      </w:pPr>
      <w:r w:rsidRPr="0039576F">
        <w:rPr>
          <w:rFonts w:ascii="Times New Roman" w:hAnsi="Times New Roman" w:cs="Times New Roman"/>
          <w:sz w:val="28"/>
          <w:szCs w:val="28"/>
          <w:lang w:val="lv-LV"/>
        </w:rPr>
        <w:t xml:space="preserve">Tiešo nodokļu atlaides piemērojamas saskaņā ar Komisijas regulas Nr.651/2014 III. nodaļas </w:t>
      </w:r>
      <w:r w:rsidR="00E46268" w:rsidRPr="0039576F">
        <w:rPr>
          <w:rFonts w:ascii="Times New Roman" w:hAnsi="Times New Roman" w:cs="Times New Roman"/>
          <w:sz w:val="28"/>
          <w:szCs w:val="28"/>
          <w:lang w:val="lv-LV"/>
        </w:rPr>
        <w:t>1.iedaļu "Reģionālais atbalsts".</w:t>
      </w:r>
    </w:p>
    <w:p w:rsidR="008E6A01" w:rsidRDefault="008E6A01" w:rsidP="005D5422">
      <w:pPr>
        <w:spacing w:after="0" w:line="240" w:lineRule="auto"/>
        <w:ind w:firstLine="708"/>
        <w:jc w:val="both"/>
        <w:rPr>
          <w:rFonts w:ascii="Times New Roman" w:hAnsi="Times New Roman" w:cs="Times New Roman"/>
          <w:sz w:val="28"/>
          <w:szCs w:val="28"/>
          <w:lang w:val="lv-LV"/>
        </w:rPr>
      </w:pPr>
    </w:p>
    <w:p w:rsidR="008E6A01" w:rsidRDefault="008E6A01" w:rsidP="008E6A01">
      <w:pPr>
        <w:spacing w:after="0" w:line="240" w:lineRule="auto"/>
        <w:ind w:left="180" w:hanging="180"/>
        <w:jc w:val="both"/>
        <w:rPr>
          <w:rFonts w:ascii="Times New Roman" w:eastAsia="Calibri" w:hAnsi="Times New Roman" w:cs="Times New Roman"/>
          <w:sz w:val="28"/>
          <w:szCs w:val="28"/>
          <w:lang w:val="lv-LV"/>
        </w:rPr>
      </w:pPr>
    </w:p>
    <w:p w:rsidR="008E6A01" w:rsidRPr="00AD09E5" w:rsidRDefault="008E6A01" w:rsidP="008E6A01">
      <w:pPr>
        <w:spacing w:after="0" w:line="240" w:lineRule="auto"/>
        <w:ind w:left="180" w:hanging="180"/>
        <w:jc w:val="both"/>
        <w:rPr>
          <w:rFonts w:ascii="Times New Roman" w:eastAsia="Calibri" w:hAnsi="Times New Roman" w:cs="Times New Roman"/>
          <w:sz w:val="28"/>
          <w:szCs w:val="28"/>
          <w:lang w:val="lv-LV"/>
        </w:rPr>
      </w:pPr>
      <w:r w:rsidRPr="00AD09E5">
        <w:rPr>
          <w:rFonts w:ascii="Times New Roman" w:eastAsia="Calibri" w:hAnsi="Times New Roman" w:cs="Times New Roman"/>
          <w:sz w:val="28"/>
          <w:szCs w:val="28"/>
          <w:lang w:val="lv-LV"/>
        </w:rPr>
        <w:t>Veselības ministre</w:t>
      </w:r>
      <w:r w:rsidRPr="00AD09E5">
        <w:rPr>
          <w:rFonts w:ascii="Times New Roman" w:eastAsia="Calibri" w:hAnsi="Times New Roman" w:cs="Times New Roman"/>
          <w:sz w:val="28"/>
          <w:szCs w:val="28"/>
          <w:lang w:val="lv-LV"/>
        </w:rPr>
        <w:tab/>
      </w:r>
      <w:r w:rsidRPr="00AD09E5">
        <w:rPr>
          <w:rFonts w:ascii="Times New Roman" w:eastAsia="Calibri" w:hAnsi="Times New Roman" w:cs="Times New Roman"/>
          <w:sz w:val="28"/>
          <w:szCs w:val="28"/>
          <w:lang w:val="lv-LV"/>
        </w:rPr>
        <w:tab/>
      </w:r>
      <w:r w:rsidRPr="00AD09E5">
        <w:rPr>
          <w:rFonts w:ascii="Times New Roman" w:eastAsia="Calibri" w:hAnsi="Times New Roman" w:cs="Times New Roman"/>
          <w:sz w:val="28"/>
          <w:szCs w:val="28"/>
          <w:lang w:val="lv-LV"/>
        </w:rPr>
        <w:tab/>
      </w:r>
      <w:r w:rsidRPr="00AD09E5">
        <w:rPr>
          <w:rFonts w:ascii="Times New Roman" w:eastAsia="Calibri" w:hAnsi="Times New Roman" w:cs="Times New Roman"/>
          <w:sz w:val="28"/>
          <w:szCs w:val="28"/>
          <w:lang w:val="lv-LV"/>
        </w:rPr>
        <w:tab/>
      </w:r>
      <w:r w:rsidRPr="00AD09E5">
        <w:rPr>
          <w:rFonts w:ascii="Times New Roman" w:eastAsia="Calibri" w:hAnsi="Times New Roman" w:cs="Times New Roman"/>
          <w:sz w:val="28"/>
          <w:szCs w:val="28"/>
          <w:lang w:val="lv-LV"/>
        </w:rPr>
        <w:tab/>
      </w:r>
      <w:r w:rsidRPr="00AD09E5">
        <w:rPr>
          <w:rFonts w:ascii="Times New Roman" w:eastAsia="Calibri" w:hAnsi="Times New Roman" w:cs="Times New Roman"/>
          <w:sz w:val="28"/>
          <w:szCs w:val="28"/>
          <w:lang w:val="lv-LV"/>
        </w:rPr>
        <w:tab/>
      </w:r>
      <w:r w:rsidRPr="00AD09E5">
        <w:rPr>
          <w:rFonts w:ascii="Times New Roman" w:eastAsia="Calibri" w:hAnsi="Times New Roman" w:cs="Times New Roman"/>
          <w:sz w:val="28"/>
          <w:szCs w:val="28"/>
          <w:lang w:val="lv-LV"/>
        </w:rPr>
        <w:tab/>
      </w:r>
      <w:r w:rsidR="000E6602" w:rsidRPr="00AD09E5">
        <w:rPr>
          <w:rFonts w:ascii="Times New Roman" w:eastAsia="Calibri" w:hAnsi="Times New Roman" w:cs="Times New Roman"/>
          <w:sz w:val="28"/>
          <w:szCs w:val="28"/>
          <w:lang w:val="lv-LV"/>
        </w:rPr>
        <w:t xml:space="preserve"> </w:t>
      </w:r>
      <w:r w:rsidR="00AD09E5">
        <w:rPr>
          <w:rFonts w:ascii="Times New Roman" w:eastAsia="Calibri" w:hAnsi="Times New Roman" w:cs="Times New Roman"/>
          <w:sz w:val="28"/>
          <w:szCs w:val="28"/>
          <w:lang w:val="lv-LV"/>
        </w:rPr>
        <w:tab/>
        <w:t xml:space="preserve">    </w:t>
      </w:r>
      <w:r w:rsidRPr="00AD09E5">
        <w:rPr>
          <w:rFonts w:ascii="Times New Roman" w:eastAsia="Calibri" w:hAnsi="Times New Roman" w:cs="Times New Roman"/>
          <w:sz w:val="28"/>
          <w:szCs w:val="28"/>
          <w:lang w:val="lv-LV"/>
        </w:rPr>
        <w:t>Anda Čakša</w:t>
      </w:r>
    </w:p>
    <w:p w:rsidR="008E6A01" w:rsidRPr="00AD09E5" w:rsidRDefault="008E6A01" w:rsidP="008E6A01">
      <w:pPr>
        <w:tabs>
          <w:tab w:val="right" w:pos="9072"/>
        </w:tabs>
        <w:spacing w:after="0" w:line="240" w:lineRule="auto"/>
        <w:ind w:left="180" w:hanging="180"/>
        <w:jc w:val="both"/>
        <w:rPr>
          <w:rFonts w:ascii="Times New Roman" w:eastAsia="Calibri" w:hAnsi="Times New Roman" w:cs="Times New Roman"/>
          <w:sz w:val="28"/>
          <w:szCs w:val="28"/>
          <w:lang w:val="lv-LV"/>
        </w:rPr>
      </w:pPr>
    </w:p>
    <w:p w:rsidR="008E6A01" w:rsidRPr="00AD09E5" w:rsidRDefault="008E6A01" w:rsidP="008E6A01">
      <w:pPr>
        <w:tabs>
          <w:tab w:val="right" w:pos="9072"/>
        </w:tabs>
        <w:spacing w:after="0" w:line="240" w:lineRule="auto"/>
        <w:ind w:left="180" w:hanging="180"/>
        <w:jc w:val="both"/>
        <w:rPr>
          <w:rFonts w:ascii="Times New Roman" w:eastAsia="Calibri" w:hAnsi="Times New Roman" w:cs="Times New Roman"/>
          <w:sz w:val="28"/>
          <w:szCs w:val="28"/>
          <w:lang w:val="lv-LV"/>
        </w:rPr>
      </w:pPr>
    </w:p>
    <w:p w:rsidR="008E6A01" w:rsidRPr="00AD09E5" w:rsidRDefault="008E6A01" w:rsidP="008E6A01">
      <w:pPr>
        <w:tabs>
          <w:tab w:val="right" w:pos="9072"/>
        </w:tabs>
        <w:spacing w:after="0" w:line="240" w:lineRule="auto"/>
        <w:ind w:left="180" w:hanging="180"/>
        <w:jc w:val="both"/>
        <w:rPr>
          <w:rFonts w:ascii="Times New Roman" w:eastAsia="Calibri" w:hAnsi="Times New Roman" w:cs="Times New Roman"/>
          <w:sz w:val="28"/>
          <w:szCs w:val="28"/>
          <w:lang w:val="lv-LV"/>
        </w:rPr>
      </w:pPr>
      <w:r w:rsidRPr="00AD09E5">
        <w:rPr>
          <w:rFonts w:ascii="Times New Roman" w:eastAsia="Calibri" w:hAnsi="Times New Roman" w:cs="Times New Roman"/>
          <w:sz w:val="28"/>
          <w:szCs w:val="28"/>
          <w:lang w:val="lv-LV"/>
        </w:rPr>
        <w:t xml:space="preserve">Iesniedzējs: Veselības ministre                                       </w:t>
      </w:r>
      <w:r w:rsidR="00AD09E5">
        <w:rPr>
          <w:rFonts w:ascii="Times New Roman" w:eastAsia="Calibri" w:hAnsi="Times New Roman" w:cs="Times New Roman"/>
          <w:sz w:val="28"/>
          <w:szCs w:val="28"/>
          <w:lang w:val="lv-LV"/>
        </w:rPr>
        <w:t xml:space="preserve">              </w:t>
      </w:r>
      <w:r w:rsidRPr="00AD09E5">
        <w:rPr>
          <w:rFonts w:ascii="Times New Roman" w:eastAsia="Calibri" w:hAnsi="Times New Roman" w:cs="Times New Roman"/>
          <w:sz w:val="28"/>
          <w:szCs w:val="28"/>
          <w:lang w:val="lv-LV"/>
        </w:rPr>
        <w:t>Anda Čakša</w:t>
      </w:r>
    </w:p>
    <w:p w:rsidR="008E6A01" w:rsidRPr="00AD09E5" w:rsidRDefault="008E6A01" w:rsidP="008E6A01">
      <w:pPr>
        <w:tabs>
          <w:tab w:val="right" w:pos="9072"/>
        </w:tabs>
        <w:spacing w:after="0" w:line="240" w:lineRule="auto"/>
        <w:ind w:left="180" w:hanging="180"/>
        <w:jc w:val="both"/>
        <w:rPr>
          <w:rFonts w:ascii="Times New Roman" w:eastAsia="Calibri" w:hAnsi="Times New Roman" w:cs="Times New Roman"/>
          <w:sz w:val="28"/>
          <w:szCs w:val="28"/>
          <w:lang w:val="lv-LV"/>
        </w:rPr>
      </w:pPr>
    </w:p>
    <w:p w:rsidR="008E6A01" w:rsidRPr="00AD09E5" w:rsidRDefault="008E6A01" w:rsidP="008E6A01">
      <w:pPr>
        <w:tabs>
          <w:tab w:val="right" w:pos="9072"/>
        </w:tabs>
        <w:spacing w:after="0" w:line="240" w:lineRule="auto"/>
        <w:ind w:left="180" w:hanging="180"/>
        <w:jc w:val="both"/>
        <w:rPr>
          <w:rFonts w:ascii="Times New Roman" w:eastAsia="Calibri" w:hAnsi="Times New Roman" w:cs="Times New Roman"/>
          <w:sz w:val="28"/>
          <w:szCs w:val="28"/>
          <w:lang w:val="lv-LV"/>
        </w:rPr>
      </w:pPr>
    </w:p>
    <w:p w:rsidR="008E6A01" w:rsidRPr="00AD09E5" w:rsidRDefault="000E6602" w:rsidP="008E6A01">
      <w:pPr>
        <w:tabs>
          <w:tab w:val="right" w:pos="9072"/>
        </w:tabs>
        <w:spacing w:after="0" w:line="240" w:lineRule="auto"/>
        <w:ind w:left="180" w:hanging="180"/>
        <w:jc w:val="both"/>
        <w:rPr>
          <w:rFonts w:ascii="Times New Roman" w:eastAsia="Lucida Sans Unicode" w:hAnsi="Times New Roman" w:cs="Times New Roman"/>
          <w:kern w:val="3"/>
          <w:sz w:val="28"/>
          <w:szCs w:val="28"/>
          <w:lang w:val="lv-LV"/>
        </w:rPr>
      </w:pPr>
      <w:r w:rsidRPr="00AD09E5">
        <w:rPr>
          <w:rFonts w:ascii="Times New Roman" w:eastAsia="Calibri" w:hAnsi="Times New Roman" w:cs="Times New Roman"/>
          <w:sz w:val="28"/>
          <w:szCs w:val="28"/>
          <w:lang w:val="lv-LV"/>
        </w:rPr>
        <w:t>Vīza: Valsts sekretārs</w:t>
      </w:r>
      <w:r w:rsidR="008E6A01" w:rsidRPr="00AD09E5">
        <w:rPr>
          <w:rFonts w:ascii="Times New Roman" w:eastAsia="Calibri" w:hAnsi="Times New Roman" w:cs="Times New Roman"/>
          <w:sz w:val="28"/>
          <w:szCs w:val="28"/>
          <w:lang w:val="lv-LV"/>
        </w:rPr>
        <w:t xml:space="preserve">                                             </w:t>
      </w:r>
      <w:r w:rsidRPr="00AD09E5">
        <w:rPr>
          <w:rFonts w:ascii="Times New Roman" w:eastAsia="Calibri" w:hAnsi="Times New Roman" w:cs="Times New Roman"/>
          <w:sz w:val="28"/>
          <w:szCs w:val="28"/>
          <w:lang w:val="lv-LV"/>
        </w:rPr>
        <w:t xml:space="preserve">    </w:t>
      </w:r>
      <w:r w:rsidR="00AD09E5">
        <w:rPr>
          <w:rFonts w:ascii="Times New Roman" w:eastAsia="Calibri" w:hAnsi="Times New Roman" w:cs="Times New Roman"/>
          <w:sz w:val="28"/>
          <w:szCs w:val="28"/>
          <w:lang w:val="lv-LV"/>
        </w:rPr>
        <w:tab/>
      </w:r>
      <w:r w:rsidR="008E6A01" w:rsidRPr="00AD09E5">
        <w:rPr>
          <w:rFonts w:ascii="Times New Roman" w:eastAsia="Calibri" w:hAnsi="Times New Roman" w:cs="Times New Roman"/>
          <w:sz w:val="28"/>
          <w:szCs w:val="28"/>
          <w:lang w:val="lv-LV"/>
        </w:rPr>
        <w:t>Kārlis Ketners</w:t>
      </w:r>
    </w:p>
    <w:p w:rsidR="00AD09E5" w:rsidRDefault="00AD09E5" w:rsidP="008E6A01">
      <w:pPr>
        <w:spacing w:after="0" w:line="240" w:lineRule="auto"/>
        <w:ind w:left="180" w:right="-3228" w:hanging="180"/>
        <w:rPr>
          <w:rFonts w:ascii="Times New Roman" w:hAnsi="Times New Roman" w:cs="Times New Roman"/>
          <w:sz w:val="20"/>
          <w:szCs w:val="20"/>
          <w:lang w:val="lv-LV"/>
        </w:rPr>
      </w:pPr>
    </w:p>
    <w:p w:rsidR="00AD09E5" w:rsidRDefault="00AD09E5" w:rsidP="008E6A01">
      <w:pPr>
        <w:spacing w:after="0" w:line="240" w:lineRule="auto"/>
        <w:ind w:left="180" w:right="-3228" w:hanging="180"/>
        <w:rPr>
          <w:rFonts w:ascii="Times New Roman" w:hAnsi="Times New Roman" w:cs="Times New Roman"/>
          <w:sz w:val="20"/>
          <w:szCs w:val="20"/>
          <w:lang w:val="lv-LV"/>
        </w:rPr>
      </w:pPr>
    </w:p>
    <w:sectPr w:rsidR="00AD09E5" w:rsidSect="00AD09E5">
      <w:headerReference w:type="default" r:id="rId22"/>
      <w:footerReference w:type="default" r:id="rId23"/>
      <w:footerReference w:type="first" r:id="rId24"/>
      <w:pgSz w:w="11906" w:h="16838"/>
      <w:pgMar w:top="1276" w:right="1134" w:bottom="1134" w:left="1701"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9E5" w:rsidRDefault="00AD09E5" w:rsidP="001B704A">
      <w:pPr>
        <w:spacing w:after="0" w:line="240" w:lineRule="auto"/>
      </w:pPr>
      <w:r>
        <w:separator/>
      </w:r>
    </w:p>
  </w:endnote>
  <w:endnote w:type="continuationSeparator" w:id="0">
    <w:p w:rsidR="00AD09E5" w:rsidRDefault="00AD09E5" w:rsidP="001B7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9E5" w:rsidRPr="000E6602" w:rsidRDefault="00AD09E5" w:rsidP="00AD09E5">
    <w:pPr>
      <w:pStyle w:val="Footer"/>
      <w:rPr>
        <w:sz w:val="24"/>
        <w:szCs w:val="24"/>
        <w:lang w:val="en-US"/>
      </w:rPr>
    </w:pPr>
    <w:r>
      <w:rPr>
        <w:rFonts w:ascii="Times New Roman" w:hAnsi="Times New Roman" w:cs="Times New Roman"/>
        <w:bCs/>
        <w:sz w:val="24"/>
        <w:szCs w:val="24"/>
        <w:lang w:val="lv-LV"/>
      </w:rPr>
      <w:t>VMlik_101116_</w:t>
    </w:r>
    <w:r w:rsidRPr="000E6602">
      <w:rPr>
        <w:rFonts w:ascii="Times New Roman" w:hAnsi="Times New Roman" w:cs="Times New Roman"/>
        <w:bCs/>
        <w:sz w:val="24"/>
        <w:szCs w:val="24"/>
        <w:lang w:val="lv-LV"/>
      </w:rPr>
      <w:t>tur</w:t>
    </w:r>
    <w:r>
      <w:rPr>
        <w:rFonts w:ascii="Times New Roman" w:hAnsi="Times New Roman" w:cs="Times New Roman"/>
        <w:bCs/>
        <w:sz w:val="24"/>
        <w:szCs w:val="24"/>
        <w:lang w:val="lv-LV"/>
      </w:rPr>
      <w:t>isms</w:t>
    </w:r>
  </w:p>
  <w:p w:rsidR="00AD09E5" w:rsidRPr="00AD09E5" w:rsidRDefault="00AD09E5" w:rsidP="00AD09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9E5" w:rsidRPr="000E6602" w:rsidRDefault="00AD09E5">
    <w:pPr>
      <w:pStyle w:val="Footer"/>
      <w:rPr>
        <w:sz w:val="24"/>
        <w:szCs w:val="24"/>
        <w:lang w:val="en-US"/>
      </w:rPr>
    </w:pPr>
    <w:r>
      <w:rPr>
        <w:rFonts w:ascii="Times New Roman" w:hAnsi="Times New Roman" w:cs="Times New Roman"/>
        <w:bCs/>
        <w:sz w:val="24"/>
        <w:szCs w:val="24"/>
        <w:lang w:val="lv-LV"/>
      </w:rPr>
      <w:t>VMlik_101116_</w:t>
    </w:r>
    <w:r w:rsidRPr="000E6602">
      <w:rPr>
        <w:rFonts w:ascii="Times New Roman" w:hAnsi="Times New Roman" w:cs="Times New Roman"/>
        <w:bCs/>
        <w:sz w:val="24"/>
        <w:szCs w:val="24"/>
        <w:lang w:val="lv-LV"/>
      </w:rPr>
      <w:t>tur</w:t>
    </w:r>
    <w:r>
      <w:rPr>
        <w:rFonts w:ascii="Times New Roman" w:hAnsi="Times New Roman" w:cs="Times New Roman"/>
        <w:bCs/>
        <w:sz w:val="24"/>
        <w:szCs w:val="24"/>
        <w:lang w:val="lv-LV"/>
      </w:rPr>
      <w:t>isms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9E5" w:rsidRDefault="00AD09E5" w:rsidP="001B704A">
      <w:pPr>
        <w:spacing w:after="0" w:line="240" w:lineRule="auto"/>
      </w:pPr>
      <w:r>
        <w:separator/>
      </w:r>
    </w:p>
  </w:footnote>
  <w:footnote w:type="continuationSeparator" w:id="0">
    <w:p w:rsidR="00AD09E5" w:rsidRDefault="00AD09E5" w:rsidP="001B70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506469"/>
      <w:docPartObj>
        <w:docPartGallery w:val="Page Numbers (Top of Page)"/>
        <w:docPartUnique/>
      </w:docPartObj>
    </w:sdtPr>
    <w:sdtContent>
      <w:p w:rsidR="00AD09E5" w:rsidRDefault="00CA6A8E">
        <w:pPr>
          <w:pStyle w:val="Header"/>
          <w:jc w:val="center"/>
        </w:pPr>
        <w:r w:rsidRPr="00AD09E5">
          <w:rPr>
            <w:rFonts w:ascii="Times New Roman" w:hAnsi="Times New Roman" w:cs="Times New Roman"/>
            <w:sz w:val="24"/>
            <w:szCs w:val="24"/>
          </w:rPr>
          <w:fldChar w:fldCharType="begin"/>
        </w:r>
        <w:r w:rsidR="00AD09E5" w:rsidRPr="00AD09E5">
          <w:rPr>
            <w:rFonts w:ascii="Times New Roman" w:hAnsi="Times New Roman" w:cs="Times New Roman"/>
            <w:sz w:val="24"/>
            <w:szCs w:val="24"/>
          </w:rPr>
          <w:instrText xml:space="preserve"> PAGE   \* MERGEFORMAT </w:instrText>
        </w:r>
        <w:r w:rsidRPr="00AD09E5">
          <w:rPr>
            <w:rFonts w:ascii="Times New Roman" w:hAnsi="Times New Roman" w:cs="Times New Roman"/>
            <w:sz w:val="24"/>
            <w:szCs w:val="24"/>
          </w:rPr>
          <w:fldChar w:fldCharType="separate"/>
        </w:r>
        <w:r w:rsidR="00470860">
          <w:rPr>
            <w:rFonts w:ascii="Times New Roman" w:hAnsi="Times New Roman" w:cs="Times New Roman"/>
            <w:noProof/>
            <w:sz w:val="24"/>
            <w:szCs w:val="24"/>
          </w:rPr>
          <w:t>7</w:t>
        </w:r>
        <w:r w:rsidRPr="00AD09E5">
          <w:rPr>
            <w:rFonts w:ascii="Times New Roman" w:hAnsi="Times New Roman" w:cs="Times New Roman"/>
            <w:sz w:val="24"/>
            <w:szCs w:val="24"/>
          </w:rPr>
          <w:fldChar w:fldCharType="end"/>
        </w:r>
      </w:p>
    </w:sdtContent>
  </w:sdt>
  <w:p w:rsidR="00AD09E5" w:rsidRDefault="00AD09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306F95"/>
    <w:multiLevelType w:val="hybridMultilevel"/>
    <w:tmpl w:val="84B2068C"/>
    <w:lvl w:ilvl="0" w:tplc="140A0692">
      <w:start w:val="1"/>
      <w:numFmt w:val="decimal"/>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3961DF"/>
    <w:rsid w:val="00012455"/>
    <w:rsid w:val="00016092"/>
    <w:rsid w:val="00023C6B"/>
    <w:rsid w:val="000244EE"/>
    <w:rsid w:val="00044679"/>
    <w:rsid w:val="00044A69"/>
    <w:rsid w:val="00054932"/>
    <w:rsid w:val="00066505"/>
    <w:rsid w:val="00073CAD"/>
    <w:rsid w:val="00080FAB"/>
    <w:rsid w:val="000863BF"/>
    <w:rsid w:val="000A158C"/>
    <w:rsid w:val="000A6CE0"/>
    <w:rsid w:val="000B6857"/>
    <w:rsid w:val="000D2EC3"/>
    <w:rsid w:val="000D3BBC"/>
    <w:rsid w:val="000D7BE4"/>
    <w:rsid w:val="000E623F"/>
    <w:rsid w:val="000E6602"/>
    <w:rsid w:val="000E6BB9"/>
    <w:rsid w:val="00100414"/>
    <w:rsid w:val="001025CE"/>
    <w:rsid w:val="00106460"/>
    <w:rsid w:val="00115456"/>
    <w:rsid w:val="001411D1"/>
    <w:rsid w:val="001449F8"/>
    <w:rsid w:val="001508BF"/>
    <w:rsid w:val="00152137"/>
    <w:rsid w:val="00153393"/>
    <w:rsid w:val="00155EAC"/>
    <w:rsid w:val="00160B2C"/>
    <w:rsid w:val="0018331E"/>
    <w:rsid w:val="00185562"/>
    <w:rsid w:val="00193B3E"/>
    <w:rsid w:val="001A2920"/>
    <w:rsid w:val="001B704A"/>
    <w:rsid w:val="001C2DA5"/>
    <w:rsid w:val="001D00F6"/>
    <w:rsid w:val="001D6524"/>
    <w:rsid w:val="001E4A57"/>
    <w:rsid w:val="001F16AD"/>
    <w:rsid w:val="002100D9"/>
    <w:rsid w:val="002126AD"/>
    <w:rsid w:val="002178F7"/>
    <w:rsid w:val="00225E3A"/>
    <w:rsid w:val="0024393E"/>
    <w:rsid w:val="00246F28"/>
    <w:rsid w:val="00247B8E"/>
    <w:rsid w:val="00247CA5"/>
    <w:rsid w:val="00252193"/>
    <w:rsid w:val="0026249E"/>
    <w:rsid w:val="0027049C"/>
    <w:rsid w:val="00273CC3"/>
    <w:rsid w:val="00291291"/>
    <w:rsid w:val="002929BB"/>
    <w:rsid w:val="00293479"/>
    <w:rsid w:val="002C6F8A"/>
    <w:rsid w:val="002D02B2"/>
    <w:rsid w:val="002E113F"/>
    <w:rsid w:val="002F217F"/>
    <w:rsid w:val="00300833"/>
    <w:rsid w:val="00303B3F"/>
    <w:rsid w:val="00306200"/>
    <w:rsid w:val="00321518"/>
    <w:rsid w:val="00335A52"/>
    <w:rsid w:val="00341D80"/>
    <w:rsid w:val="00342E79"/>
    <w:rsid w:val="0034548C"/>
    <w:rsid w:val="003556D4"/>
    <w:rsid w:val="00381A46"/>
    <w:rsid w:val="00387534"/>
    <w:rsid w:val="00390B0E"/>
    <w:rsid w:val="003953FA"/>
    <w:rsid w:val="0039576F"/>
    <w:rsid w:val="003961DF"/>
    <w:rsid w:val="003A0EC1"/>
    <w:rsid w:val="003A2E34"/>
    <w:rsid w:val="003A6590"/>
    <w:rsid w:val="003D7AFB"/>
    <w:rsid w:val="003E3300"/>
    <w:rsid w:val="003E496C"/>
    <w:rsid w:val="003E5625"/>
    <w:rsid w:val="004025EF"/>
    <w:rsid w:val="00403592"/>
    <w:rsid w:val="00411595"/>
    <w:rsid w:val="004119B5"/>
    <w:rsid w:val="0041612D"/>
    <w:rsid w:val="00450C4B"/>
    <w:rsid w:val="004606AE"/>
    <w:rsid w:val="00466C01"/>
    <w:rsid w:val="00470860"/>
    <w:rsid w:val="00482B28"/>
    <w:rsid w:val="00482E42"/>
    <w:rsid w:val="004837AA"/>
    <w:rsid w:val="00491EAF"/>
    <w:rsid w:val="0049470F"/>
    <w:rsid w:val="004A4603"/>
    <w:rsid w:val="004A68B4"/>
    <w:rsid w:val="004B3D6C"/>
    <w:rsid w:val="004C5380"/>
    <w:rsid w:val="004D3A82"/>
    <w:rsid w:val="004D3E19"/>
    <w:rsid w:val="004E6656"/>
    <w:rsid w:val="004E6AFD"/>
    <w:rsid w:val="004F2EB9"/>
    <w:rsid w:val="004F69A4"/>
    <w:rsid w:val="00513568"/>
    <w:rsid w:val="005171AD"/>
    <w:rsid w:val="00521E7A"/>
    <w:rsid w:val="005257F7"/>
    <w:rsid w:val="005347A2"/>
    <w:rsid w:val="005347FE"/>
    <w:rsid w:val="00551917"/>
    <w:rsid w:val="005548D7"/>
    <w:rsid w:val="005562B0"/>
    <w:rsid w:val="00557592"/>
    <w:rsid w:val="005668D5"/>
    <w:rsid w:val="0057693F"/>
    <w:rsid w:val="00580867"/>
    <w:rsid w:val="0059451D"/>
    <w:rsid w:val="005A02D1"/>
    <w:rsid w:val="005B05AD"/>
    <w:rsid w:val="005B7712"/>
    <w:rsid w:val="005D5422"/>
    <w:rsid w:val="005D6E04"/>
    <w:rsid w:val="005E567C"/>
    <w:rsid w:val="005E72B1"/>
    <w:rsid w:val="005F3BAC"/>
    <w:rsid w:val="005F7C09"/>
    <w:rsid w:val="00603480"/>
    <w:rsid w:val="00621B06"/>
    <w:rsid w:val="00640BD2"/>
    <w:rsid w:val="0067024B"/>
    <w:rsid w:val="006836C9"/>
    <w:rsid w:val="00684BEB"/>
    <w:rsid w:val="00685FA4"/>
    <w:rsid w:val="006A18B2"/>
    <w:rsid w:val="006B35C9"/>
    <w:rsid w:val="006F6978"/>
    <w:rsid w:val="007025BB"/>
    <w:rsid w:val="00716834"/>
    <w:rsid w:val="007247FE"/>
    <w:rsid w:val="007254D3"/>
    <w:rsid w:val="0075100C"/>
    <w:rsid w:val="00752840"/>
    <w:rsid w:val="00760A73"/>
    <w:rsid w:val="007659A5"/>
    <w:rsid w:val="00766764"/>
    <w:rsid w:val="00781DC2"/>
    <w:rsid w:val="00786ED6"/>
    <w:rsid w:val="007A11C2"/>
    <w:rsid w:val="007B1158"/>
    <w:rsid w:val="007E3453"/>
    <w:rsid w:val="007F31FD"/>
    <w:rsid w:val="0080427B"/>
    <w:rsid w:val="008173EB"/>
    <w:rsid w:val="00833435"/>
    <w:rsid w:val="0085451B"/>
    <w:rsid w:val="00865A69"/>
    <w:rsid w:val="008668E2"/>
    <w:rsid w:val="00871E99"/>
    <w:rsid w:val="00881E6B"/>
    <w:rsid w:val="00887A35"/>
    <w:rsid w:val="00890B20"/>
    <w:rsid w:val="008A1C7E"/>
    <w:rsid w:val="008E6A01"/>
    <w:rsid w:val="009155AD"/>
    <w:rsid w:val="00945D6E"/>
    <w:rsid w:val="00956450"/>
    <w:rsid w:val="0096212D"/>
    <w:rsid w:val="009839A6"/>
    <w:rsid w:val="00996C77"/>
    <w:rsid w:val="009C4742"/>
    <w:rsid w:val="009C6918"/>
    <w:rsid w:val="009E2135"/>
    <w:rsid w:val="009E63C2"/>
    <w:rsid w:val="009F0D07"/>
    <w:rsid w:val="00A14EDB"/>
    <w:rsid w:val="00A243BE"/>
    <w:rsid w:val="00A26224"/>
    <w:rsid w:val="00A360BB"/>
    <w:rsid w:val="00A45E8A"/>
    <w:rsid w:val="00A57F59"/>
    <w:rsid w:val="00A66A96"/>
    <w:rsid w:val="00A70FA2"/>
    <w:rsid w:val="00A71384"/>
    <w:rsid w:val="00A90398"/>
    <w:rsid w:val="00AB0F9A"/>
    <w:rsid w:val="00AD09E5"/>
    <w:rsid w:val="00AD701C"/>
    <w:rsid w:val="00AD7A77"/>
    <w:rsid w:val="00AE4FAF"/>
    <w:rsid w:val="00AF4CA6"/>
    <w:rsid w:val="00AF5030"/>
    <w:rsid w:val="00AF6187"/>
    <w:rsid w:val="00AF7593"/>
    <w:rsid w:val="00AF7F85"/>
    <w:rsid w:val="00B131DE"/>
    <w:rsid w:val="00B14AD3"/>
    <w:rsid w:val="00B6216F"/>
    <w:rsid w:val="00B64986"/>
    <w:rsid w:val="00B66EF8"/>
    <w:rsid w:val="00B84B3D"/>
    <w:rsid w:val="00BA442E"/>
    <w:rsid w:val="00BD7D0B"/>
    <w:rsid w:val="00C14E73"/>
    <w:rsid w:val="00C221D0"/>
    <w:rsid w:val="00C23EBF"/>
    <w:rsid w:val="00C26419"/>
    <w:rsid w:val="00C35BE8"/>
    <w:rsid w:val="00C51464"/>
    <w:rsid w:val="00C52506"/>
    <w:rsid w:val="00C52E63"/>
    <w:rsid w:val="00C55118"/>
    <w:rsid w:val="00C56D5C"/>
    <w:rsid w:val="00C63A8D"/>
    <w:rsid w:val="00C64971"/>
    <w:rsid w:val="00C6549E"/>
    <w:rsid w:val="00C90061"/>
    <w:rsid w:val="00CA1FA8"/>
    <w:rsid w:val="00CA6A8E"/>
    <w:rsid w:val="00CC0A82"/>
    <w:rsid w:val="00CC747B"/>
    <w:rsid w:val="00CC7D61"/>
    <w:rsid w:val="00D01340"/>
    <w:rsid w:val="00D0558F"/>
    <w:rsid w:val="00D0613E"/>
    <w:rsid w:val="00D25C70"/>
    <w:rsid w:val="00D43A23"/>
    <w:rsid w:val="00D50032"/>
    <w:rsid w:val="00D85A97"/>
    <w:rsid w:val="00D917F9"/>
    <w:rsid w:val="00D9581D"/>
    <w:rsid w:val="00DA1C86"/>
    <w:rsid w:val="00DA4E15"/>
    <w:rsid w:val="00DA5637"/>
    <w:rsid w:val="00DB25E1"/>
    <w:rsid w:val="00DB3D5D"/>
    <w:rsid w:val="00DB6658"/>
    <w:rsid w:val="00DB7561"/>
    <w:rsid w:val="00DD7695"/>
    <w:rsid w:val="00DF25C8"/>
    <w:rsid w:val="00DF3064"/>
    <w:rsid w:val="00E05039"/>
    <w:rsid w:val="00E16C56"/>
    <w:rsid w:val="00E31C7A"/>
    <w:rsid w:val="00E33AEE"/>
    <w:rsid w:val="00E412EE"/>
    <w:rsid w:val="00E46268"/>
    <w:rsid w:val="00E5105A"/>
    <w:rsid w:val="00E527AB"/>
    <w:rsid w:val="00E66997"/>
    <w:rsid w:val="00E7150B"/>
    <w:rsid w:val="00E74475"/>
    <w:rsid w:val="00E8427F"/>
    <w:rsid w:val="00E94295"/>
    <w:rsid w:val="00EA1AD7"/>
    <w:rsid w:val="00EA21FF"/>
    <w:rsid w:val="00EA4932"/>
    <w:rsid w:val="00EA5B7D"/>
    <w:rsid w:val="00EA7D36"/>
    <w:rsid w:val="00F107D9"/>
    <w:rsid w:val="00F265DD"/>
    <w:rsid w:val="00F307B9"/>
    <w:rsid w:val="00F4572E"/>
    <w:rsid w:val="00F533DC"/>
    <w:rsid w:val="00F56537"/>
    <w:rsid w:val="00F60A60"/>
    <w:rsid w:val="00F61D7F"/>
    <w:rsid w:val="00F64FC3"/>
    <w:rsid w:val="00F7560D"/>
    <w:rsid w:val="00F80355"/>
    <w:rsid w:val="00F83D89"/>
    <w:rsid w:val="00FA1FEF"/>
    <w:rsid w:val="00FB4AAB"/>
    <w:rsid w:val="00FB5747"/>
    <w:rsid w:val="00FB7EBF"/>
    <w:rsid w:val="00FD066A"/>
    <w:rsid w:val="00FD5368"/>
    <w:rsid w:val="00FE7236"/>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D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04A"/>
  </w:style>
  <w:style w:type="paragraph" w:styleId="Footer">
    <w:name w:val="footer"/>
    <w:basedOn w:val="Normal"/>
    <w:link w:val="FooterChar"/>
    <w:uiPriority w:val="99"/>
    <w:unhideWhenUsed/>
    <w:rsid w:val="001B70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04A"/>
  </w:style>
  <w:style w:type="character" w:styleId="CommentReference">
    <w:name w:val="annotation reference"/>
    <w:basedOn w:val="DefaultParagraphFont"/>
    <w:uiPriority w:val="99"/>
    <w:semiHidden/>
    <w:unhideWhenUsed/>
    <w:rsid w:val="00A14EDB"/>
    <w:rPr>
      <w:sz w:val="16"/>
      <w:szCs w:val="16"/>
    </w:rPr>
  </w:style>
  <w:style w:type="paragraph" w:styleId="CommentText">
    <w:name w:val="annotation text"/>
    <w:basedOn w:val="Normal"/>
    <w:link w:val="CommentTextChar"/>
    <w:uiPriority w:val="99"/>
    <w:semiHidden/>
    <w:unhideWhenUsed/>
    <w:rsid w:val="00A14EDB"/>
    <w:pPr>
      <w:spacing w:line="240" w:lineRule="auto"/>
    </w:pPr>
    <w:rPr>
      <w:sz w:val="20"/>
      <w:szCs w:val="20"/>
    </w:rPr>
  </w:style>
  <w:style w:type="character" w:customStyle="1" w:styleId="CommentTextChar">
    <w:name w:val="Comment Text Char"/>
    <w:basedOn w:val="DefaultParagraphFont"/>
    <w:link w:val="CommentText"/>
    <w:uiPriority w:val="99"/>
    <w:semiHidden/>
    <w:rsid w:val="00A14EDB"/>
    <w:rPr>
      <w:sz w:val="20"/>
      <w:szCs w:val="20"/>
    </w:rPr>
  </w:style>
  <w:style w:type="paragraph" w:styleId="CommentSubject">
    <w:name w:val="annotation subject"/>
    <w:basedOn w:val="CommentText"/>
    <w:next w:val="CommentText"/>
    <w:link w:val="CommentSubjectChar"/>
    <w:uiPriority w:val="99"/>
    <w:semiHidden/>
    <w:unhideWhenUsed/>
    <w:rsid w:val="00A14EDB"/>
    <w:rPr>
      <w:b/>
      <w:bCs/>
    </w:rPr>
  </w:style>
  <w:style w:type="character" w:customStyle="1" w:styleId="CommentSubjectChar">
    <w:name w:val="Comment Subject Char"/>
    <w:basedOn w:val="CommentTextChar"/>
    <w:link w:val="CommentSubject"/>
    <w:uiPriority w:val="99"/>
    <w:semiHidden/>
    <w:rsid w:val="00A14EDB"/>
    <w:rPr>
      <w:b/>
      <w:bCs/>
    </w:rPr>
  </w:style>
  <w:style w:type="paragraph" w:styleId="BalloonText">
    <w:name w:val="Balloon Text"/>
    <w:basedOn w:val="Normal"/>
    <w:link w:val="BalloonTextChar"/>
    <w:uiPriority w:val="99"/>
    <w:semiHidden/>
    <w:unhideWhenUsed/>
    <w:rsid w:val="00A14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EDB"/>
    <w:rPr>
      <w:rFonts w:ascii="Tahoma" w:hAnsi="Tahoma" w:cs="Tahoma"/>
      <w:sz w:val="16"/>
      <w:szCs w:val="16"/>
    </w:rPr>
  </w:style>
  <w:style w:type="paragraph" w:customStyle="1" w:styleId="tv2132">
    <w:name w:val="tv2132"/>
    <w:basedOn w:val="Normal"/>
    <w:rsid w:val="00C52E63"/>
    <w:pPr>
      <w:spacing w:after="0" w:line="360" w:lineRule="auto"/>
      <w:ind w:firstLine="300"/>
    </w:pPr>
    <w:rPr>
      <w:rFonts w:ascii="Times New Roman" w:eastAsia="Times New Roman" w:hAnsi="Times New Roman" w:cs="Times New Roman"/>
      <w:color w:val="414142"/>
      <w:sz w:val="20"/>
      <w:szCs w:val="20"/>
      <w:lang w:eastAsia="ru-RU"/>
    </w:rPr>
  </w:style>
  <w:style w:type="paragraph" w:styleId="ListParagraph">
    <w:name w:val="List Paragraph"/>
    <w:basedOn w:val="Normal"/>
    <w:uiPriority w:val="34"/>
    <w:qFormat/>
    <w:rsid w:val="00466C01"/>
    <w:pPr>
      <w:ind w:left="720"/>
      <w:contextualSpacing/>
    </w:pPr>
  </w:style>
  <w:style w:type="character" w:styleId="Hyperlink">
    <w:name w:val="Hyperlink"/>
    <w:basedOn w:val="DefaultParagraphFont"/>
    <w:unhideWhenUsed/>
    <w:rsid w:val="004D3A82"/>
    <w:rPr>
      <w:color w:val="0000FF" w:themeColor="hyperlink"/>
      <w:u w:val="single"/>
    </w:rPr>
  </w:style>
  <w:style w:type="character" w:styleId="FollowedHyperlink">
    <w:name w:val="FollowedHyperlink"/>
    <w:basedOn w:val="DefaultParagraphFont"/>
    <w:uiPriority w:val="99"/>
    <w:semiHidden/>
    <w:unhideWhenUsed/>
    <w:rsid w:val="00FD5368"/>
    <w:rPr>
      <w:color w:val="800080" w:themeColor="followedHyperlink"/>
      <w:u w:val="single"/>
    </w:rPr>
  </w:style>
  <w:style w:type="paragraph" w:customStyle="1" w:styleId="StyleRight">
    <w:name w:val="Style Right"/>
    <w:basedOn w:val="Normal"/>
    <w:rsid w:val="008E6A01"/>
    <w:pPr>
      <w:spacing w:after="120" w:line="240" w:lineRule="auto"/>
      <w:ind w:firstLine="720"/>
      <w:jc w:val="right"/>
    </w:pPr>
    <w:rPr>
      <w:rFonts w:ascii="Times New Roman" w:eastAsia="Times New Roman" w:hAnsi="Times New Roman" w:cs="Times New Roman"/>
      <w:sz w:val="28"/>
      <w:szCs w:val="28"/>
      <w:lang w:val="lv-LV"/>
    </w:rPr>
  </w:style>
</w:styles>
</file>

<file path=word/webSettings.xml><?xml version="1.0" encoding="utf-8"?>
<w:webSettings xmlns:r="http://schemas.openxmlformats.org/officeDocument/2006/relationships" xmlns:w="http://schemas.openxmlformats.org/wordprocessingml/2006/main">
  <w:divs>
    <w:div w:id="469708375">
      <w:bodyDiv w:val="1"/>
      <w:marLeft w:val="0"/>
      <w:marRight w:val="0"/>
      <w:marTop w:val="0"/>
      <w:marBottom w:val="0"/>
      <w:divBdr>
        <w:top w:val="none" w:sz="0" w:space="0" w:color="auto"/>
        <w:left w:val="none" w:sz="0" w:space="0" w:color="auto"/>
        <w:bottom w:val="none" w:sz="0" w:space="0" w:color="auto"/>
        <w:right w:val="none" w:sz="0" w:space="0" w:color="auto"/>
      </w:divBdr>
      <w:divsChild>
        <w:div w:id="379284888">
          <w:marLeft w:val="0"/>
          <w:marRight w:val="0"/>
          <w:marTop w:val="0"/>
          <w:marBottom w:val="0"/>
          <w:divBdr>
            <w:top w:val="none" w:sz="0" w:space="0" w:color="auto"/>
            <w:left w:val="none" w:sz="0" w:space="0" w:color="auto"/>
            <w:bottom w:val="none" w:sz="0" w:space="0" w:color="auto"/>
            <w:right w:val="none" w:sz="0" w:space="0" w:color="auto"/>
          </w:divBdr>
          <w:divsChild>
            <w:div w:id="396519785">
              <w:marLeft w:val="0"/>
              <w:marRight w:val="0"/>
              <w:marTop w:val="0"/>
              <w:marBottom w:val="0"/>
              <w:divBdr>
                <w:top w:val="none" w:sz="0" w:space="0" w:color="auto"/>
                <w:left w:val="none" w:sz="0" w:space="0" w:color="auto"/>
                <w:bottom w:val="none" w:sz="0" w:space="0" w:color="auto"/>
                <w:right w:val="none" w:sz="0" w:space="0" w:color="auto"/>
              </w:divBdr>
              <w:divsChild>
                <w:div w:id="118646515">
                  <w:marLeft w:val="0"/>
                  <w:marRight w:val="0"/>
                  <w:marTop w:val="0"/>
                  <w:marBottom w:val="0"/>
                  <w:divBdr>
                    <w:top w:val="none" w:sz="0" w:space="0" w:color="auto"/>
                    <w:left w:val="none" w:sz="0" w:space="0" w:color="auto"/>
                    <w:bottom w:val="none" w:sz="0" w:space="0" w:color="auto"/>
                    <w:right w:val="none" w:sz="0" w:space="0" w:color="auto"/>
                  </w:divBdr>
                  <w:divsChild>
                    <w:div w:id="250310367">
                      <w:marLeft w:val="0"/>
                      <w:marRight w:val="0"/>
                      <w:marTop w:val="0"/>
                      <w:marBottom w:val="0"/>
                      <w:divBdr>
                        <w:top w:val="none" w:sz="0" w:space="0" w:color="auto"/>
                        <w:left w:val="none" w:sz="0" w:space="0" w:color="auto"/>
                        <w:bottom w:val="none" w:sz="0" w:space="0" w:color="auto"/>
                        <w:right w:val="none" w:sz="0" w:space="0" w:color="auto"/>
                      </w:divBdr>
                      <w:divsChild>
                        <w:div w:id="1281960870">
                          <w:marLeft w:val="0"/>
                          <w:marRight w:val="0"/>
                          <w:marTop w:val="0"/>
                          <w:marBottom w:val="0"/>
                          <w:divBdr>
                            <w:top w:val="none" w:sz="0" w:space="0" w:color="auto"/>
                            <w:left w:val="none" w:sz="0" w:space="0" w:color="auto"/>
                            <w:bottom w:val="none" w:sz="0" w:space="0" w:color="auto"/>
                            <w:right w:val="none" w:sz="0" w:space="0" w:color="auto"/>
                          </w:divBdr>
                          <w:divsChild>
                            <w:div w:id="17131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147794">
      <w:bodyDiv w:val="1"/>
      <w:marLeft w:val="0"/>
      <w:marRight w:val="0"/>
      <w:marTop w:val="0"/>
      <w:marBottom w:val="0"/>
      <w:divBdr>
        <w:top w:val="none" w:sz="0" w:space="0" w:color="auto"/>
        <w:left w:val="none" w:sz="0" w:space="0" w:color="auto"/>
        <w:bottom w:val="none" w:sz="0" w:space="0" w:color="auto"/>
        <w:right w:val="none" w:sz="0" w:space="0" w:color="auto"/>
      </w:divBdr>
      <w:divsChild>
        <w:div w:id="96416360">
          <w:marLeft w:val="0"/>
          <w:marRight w:val="0"/>
          <w:marTop w:val="0"/>
          <w:marBottom w:val="0"/>
          <w:divBdr>
            <w:top w:val="none" w:sz="0" w:space="0" w:color="auto"/>
            <w:left w:val="none" w:sz="0" w:space="0" w:color="auto"/>
            <w:bottom w:val="none" w:sz="0" w:space="0" w:color="auto"/>
            <w:right w:val="none" w:sz="0" w:space="0" w:color="auto"/>
          </w:divBdr>
          <w:divsChild>
            <w:div w:id="808322052">
              <w:marLeft w:val="0"/>
              <w:marRight w:val="0"/>
              <w:marTop w:val="0"/>
              <w:marBottom w:val="0"/>
              <w:divBdr>
                <w:top w:val="none" w:sz="0" w:space="0" w:color="auto"/>
                <w:left w:val="none" w:sz="0" w:space="0" w:color="auto"/>
                <w:bottom w:val="none" w:sz="0" w:space="0" w:color="auto"/>
                <w:right w:val="none" w:sz="0" w:space="0" w:color="auto"/>
              </w:divBdr>
              <w:divsChild>
                <w:div w:id="1473328236">
                  <w:marLeft w:val="0"/>
                  <w:marRight w:val="0"/>
                  <w:marTop w:val="0"/>
                  <w:marBottom w:val="0"/>
                  <w:divBdr>
                    <w:top w:val="none" w:sz="0" w:space="0" w:color="auto"/>
                    <w:left w:val="none" w:sz="0" w:space="0" w:color="auto"/>
                    <w:bottom w:val="none" w:sz="0" w:space="0" w:color="auto"/>
                    <w:right w:val="none" w:sz="0" w:space="0" w:color="auto"/>
                  </w:divBdr>
                  <w:divsChild>
                    <w:div w:id="1040134710">
                      <w:marLeft w:val="0"/>
                      <w:marRight w:val="0"/>
                      <w:marTop w:val="0"/>
                      <w:marBottom w:val="0"/>
                      <w:divBdr>
                        <w:top w:val="none" w:sz="0" w:space="0" w:color="auto"/>
                        <w:left w:val="none" w:sz="0" w:space="0" w:color="auto"/>
                        <w:bottom w:val="none" w:sz="0" w:space="0" w:color="auto"/>
                        <w:right w:val="none" w:sz="0" w:space="0" w:color="auto"/>
                      </w:divBdr>
                      <w:divsChild>
                        <w:div w:id="710153816">
                          <w:marLeft w:val="0"/>
                          <w:marRight w:val="0"/>
                          <w:marTop w:val="0"/>
                          <w:marBottom w:val="0"/>
                          <w:divBdr>
                            <w:top w:val="none" w:sz="0" w:space="0" w:color="auto"/>
                            <w:left w:val="none" w:sz="0" w:space="0" w:color="auto"/>
                            <w:bottom w:val="none" w:sz="0" w:space="0" w:color="auto"/>
                            <w:right w:val="none" w:sz="0" w:space="0" w:color="auto"/>
                          </w:divBdr>
                          <w:divsChild>
                            <w:div w:id="6531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V/TXT/?uri=CELEX%3A32014R0651" TargetMode="External"/><Relationship Id="rId13" Type="http://schemas.openxmlformats.org/officeDocument/2006/relationships/hyperlink" Target="http://eur-lex.europa.eu/legal-content/en/ALL/?uri=CELEX:32006R1893" TargetMode="External"/><Relationship Id="rId18" Type="http://schemas.openxmlformats.org/officeDocument/2006/relationships/hyperlink" Target="http://eur-lex.europa.eu/legal-content/LV/TXT/?uri=CELEX%3A32014R06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ikumi.lv/doc.php?id=33419" TargetMode="External"/><Relationship Id="rId7" Type="http://schemas.openxmlformats.org/officeDocument/2006/relationships/endnotes" Target="endnotes.xml"/><Relationship Id="rId12" Type="http://schemas.openxmlformats.org/officeDocument/2006/relationships/hyperlink" Target="http://eur-lex.europa.eu/legal-content/LV/TXT/?uri=CELEX%3A32014R0651" TargetMode="External"/><Relationship Id="rId17" Type="http://schemas.openxmlformats.org/officeDocument/2006/relationships/hyperlink" Target="http://eur-lex.europa.eu/legal-content/LV/TXT/?uri=CELEX%3A32014R065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r-lex.europa.eu/legal-content/LV/TXT/?uri=CELEX%3A32014R0651" TargetMode="External"/><Relationship Id="rId20" Type="http://schemas.openxmlformats.org/officeDocument/2006/relationships/hyperlink" Target="http://eur-lex.europa.eu/legal-content/LV/TXT/?uri=CELEX%3A32014R06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LV/TXT/?uri=CELEX%3A32014R065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ur-lex.europa.eu/legal-content/LV/TXT/?uri=CELEX%3A32014R0651" TargetMode="External"/><Relationship Id="rId23" Type="http://schemas.openxmlformats.org/officeDocument/2006/relationships/footer" Target="footer1.xml"/><Relationship Id="rId10" Type="http://schemas.openxmlformats.org/officeDocument/2006/relationships/hyperlink" Target="http://eur-lex.europa.eu/legal-content/LV/TXT/?uri=CELEX%3A32014R0651" TargetMode="External"/><Relationship Id="rId19" Type="http://schemas.openxmlformats.org/officeDocument/2006/relationships/hyperlink" Target="http://eur-lex.europa.eu/legal-content/LV/TXT/?uri=CELEX%3A32014R0651" TargetMode="External"/><Relationship Id="rId4" Type="http://schemas.openxmlformats.org/officeDocument/2006/relationships/settings" Target="settings.xml"/><Relationship Id="rId9" Type="http://schemas.openxmlformats.org/officeDocument/2006/relationships/hyperlink" Target="http://eur-lex.europa.eu/legal-content/LV/TXT/?uri=CELEX%3A32014R0651" TargetMode="External"/><Relationship Id="rId14" Type="http://schemas.openxmlformats.org/officeDocument/2006/relationships/hyperlink" Target="http://eur-lex.europa.eu/legal-content/LV/TXT/?uri=CELEX%3A01990R3037-2008010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B6755-77AE-42BE-8032-E873788C0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12084</Words>
  <Characters>6888</Characters>
  <Application>Microsoft Office Word</Application>
  <DocSecurity>0</DocSecurity>
  <Lines>57</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Veselības tūrisma attīstības veicināšanas likums</vt:lpstr>
      <vt:lpstr/>
    </vt:vector>
  </TitlesOfParts>
  <Company>Veselības ministrija</Company>
  <LinksUpToDate>false</LinksUpToDate>
  <CharactersWithSpaces>18935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Veselības tūrisma attīstības veicināšanas likums</dc:title>
  <dc:subject>Likumprojekts</dc:subject>
  <dc:creator>Inese Andersone</dc:creator>
  <dc:description>inese.andersone@vm.gov.lv, 67876187</dc:description>
  <cp:lastModifiedBy>iandersone</cp:lastModifiedBy>
  <cp:revision>2</cp:revision>
  <dcterms:created xsi:type="dcterms:W3CDTF">2016-11-10T11:39:00Z</dcterms:created>
  <dcterms:modified xsi:type="dcterms:W3CDTF">2016-11-10T11:39:00Z</dcterms:modified>
</cp:coreProperties>
</file>