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26" w:rsidRPr="004F4C11" w:rsidRDefault="00993C26" w:rsidP="00DC27EA">
      <w:pPr>
        <w:contextualSpacing/>
        <w:jc w:val="center"/>
        <w:rPr>
          <w:rFonts w:eastAsia="Times New Roman" w:cs="Times New Roman"/>
          <w:b/>
          <w:bCs/>
          <w:szCs w:val="26"/>
          <w:lang w:eastAsia="lv-LV"/>
        </w:rPr>
      </w:pPr>
      <w:bookmarkStart w:id="0" w:name="OLE_LINK1"/>
      <w:bookmarkStart w:id="1" w:name="OLE_LINK2"/>
      <w:bookmarkStart w:id="2" w:name="OLE_LINK3"/>
      <w:bookmarkStart w:id="3" w:name="OLE_LINK4"/>
      <w:r w:rsidRPr="004F4C11">
        <w:rPr>
          <w:rFonts w:eastAsia="Times New Roman" w:cs="Times New Roman"/>
          <w:b/>
          <w:bCs/>
          <w:szCs w:val="26"/>
          <w:lang w:eastAsia="lv-LV"/>
        </w:rPr>
        <w:t xml:space="preserve">Ministru kabineta noteikumu projekta </w:t>
      </w:r>
      <w:r w:rsidR="001E4EE1">
        <w:rPr>
          <w:rFonts w:eastAsia="Times New Roman" w:cs="Times New Roman"/>
          <w:b/>
          <w:bCs/>
          <w:szCs w:val="26"/>
          <w:lang w:eastAsia="lv-LV"/>
        </w:rPr>
        <w:t>„</w:t>
      </w:r>
      <w:r w:rsidRPr="004F4C11">
        <w:rPr>
          <w:rFonts w:eastAsia="Times New Roman" w:cs="Times New Roman"/>
          <w:b/>
          <w:bCs/>
          <w:szCs w:val="26"/>
          <w:lang w:eastAsia="lv-LV"/>
        </w:rPr>
        <w:t xml:space="preserve">Grozījumi Ministru kabineta 2013.gada 17.decembra noteikumos Nr.1529 </w:t>
      </w:r>
      <w:r w:rsidR="001E4EE1">
        <w:rPr>
          <w:rFonts w:eastAsia="Times New Roman" w:cs="Times New Roman"/>
          <w:b/>
          <w:bCs/>
          <w:szCs w:val="26"/>
          <w:lang w:eastAsia="lv-LV"/>
        </w:rPr>
        <w:t>„</w:t>
      </w:r>
      <w:r w:rsidRPr="004F4C11">
        <w:rPr>
          <w:rFonts w:eastAsia="Times New Roman" w:cs="Times New Roman"/>
          <w:b/>
          <w:bCs/>
          <w:szCs w:val="26"/>
          <w:lang w:eastAsia="lv-LV"/>
        </w:rPr>
        <w:t>Veselības aprūpes organizēšanas un finansēšanas kārtība</w:t>
      </w:r>
      <w:r w:rsidR="001E4EE1">
        <w:rPr>
          <w:rFonts w:eastAsia="Times New Roman" w:cs="Times New Roman"/>
          <w:b/>
          <w:bCs/>
          <w:szCs w:val="26"/>
          <w:lang w:eastAsia="lv-LV"/>
        </w:rPr>
        <w:t>””</w:t>
      </w:r>
      <w:r w:rsidRPr="004F4C11">
        <w:rPr>
          <w:rFonts w:eastAsia="Times New Roman" w:cs="Times New Roman"/>
          <w:b/>
          <w:bCs/>
          <w:szCs w:val="26"/>
          <w:lang w:eastAsia="lv-LV"/>
        </w:rPr>
        <w:t xml:space="preserve"> sākotnējās ietekmes novērtējuma ziņojums (anotācija</w:t>
      </w:r>
      <w:bookmarkEnd w:id="0"/>
      <w:bookmarkEnd w:id="1"/>
      <w:r w:rsidRPr="004F4C11">
        <w:rPr>
          <w:rFonts w:eastAsia="Times New Roman" w:cs="Times New Roman"/>
          <w:b/>
          <w:bCs/>
          <w:szCs w:val="26"/>
          <w:lang w:eastAsia="lv-LV"/>
        </w:rPr>
        <w:t>)</w:t>
      </w:r>
    </w:p>
    <w:bookmarkEnd w:id="2"/>
    <w:bookmarkEnd w:id="3"/>
    <w:p w:rsidR="00993C26" w:rsidRDefault="00993C26" w:rsidP="00993C26">
      <w:pPr>
        <w:jc w:val="center"/>
      </w:pPr>
    </w:p>
    <w:tbl>
      <w:tblPr>
        <w:tblW w:w="4932" w:type="pct"/>
        <w:tblInd w:w="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5"/>
        <w:gridCol w:w="1906"/>
        <w:gridCol w:w="7065"/>
      </w:tblGrid>
      <w:tr w:rsidR="00993C26" w:rsidRPr="004F4C11" w:rsidTr="00222AE2">
        <w:trPr>
          <w:trHeight w:val="235"/>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993C26" w:rsidRPr="004F4C11" w:rsidRDefault="00993C26" w:rsidP="00685C6C">
            <w:pPr>
              <w:contextualSpacing/>
              <w:jc w:val="center"/>
              <w:rPr>
                <w:rFonts w:eastAsia="Times New Roman" w:cs="Times New Roman"/>
                <w:szCs w:val="24"/>
                <w:lang w:eastAsia="lv-LV"/>
              </w:rPr>
            </w:pPr>
            <w:r w:rsidRPr="004F4C11">
              <w:rPr>
                <w:rFonts w:eastAsia="Times New Roman" w:cs="Times New Roman"/>
                <w:b/>
                <w:bCs/>
                <w:szCs w:val="24"/>
                <w:lang w:eastAsia="lv-LV"/>
              </w:rPr>
              <w:t>I. Tiesību akta projekta izstrādes nepieciešamība</w:t>
            </w:r>
          </w:p>
        </w:tc>
      </w:tr>
      <w:tr w:rsidR="00993C26" w:rsidRPr="002757B9" w:rsidTr="00222AE2">
        <w:trPr>
          <w:trHeight w:val="405"/>
        </w:trPr>
        <w:tc>
          <w:tcPr>
            <w:tcW w:w="311"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contextualSpacing/>
              <w:rPr>
                <w:rFonts w:eastAsia="Times New Roman" w:cs="Times New Roman"/>
                <w:szCs w:val="24"/>
                <w:lang w:eastAsia="lv-LV"/>
              </w:rPr>
            </w:pPr>
            <w:r w:rsidRPr="002757B9">
              <w:rPr>
                <w:rFonts w:eastAsia="Times New Roman" w:cs="Times New Roman"/>
                <w:szCs w:val="24"/>
                <w:lang w:eastAsia="lv-LV"/>
              </w:rPr>
              <w:t>1.</w:t>
            </w:r>
          </w:p>
        </w:tc>
        <w:tc>
          <w:tcPr>
            <w:tcW w:w="996"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contextualSpacing/>
              <w:rPr>
                <w:rFonts w:eastAsia="Times New Roman" w:cs="Times New Roman"/>
                <w:szCs w:val="24"/>
                <w:lang w:eastAsia="lv-LV"/>
              </w:rPr>
            </w:pPr>
            <w:r w:rsidRPr="002757B9">
              <w:rPr>
                <w:rFonts w:eastAsia="Times New Roman" w:cs="Times New Roman"/>
                <w:szCs w:val="24"/>
                <w:lang w:eastAsia="lv-LV"/>
              </w:rPr>
              <w:t>Pamatojums</w:t>
            </w:r>
          </w:p>
        </w:tc>
        <w:tc>
          <w:tcPr>
            <w:tcW w:w="3693" w:type="pct"/>
            <w:tcBorders>
              <w:top w:val="outset" w:sz="6" w:space="0" w:color="auto"/>
              <w:left w:val="outset" w:sz="6" w:space="0" w:color="auto"/>
              <w:bottom w:val="outset" w:sz="6" w:space="0" w:color="auto"/>
              <w:right w:val="outset" w:sz="6" w:space="0" w:color="auto"/>
            </w:tcBorders>
            <w:hideMark/>
          </w:tcPr>
          <w:p w:rsidR="004603E9" w:rsidRDefault="004603E9" w:rsidP="004603E9">
            <w:pPr>
              <w:ind w:firstLine="336"/>
              <w:contextualSpacing/>
              <w:jc w:val="both"/>
              <w:rPr>
                <w:rFonts w:cs="Times New Roman"/>
              </w:rPr>
            </w:pPr>
            <w:r w:rsidRPr="00803F40">
              <w:t>Ministru kabineta noteikumu projekt</w:t>
            </w:r>
            <w:r w:rsidR="002F1B21">
              <w:t>s</w:t>
            </w:r>
            <w:r w:rsidRPr="00803F40">
              <w:t xml:space="preserve"> </w:t>
            </w:r>
            <w:r w:rsidR="001E4EE1">
              <w:t>„</w:t>
            </w:r>
            <w:r w:rsidRPr="00803F40">
              <w:t xml:space="preserve">Grozījumi Ministru kabineta 2013.gada 17.decembra noteikumos Nr.1529 </w:t>
            </w:r>
            <w:r w:rsidR="00FE2147">
              <w:t>„</w:t>
            </w:r>
            <w:r w:rsidRPr="00803F40">
              <w:t>Veselības aprūpes organizēšanas un finansēšanas kārtība</w:t>
            </w:r>
            <w:r w:rsidR="00FE2147">
              <w:t>””</w:t>
            </w:r>
            <w:r w:rsidRPr="00803F40">
              <w:t xml:space="preserve"> (turpmāk – noteikumu projekts)</w:t>
            </w:r>
            <w:r>
              <w:t xml:space="preserve"> izstrādāts pamatojoties uz: </w:t>
            </w:r>
          </w:p>
          <w:p w:rsidR="00993C26" w:rsidRPr="004603E9" w:rsidRDefault="00993C26" w:rsidP="004603E9">
            <w:pPr>
              <w:pStyle w:val="ListParagraph"/>
              <w:numPr>
                <w:ilvl w:val="0"/>
                <w:numId w:val="1"/>
              </w:numPr>
              <w:rPr>
                <w:rFonts w:cs="Times New Roman"/>
              </w:rPr>
            </w:pPr>
            <w:r w:rsidRPr="004603E9">
              <w:rPr>
                <w:rFonts w:cs="Times New Roman"/>
              </w:rPr>
              <w:t>Ārstni</w:t>
            </w:r>
            <w:r w:rsidR="004603E9">
              <w:rPr>
                <w:rFonts w:cs="Times New Roman"/>
              </w:rPr>
              <w:t>ecības likuma 4.panta pirm</w:t>
            </w:r>
            <w:r w:rsidR="005E5CF1">
              <w:rPr>
                <w:rFonts w:cs="Times New Roman"/>
              </w:rPr>
              <w:t>o</w:t>
            </w:r>
            <w:r w:rsidR="004603E9">
              <w:rPr>
                <w:rFonts w:cs="Times New Roman"/>
              </w:rPr>
              <w:t xml:space="preserve"> daļu;</w:t>
            </w:r>
          </w:p>
          <w:p w:rsidR="00004067" w:rsidRPr="004603E9" w:rsidRDefault="004603E9" w:rsidP="002F1B21">
            <w:pPr>
              <w:pStyle w:val="ListParagraph"/>
              <w:numPr>
                <w:ilvl w:val="0"/>
                <w:numId w:val="1"/>
              </w:numPr>
              <w:rPr>
                <w:rFonts w:cs="Times New Roman"/>
              </w:rPr>
            </w:pPr>
            <w:r>
              <w:rPr>
                <w:rFonts w:cs="Times New Roman"/>
              </w:rPr>
              <w:t>Likum</w:t>
            </w:r>
            <w:r w:rsidR="002F1B21">
              <w:rPr>
                <w:rFonts w:cs="Times New Roman"/>
              </w:rPr>
              <w:t>a</w:t>
            </w:r>
            <w:r>
              <w:rPr>
                <w:rFonts w:cs="Times New Roman"/>
              </w:rPr>
              <w:t xml:space="preserve"> </w:t>
            </w:r>
            <w:r w:rsidR="00FE2147">
              <w:rPr>
                <w:rFonts w:cs="Times New Roman"/>
              </w:rPr>
              <w:t>„</w:t>
            </w:r>
            <w:r w:rsidR="00004067" w:rsidRPr="004603E9">
              <w:rPr>
                <w:rFonts w:cs="Times New Roman"/>
              </w:rPr>
              <w:t>Par valsts budžetu 2016.gadam</w:t>
            </w:r>
            <w:r w:rsidR="00FE2147">
              <w:rPr>
                <w:rFonts w:cs="Times New Roman"/>
              </w:rPr>
              <w:t>”</w:t>
            </w:r>
            <w:r w:rsidR="00004067" w:rsidRPr="004603E9">
              <w:rPr>
                <w:rFonts w:cs="Times New Roman"/>
              </w:rPr>
              <w:t xml:space="preserve"> 66.pant</w:t>
            </w:r>
            <w:r>
              <w:rPr>
                <w:rFonts w:cs="Times New Roman"/>
              </w:rPr>
              <w:t>u.</w:t>
            </w:r>
          </w:p>
        </w:tc>
      </w:tr>
      <w:tr w:rsidR="00993C26" w:rsidRPr="002757B9" w:rsidTr="00222AE2">
        <w:trPr>
          <w:trHeight w:val="465"/>
        </w:trPr>
        <w:tc>
          <w:tcPr>
            <w:tcW w:w="311"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spacing w:before="75" w:after="75"/>
              <w:contextualSpacing/>
              <w:rPr>
                <w:rFonts w:eastAsia="Times New Roman" w:cs="Times New Roman"/>
                <w:szCs w:val="24"/>
                <w:lang w:eastAsia="lv-LV"/>
              </w:rPr>
            </w:pPr>
            <w:r w:rsidRPr="002757B9">
              <w:rPr>
                <w:rFonts w:eastAsia="Times New Roman" w:cs="Times New Roman"/>
                <w:szCs w:val="24"/>
                <w:lang w:eastAsia="lv-LV"/>
              </w:rPr>
              <w:t>2.</w:t>
            </w:r>
          </w:p>
        </w:tc>
        <w:tc>
          <w:tcPr>
            <w:tcW w:w="996" w:type="pct"/>
            <w:tcBorders>
              <w:top w:val="outset" w:sz="6" w:space="0" w:color="auto"/>
              <w:left w:val="outset" w:sz="6" w:space="0" w:color="auto"/>
              <w:bottom w:val="outset" w:sz="6" w:space="0" w:color="auto"/>
              <w:right w:val="outset" w:sz="6" w:space="0" w:color="auto"/>
            </w:tcBorders>
            <w:hideMark/>
          </w:tcPr>
          <w:p w:rsidR="00993C26" w:rsidRPr="002757B9" w:rsidRDefault="00993C26" w:rsidP="00685C6C">
            <w:pPr>
              <w:contextualSpacing/>
              <w:rPr>
                <w:rFonts w:eastAsia="Times New Roman" w:cs="Times New Roman"/>
                <w:szCs w:val="24"/>
                <w:lang w:eastAsia="lv-LV"/>
              </w:rPr>
            </w:pPr>
            <w:r w:rsidRPr="002757B9">
              <w:rPr>
                <w:rFonts w:eastAsia="Times New Roman" w:cs="Times New Roman"/>
                <w:szCs w:val="24"/>
                <w:lang w:eastAsia="lv-LV"/>
              </w:rPr>
              <w:t>Pašreizējā situācija un problēmas, kuru risināšanai tiesību akta projekts izstrādāts, tiesiskā regulējuma mērķis un būtība</w:t>
            </w:r>
          </w:p>
          <w:p w:rsidR="00993C26" w:rsidRPr="002757B9" w:rsidRDefault="00993C26" w:rsidP="00685C6C">
            <w:pPr>
              <w:contextualSpacing/>
              <w:rPr>
                <w:rFonts w:eastAsia="Times New Roman" w:cs="Times New Roman"/>
                <w:szCs w:val="24"/>
                <w:lang w:eastAsia="lv-LV"/>
              </w:rPr>
            </w:pPr>
          </w:p>
        </w:tc>
        <w:tc>
          <w:tcPr>
            <w:tcW w:w="3693" w:type="pct"/>
            <w:tcBorders>
              <w:top w:val="outset" w:sz="6" w:space="0" w:color="auto"/>
              <w:left w:val="outset" w:sz="6" w:space="0" w:color="auto"/>
              <w:bottom w:val="outset" w:sz="6" w:space="0" w:color="auto"/>
              <w:right w:val="outset" w:sz="6" w:space="0" w:color="auto"/>
            </w:tcBorders>
            <w:hideMark/>
          </w:tcPr>
          <w:p w:rsidR="00993C26" w:rsidRPr="00803F40" w:rsidRDefault="00993C26" w:rsidP="00685C6C">
            <w:pPr>
              <w:ind w:firstLine="252"/>
              <w:contextualSpacing/>
              <w:jc w:val="both"/>
            </w:pPr>
            <w:r w:rsidRPr="00803F40">
              <w:t xml:space="preserve">Kārtību, kādā iedzīvotāji saņem valsts apmaksātos veselības aprūpes pakalpojumus nosaka Ministru kabineta 2013.gada 17.decembra noteikumi Nr.1529 </w:t>
            </w:r>
            <w:r w:rsidR="00FE2147">
              <w:t>„</w:t>
            </w:r>
            <w:r w:rsidRPr="00803F40">
              <w:t>Veselības aprūpes organizēšanas un finansēšanas kārtība</w:t>
            </w:r>
            <w:r w:rsidR="00FE2147">
              <w:t>”</w:t>
            </w:r>
            <w:r w:rsidRPr="00803F40">
              <w:rPr>
                <w:bCs/>
              </w:rPr>
              <w:t xml:space="preserve"> (turpmāk – noteikumi).</w:t>
            </w:r>
            <w:r w:rsidRPr="00803F40">
              <w:t xml:space="preserve"> </w:t>
            </w:r>
          </w:p>
          <w:p w:rsidR="00993C26" w:rsidRDefault="00993C26" w:rsidP="00685C6C">
            <w:pPr>
              <w:ind w:firstLine="252"/>
              <w:contextualSpacing/>
              <w:jc w:val="both"/>
            </w:pPr>
            <w:r w:rsidRPr="00803F40">
              <w:t>Veselības ministrija noteiktā kārtībā ir sagatavojusi Minist</w:t>
            </w:r>
            <w:r w:rsidR="004603E9">
              <w:t xml:space="preserve">ru kabineta noteikumu projektu </w:t>
            </w:r>
            <w:r w:rsidRPr="00803F40">
              <w:t xml:space="preserve">ar mērķi pilnveidot noteikumos iekļautās normas atbilstoši ekonomiskai un finanšu situācijai, kā arī ņemot vērā </w:t>
            </w:r>
            <w:r w:rsidR="00D323B5">
              <w:t>veselības aprūpes nozares</w:t>
            </w:r>
            <w:r w:rsidR="00D323B5" w:rsidRPr="00803F40">
              <w:t xml:space="preserve"> </w:t>
            </w:r>
            <w:r w:rsidRPr="00803F40">
              <w:t xml:space="preserve">iestāžu </w:t>
            </w:r>
            <w:r w:rsidR="00D323B5">
              <w:t xml:space="preserve">un sabiedrisko organizāciju </w:t>
            </w:r>
            <w:r w:rsidRPr="00803F40">
              <w:t>priekšli</w:t>
            </w:r>
            <w:r w:rsidR="002108D0">
              <w:t>kumus.</w:t>
            </w:r>
          </w:p>
          <w:p w:rsidR="008E25C5" w:rsidRPr="00BE7E0D" w:rsidRDefault="008E25C5" w:rsidP="008E25C5">
            <w:pPr>
              <w:ind w:firstLine="336"/>
              <w:contextualSpacing/>
              <w:jc w:val="both"/>
              <w:rPr>
                <w:rFonts w:cs="Times New Roman"/>
                <w:szCs w:val="24"/>
              </w:rPr>
            </w:pPr>
            <w:r>
              <w:rPr>
                <w:rFonts w:cs="Times New Roman"/>
                <w:szCs w:val="24"/>
              </w:rPr>
              <w:t xml:space="preserve">Šo noteikumu grozījumu mērķis ir </w:t>
            </w:r>
            <w:r w:rsidR="002A2430">
              <w:rPr>
                <w:rFonts w:cs="Times New Roman"/>
                <w:szCs w:val="24"/>
              </w:rPr>
              <w:t xml:space="preserve">ar 2016.gada 1.oktobri </w:t>
            </w:r>
            <w:r w:rsidRPr="00BE7E0D">
              <w:rPr>
                <w:rFonts w:cs="Times New Roman"/>
                <w:szCs w:val="24"/>
              </w:rPr>
              <w:t xml:space="preserve">nodrošināt efektīvāku un savlaicīgāku pacientu, kuriem ir </w:t>
            </w:r>
            <w:r w:rsidR="002F1B21">
              <w:rPr>
                <w:rFonts w:cs="Times New Roman"/>
                <w:szCs w:val="24"/>
              </w:rPr>
              <w:t xml:space="preserve">medicīniski pamatotas </w:t>
            </w:r>
            <w:r w:rsidRPr="00BE7E0D">
              <w:rPr>
                <w:rFonts w:cs="Times New Roman"/>
                <w:szCs w:val="24"/>
              </w:rPr>
              <w:t xml:space="preserve">aizdomas par ļaundabīgu audzēju, izmeklēšanu un ārstēšanas uzsākšanu. </w:t>
            </w:r>
            <w:r>
              <w:rPr>
                <w:rFonts w:cs="Times New Roman"/>
                <w:szCs w:val="24"/>
              </w:rPr>
              <w:t xml:space="preserve">Noteikumos iekļautie grozījumi </w:t>
            </w:r>
            <w:r w:rsidRPr="00BE7E0D">
              <w:rPr>
                <w:rFonts w:cs="Times New Roman"/>
                <w:szCs w:val="24"/>
              </w:rPr>
              <w:t>nodrošinās ne tikai kvalitatīvāku veselības aprūpi, bet arī efektīvāku valsts budžeta līdzekļu izlietošanu.</w:t>
            </w:r>
          </w:p>
          <w:p w:rsidR="00A46008" w:rsidRDefault="00BE7E0D" w:rsidP="00BE7E0D">
            <w:pPr>
              <w:ind w:firstLine="336"/>
              <w:contextualSpacing/>
              <w:jc w:val="both"/>
              <w:rPr>
                <w:rFonts w:cs="Times New Roman"/>
                <w:szCs w:val="24"/>
              </w:rPr>
            </w:pPr>
            <w:r w:rsidRPr="00BE7E0D">
              <w:rPr>
                <w:rFonts w:cs="Times New Roman"/>
                <w:szCs w:val="24"/>
              </w:rPr>
              <w:t xml:space="preserve">2014.gada 14.oktobrī tika apstiprinātas Sabiedrības veselības pamatnostādnes 2014.- 2020. gadam, kas </w:t>
            </w:r>
            <w:r w:rsidR="002F1B21">
              <w:rPr>
                <w:rFonts w:cs="Times New Roman"/>
                <w:szCs w:val="24"/>
              </w:rPr>
              <w:t>paredz</w:t>
            </w:r>
            <w:r w:rsidRPr="00BE7E0D">
              <w:rPr>
                <w:rFonts w:cs="Times New Roman"/>
                <w:szCs w:val="24"/>
              </w:rPr>
              <w:t xml:space="preserve"> sabiedrības veselības politikas īstenošanu. Minētajās pamatnostādnēs ir ietverta gan onkoloģisko slimību profilakse (veselīga uztura un fizisko aktivitāšu popularizēšana, atkarību izraisošo vielu un procesu samazināšana sabiedrībā), gan diagnostika un ārstēšana, paredzot izstrādāt un ieviest veselības aprūpes tīklu vadlīnijas prioritārajās veselības aprūpes jomās, veselības aprūpes pieejamības un kvalitātes uzlabošanai, tai skaitā onkoloģij</w:t>
            </w:r>
            <w:r>
              <w:rPr>
                <w:rFonts w:cs="Times New Roman"/>
                <w:szCs w:val="24"/>
              </w:rPr>
              <w:t>ā</w:t>
            </w:r>
            <w:r w:rsidRPr="00BE7E0D">
              <w:rPr>
                <w:rFonts w:cs="Times New Roman"/>
                <w:szCs w:val="24"/>
              </w:rPr>
              <w:t>.</w:t>
            </w:r>
            <w:r>
              <w:rPr>
                <w:rFonts w:cs="Times New Roman"/>
                <w:szCs w:val="24"/>
              </w:rPr>
              <w:t xml:space="preserve"> </w:t>
            </w:r>
          </w:p>
          <w:p w:rsidR="002F1B21" w:rsidRDefault="00BE7E0D" w:rsidP="00A46008">
            <w:pPr>
              <w:ind w:firstLine="336"/>
              <w:contextualSpacing/>
              <w:jc w:val="both"/>
              <w:rPr>
                <w:rFonts w:cs="Times New Roman"/>
                <w:szCs w:val="24"/>
              </w:rPr>
            </w:pPr>
            <w:r w:rsidRPr="00BE7E0D">
              <w:rPr>
                <w:rFonts w:cs="Times New Roman"/>
                <w:szCs w:val="24"/>
              </w:rPr>
              <w:t xml:space="preserve">Lai veicinātu agrīnu onkoloģisko slimību diagnostisku, kura </w:t>
            </w:r>
            <w:r>
              <w:rPr>
                <w:rFonts w:cs="Times New Roman"/>
                <w:szCs w:val="24"/>
              </w:rPr>
              <w:t xml:space="preserve">nodrošinās </w:t>
            </w:r>
            <w:r w:rsidRPr="00BE7E0D">
              <w:rPr>
                <w:rFonts w:cs="Times New Roman"/>
                <w:szCs w:val="24"/>
              </w:rPr>
              <w:t>savlaicīg</w:t>
            </w:r>
            <w:r>
              <w:rPr>
                <w:rFonts w:cs="Times New Roman"/>
                <w:szCs w:val="24"/>
              </w:rPr>
              <w:t>u</w:t>
            </w:r>
            <w:r w:rsidRPr="00BE7E0D">
              <w:rPr>
                <w:rFonts w:cs="Times New Roman"/>
                <w:szCs w:val="24"/>
              </w:rPr>
              <w:t xml:space="preserve"> un efektīv</w:t>
            </w:r>
            <w:r>
              <w:rPr>
                <w:rFonts w:cs="Times New Roman"/>
                <w:szCs w:val="24"/>
              </w:rPr>
              <w:t>u</w:t>
            </w:r>
            <w:r w:rsidRPr="00BE7E0D">
              <w:rPr>
                <w:rFonts w:cs="Times New Roman"/>
                <w:szCs w:val="24"/>
              </w:rPr>
              <w:t xml:space="preserve"> pacientu ārstēšan</w:t>
            </w:r>
            <w:r>
              <w:rPr>
                <w:rFonts w:cs="Times New Roman"/>
                <w:szCs w:val="24"/>
              </w:rPr>
              <w:t>u</w:t>
            </w:r>
            <w:r w:rsidRPr="00BE7E0D">
              <w:rPr>
                <w:rFonts w:cs="Times New Roman"/>
                <w:szCs w:val="24"/>
              </w:rPr>
              <w:t xml:space="preserve">, </w:t>
            </w:r>
            <w:r>
              <w:rPr>
                <w:rFonts w:cs="Times New Roman"/>
                <w:szCs w:val="24"/>
              </w:rPr>
              <w:t>noteikumi papildināti ar 34.pielikumu, kurā iekļaut</w:t>
            </w:r>
            <w:r w:rsidR="00DF787A">
              <w:rPr>
                <w:rFonts w:cs="Times New Roman"/>
                <w:szCs w:val="24"/>
              </w:rPr>
              <w:t xml:space="preserve">a kārtība </w:t>
            </w:r>
            <w:r>
              <w:rPr>
                <w:rFonts w:cs="Times New Roman"/>
                <w:szCs w:val="24"/>
              </w:rPr>
              <w:t>ļ</w:t>
            </w:r>
            <w:r w:rsidRPr="00BE7E0D">
              <w:rPr>
                <w:rFonts w:cs="Times New Roman"/>
                <w:szCs w:val="24"/>
              </w:rPr>
              <w:t>aundabīgo audzēju primār</w:t>
            </w:r>
            <w:r w:rsidR="00614311">
              <w:rPr>
                <w:rFonts w:cs="Times New Roman"/>
                <w:szCs w:val="24"/>
              </w:rPr>
              <w:t>ai</w:t>
            </w:r>
            <w:r w:rsidRPr="00BE7E0D">
              <w:rPr>
                <w:rFonts w:cs="Times New Roman"/>
                <w:szCs w:val="24"/>
              </w:rPr>
              <w:t xml:space="preserve"> diagnostik</w:t>
            </w:r>
            <w:r w:rsidR="00614311">
              <w:rPr>
                <w:rFonts w:cs="Times New Roman"/>
                <w:szCs w:val="24"/>
              </w:rPr>
              <w:t>ai</w:t>
            </w:r>
            <w:r w:rsidRPr="00BE7E0D">
              <w:rPr>
                <w:rFonts w:cs="Times New Roman"/>
                <w:szCs w:val="24"/>
              </w:rPr>
              <w:t xml:space="preserve"> noteiktām </w:t>
            </w:r>
            <w:proofErr w:type="spellStart"/>
            <w:r w:rsidRPr="00BE7E0D">
              <w:rPr>
                <w:rFonts w:cs="Times New Roman"/>
                <w:szCs w:val="24"/>
              </w:rPr>
              <w:t>lokalizācijām</w:t>
            </w:r>
            <w:proofErr w:type="spellEnd"/>
            <w:r>
              <w:rPr>
                <w:rFonts w:cs="Times New Roman"/>
                <w:szCs w:val="24"/>
              </w:rPr>
              <w:t xml:space="preserve">. Šajā pielikumā  </w:t>
            </w:r>
            <w:r w:rsidRPr="00BE7E0D">
              <w:rPr>
                <w:rFonts w:cs="Times New Roman"/>
                <w:szCs w:val="24"/>
              </w:rPr>
              <w:t xml:space="preserve"> noteikt</w:t>
            </w:r>
            <w:r w:rsidR="00162910">
              <w:rPr>
                <w:rFonts w:cs="Times New Roman"/>
                <w:szCs w:val="24"/>
              </w:rPr>
              <w:t>ais algoritms nosaka</w:t>
            </w:r>
            <w:r w:rsidRPr="00BE7E0D">
              <w:rPr>
                <w:rFonts w:cs="Times New Roman"/>
                <w:szCs w:val="24"/>
              </w:rPr>
              <w:t xml:space="preserve"> kārtīb</w:t>
            </w:r>
            <w:r w:rsidR="00162910">
              <w:rPr>
                <w:rFonts w:cs="Times New Roman"/>
                <w:szCs w:val="24"/>
              </w:rPr>
              <w:t>u</w:t>
            </w:r>
            <w:r w:rsidR="00A46008">
              <w:rPr>
                <w:rFonts w:cs="Times New Roman"/>
                <w:szCs w:val="24"/>
              </w:rPr>
              <w:t>,</w:t>
            </w:r>
            <w:r w:rsidR="00162910">
              <w:rPr>
                <w:rFonts w:cs="Times New Roman"/>
                <w:szCs w:val="24"/>
              </w:rPr>
              <w:t xml:space="preserve"> saskaņā ar kuru </w:t>
            </w:r>
            <w:r w:rsidR="00162910" w:rsidRPr="00BE7E0D">
              <w:rPr>
                <w:rFonts w:cs="Times New Roman"/>
                <w:szCs w:val="24"/>
              </w:rPr>
              <w:t>ģimenes ārsti</w:t>
            </w:r>
            <w:r w:rsidR="00162910">
              <w:rPr>
                <w:rFonts w:cs="Times New Roman"/>
                <w:szCs w:val="24"/>
              </w:rPr>
              <w:t xml:space="preserve"> personu nosūta uz</w:t>
            </w:r>
            <w:r w:rsidRPr="00BE7E0D">
              <w:rPr>
                <w:rFonts w:cs="Times New Roman"/>
                <w:szCs w:val="24"/>
              </w:rPr>
              <w:t xml:space="preserve"> izmeklējumi</w:t>
            </w:r>
            <w:r w:rsidR="00162910">
              <w:rPr>
                <w:rFonts w:cs="Times New Roman"/>
                <w:szCs w:val="24"/>
              </w:rPr>
              <w:t>em</w:t>
            </w:r>
            <w:r w:rsidRPr="00BE7E0D">
              <w:rPr>
                <w:rFonts w:cs="Times New Roman"/>
                <w:szCs w:val="24"/>
              </w:rPr>
              <w:t xml:space="preserve"> onkoloģisko saslimšanu aizdomu gadījumā biežākajās vēža </w:t>
            </w:r>
            <w:proofErr w:type="spellStart"/>
            <w:r w:rsidRPr="00BE7E0D">
              <w:rPr>
                <w:rFonts w:cs="Times New Roman"/>
                <w:szCs w:val="24"/>
              </w:rPr>
              <w:t>lokalizācijās</w:t>
            </w:r>
            <w:proofErr w:type="spellEnd"/>
            <w:r w:rsidRPr="00BE7E0D">
              <w:rPr>
                <w:rFonts w:cs="Times New Roman"/>
                <w:szCs w:val="24"/>
              </w:rPr>
              <w:t>.</w:t>
            </w:r>
            <w:r w:rsidR="00CD76E0">
              <w:rPr>
                <w:rFonts w:cs="Times New Roman"/>
                <w:szCs w:val="24"/>
              </w:rPr>
              <w:t xml:space="preserve"> Vienlaikus noteikumi papildināti</w:t>
            </w:r>
            <w:r w:rsidR="00861A9B">
              <w:rPr>
                <w:rFonts w:cs="Times New Roman"/>
                <w:szCs w:val="24"/>
              </w:rPr>
              <w:t xml:space="preserve"> </w:t>
            </w:r>
            <w:r w:rsidR="00CD76E0">
              <w:rPr>
                <w:rFonts w:cs="Times New Roman"/>
                <w:szCs w:val="24"/>
              </w:rPr>
              <w:t>ar norm</w:t>
            </w:r>
            <w:r w:rsidR="009458C9">
              <w:rPr>
                <w:rFonts w:cs="Times New Roman"/>
                <w:szCs w:val="24"/>
              </w:rPr>
              <w:t>u</w:t>
            </w:r>
            <w:r w:rsidR="00CD76E0">
              <w:rPr>
                <w:rFonts w:cs="Times New Roman"/>
                <w:szCs w:val="24"/>
              </w:rPr>
              <w:t xml:space="preserve"> (51.</w:t>
            </w:r>
            <w:r w:rsidR="00CD76E0" w:rsidRPr="00CD76E0">
              <w:rPr>
                <w:rFonts w:cs="Times New Roman"/>
                <w:szCs w:val="24"/>
                <w:vertAlign w:val="superscript"/>
              </w:rPr>
              <w:t>1</w:t>
            </w:r>
            <w:r w:rsidR="001C119B" w:rsidRPr="001C119B">
              <w:rPr>
                <w:rFonts w:cs="Times New Roman"/>
                <w:szCs w:val="24"/>
              </w:rPr>
              <w:t>)</w:t>
            </w:r>
            <w:r w:rsidR="00CD76E0">
              <w:rPr>
                <w:rFonts w:cs="Times New Roman"/>
                <w:szCs w:val="24"/>
              </w:rPr>
              <w:t xml:space="preserve"> kurā iekļauti nosacījumi ģimenes ārsta turpmākai rīcībai</w:t>
            </w:r>
            <w:r w:rsidR="002F1B21">
              <w:rPr>
                <w:rFonts w:cs="Times New Roman"/>
                <w:szCs w:val="24"/>
              </w:rPr>
              <w:t xml:space="preserve"> gadījumā</w:t>
            </w:r>
            <w:r w:rsidR="00CD76E0">
              <w:rPr>
                <w:rFonts w:cs="Times New Roman"/>
                <w:szCs w:val="24"/>
              </w:rPr>
              <w:t xml:space="preserve">, ja </w:t>
            </w:r>
            <w:r w:rsidR="001C119B">
              <w:rPr>
                <w:rFonts w:cs="Times New Roman"/>
                <w:szCs w:val="24"/>
              </w:rPr>
              <w:t xml:space="preserve">pamatojoties uz medicīniskām indikācijām, </w:t>
            </w:r>
            <w:r w:rsidR="00CD76E0">
              <w:rPr>
                <w:rFonts w:cs="Times New Roman"/>
                <w:szCs w:val="24"/>
              </w:rPr>
              <w:t>rodas aizdomas par to, ka personai ir onkoloģiska saslimšana. Savukārt ārstniecības iestādes</w:t>
            </w:r>
            <w:r w:rsidR="001C119B">
              <w:rPr>
                <w:rFonts w:cs="Times New Roman"/>
                <w:szCs w:val="24"/>
              </w:rPr>
              <w:t xml:space="preserve"> turpmākā rīcība</w:t>
            </w:r>
            <w:r w:rsidR="002F1B21">
              <w:rPr>
                <w:rFonts w:cs="Times New Roman"/>
                <w:szCs w:val="24"/>
              </w:rPr>
              <w:t xml:space="preserve"> gadījumā</w:t>
            </w:r>
            <w:r w:rsidR="008E25C5">
              <w:rPr>
                <w:rFonts w:cs="Times New Roman"/>
                <w:szCs w:val="24"/>
              </w:rPr>
              <w:t xml:space="preserve">, ja personai ar aizdomām uz onkoloģisku saslimšanu nepieciešama speciālista konsultācija vai izmeklējums, noteikta </w:t>
            </w:r>
            <w:r w:rsidR="001C119B">
              <w:rPr>
                <w:rFonts w:cs="Times New Roman"/>
                <w:szCs w:val="24"/>
              </w:rPr>
              <w:t xml:space="preserve"> 131.</w:t>
            </w:r>
            <w:r w:rsidR="001C119B" w:rsidRPr="001C119B">
              <w:rPr>
                <w:rFonts w:cs="Times New Roman"/>
                <w:szCs w:val="24"/>
                <w:vertAlign w:val="superscript"/>
              </w:rPr>
              <w:t>2</w:t>
            </w:r>
            <w:r w:rsidR="001C119B">
              <w:rPr>
                <w:rFonts w:cs="Times New Roman"/>
                <w:szCs w:val="24"/>
              </w:rPr>
              <w:t xml:space="preserve"> un 131.</w:t>
            </w:r>
            <w:r w:rsidR="001C119B" w:rsidRPr="001C119B">
              <w:rPr>
                <w:rFonts w:cs="Times New Roman"/>
                <w:szCs w:val="24"/>
                <w:vertAlign w:val="superscript"/>
              </w:rPr>
              <w:t>3</w:t>
            </w:r>
            <w:r w:rsidR="001C119B">
              <w:rPr>
                <w:rFonts w:cs="Times New Roman"/>
                <w:szCs w:val="24"/>
              </w:rPr>
              <w:t xml:space="preserve"> punktā.</w:t>
            </w:r>
          </w:p>
          <w:p w:rsidR="00A46008" w:rsidRDefault="00A46008" w:rsidP="00A46008">
            <w:pPr>
              <w:ind w:firstLine="336"/>
              <w:contextualSpacing/>
              <w:jc w:val="both"/>
              <w:rPr>
                <w:rFonts w:cs="Times New Roman"/>
                <w:szCs w:val="24"/>
              </w:rPr>
            </w:pPr>
            <w:r>
              <w:rPr>
                <w:rFonts w:cs="Times New Roman"/>
                <w:szCs w:val="24"/>
              </w:rPr>
              <w:t>P</w:t>
            </w:r>
            <w:r w:rsidR="001C119B">
              <w:rPr>
                <w:rFonts w:cs="Times New Roman"/>
                <w:szCs w:val="24"/>
              </w:rPr>
              <w:t>recizējumi 2.pielikuma 1.274. un 1.277.apakšpunkt</w:t>
            </w:r>
            <w:r>
              <w:rPr>
                <w:rFonts w:cs="Times New Roman"/>
                <w:szCs w:val="24"/>
              </w:rPr>
              <w:t>ā</w:t>
            </w:r>
            <w:r w:rsidR="001C119B">
              <w:rPr>
                <w:rFonts w:cs="Times New Roman"/>
                <w:szCs w:val="24"/>
              </w:rPr>
              <w:t xml:space="preserve"> nodrošina no valsts budžeta</w:t>
            </w:r>
            <w:r w:rsidR="008E25C5">
              <w:rPr>
                <w:rFonts w:cs="Times New Roman"/>
                <w:szCs w:val="24"/>
              </w:rPr>
              <w:t xml:space="preserve"> apmaksāto </w:t>
            </w:r>
            <w:r w:rsidR="001C119B">
              <w:rPr>
                <w:rFonts w:cs="Times New Roman"/>
                <w:szCs w:val="24"/>
              </w:rPr>
              <w:t xml:space="preserve"> </w:t>
            </w:r>
            <w:r w:rsidR="008E25C5">
              <w:rPr>
                <w:rFonts w:cs="Times New Roman"/>
                <w:szCs w:val="24"/>
              </w:rPr>
              <w:t>laboratoriskos un histoloģiskos izmeklējumu</w:t>
            </w:r>
            <w:r>
              <w:rPr>
                <w:rFonts w:cs="Times New Roman"/>
                <w:szCs w:val="24"/>
              </w:rPr>
              <w:t xml:space="preserve"> </w:t>
            </w:r>
            <w:r>
              <w:rPr>
                <w:rFonts w:cs="Times New Roman"/>
                <w:szCs w:val="24"/>
              </w:rPr>
              <w:lastRenderedPageBreak/>
              <w:t>pieejamību</w:t>
            </w:r>
            <w:r w:rsidR="008E25C5">
              <w:rPr>
                <w:rFonts w:cs="Times New Roman"/>
                <w:szCs w:val="24"/>
              </w:rPr>
              <w:t xml:space="preserve"> </w:t>
            </w:r>
            <w:r w:rsidR="001B3B9E">
              <w:rPr>
                <w:rFonts w:cs="Times New Roman"/>
                <w:szCs w:val="24"/>
              </w:rPr>
              <w:t>pacientiem ar diagnozi Z03.1.</w:t>
            </w:r>
            <w:r w:rsidRPr="00BE7E0D">
              <w:rPr>
                <w:rFonts w:cs="Times New Roman"/>
                <w:szCs w:val="24"/>
              </w:rPr>
              <w:t xml:space="preserve"> </w:t>
            </w:r>
            <w:r>
              <w:rPr>
                <w:rFonts w:cs="Times New Roman"/>
                <w:szCs w:val="24"/>
              </w:rPr>
              <w:t xml:space="preserve">(paredz tiesības </w:t>
            </w:r>
            <w:r w:rsidRPr="00BE7E0D">
              <w:rPr>
                <w:rFonts w:cs="Times New Roman"/>
                <w:szCs w:val="24"/>
              </w:rPr>
              <w:t>ģimenes ārsti</w:t>
            </w:r>
            <w:r>
              <w:rPr>
                <w:rFonts w:cs="Times New Roman"/>
                <w:szCs w:val="24"/>
              </w:rPr>
              <w:t>em</w:t>
            </w:r>
            <w:r w:rsidRPr="00BE7E0D">
              <w:rPr>
                <w:rFonts w:cs="Times New Roman"/>
                <w:szCs w:val="24"/>
              </w:rPr>
              <w:t xml:space="preserve"> </w:t>
            </w:r>
            <w:r>
              <w:rPr>
                <w:rFonts w:cs="Times New Roman"/>
                <w:szCs w:val="24"/>
              </w:rPr>
              <w:t xml:space="preserve">personu </w:t>
            </w:r>
            <w:r w:rsidRPr="00BE7E0D">
              <w:rPr>
                <w:rFonts w:cs="Times New Roman"/>
                <w:szCs w:val="24"/>
              </w:rPr>
              <w:t>nosūtīt uz valsts apmaksātiem audzēju marķieru izmeklējumiem</w:t>
            </w:r>
            <w:r>
              <w:rPr>
                <w:rFonts w:cs="Times New Roman"/>
                <w:szCs w:val="24"/>
              </w:rPr>
              <w:t>)</w:t>
            </w:r>
            <w:r w:rsidRPr="00BE7E0D">
              <w:rPr>
                <w:rFonts w:cs="Times New Roman"/>
                <w:szCs w:val="24"/>
              </w:rPr>
              <w:t>.</w:t>
            </w:r>
          </w:p>
          <w:p w:rsidR="00A27EBE" w:rsidRDefault="00A27EBE" w:rsidP="00A46008">
            <w:pPr>
              <w:ind w:firstLine="336"/>
              <w:contextualSpacing/>
              <w:jc w:val="both"/>
              <w:rPr>
                <w:rFonts w:cs="Times New Roman"/>
                <w:szCs w:val="24"/>
              </w:rPr>
            </w:pPr>
            <w:r>
              <w:rPr>
                <w:rFonts w:cs="Times New Roman"/>
                <w:szCs w:val="24"/>
              </w:rPr>
              <w:t xml:space="preserve">Pārskatot ģimenes ārstu samaksu atbilstoši Finanšu ministrijas un Veselības ministrijas darba grupas secinājumiem, tika veikta ģimenes ārstu </w:t>
            </w:r>
            <w:r w:rsidR="002F1B21">
              <w:rPr>
                <w:rFonts w:cs="Times New Roman"/>
                <w:szCs w:val="24"/>
              </w:rPr>
              <w:t xml:space="preserve">prakses izdevumu izvērtēšana, kā rezultātā </w:t>
            </w:r>
            <w:r>
              <w:rPr>
                <w:rFonts w:cs="Times New Roman"/>
                <w:szCs w:val="24"/>
              </w:rPr>
              <w:t xml:space="preserve">veikti grozījumi </w:t>
            </w:r>
            <w:r w:rsidR="002F1B21">
              <w:rPr>
                <w:rFonts w:cs="Times New Roman"/>
                <w:szCs w:val="24"/>
              </w:rPr>
              <w:t xml:space="preserve">noteikumu </w:t>
            </w:r>
            <w:r>
              <w:rPr>
                <w:rFonts w:cs="Times New Roman"/>
                <w:szCs w:val="24"/>
              </w:rPr>
              <w:t>9.pielikuma 5.</w:t>
            </w:r>
            <w:r w:rsidR="00852E6B">
              <w:rPr>
                <w:rFonts w:cs="Times New Roman"/>
                <w:szCs w:val="24"/>
              </w:rPr>
              <w:t>p</w:t>
            </w:r>
            <w:r>
              <w:rPr>
                <w:rFonts w:cs="Times New Roman"/>
                <w:szCs w:val="24"/>
              </w:rPr>
              <w:t>unktā</w:t>
            </w:r>
            <w:r w:rsidR="002F1B21">
              <w:rPr>
                <w:rFonts w:cs="Times New Roman"/>
                <w:szCs w:val="24"/>
              </w:rPr>
              <w:t>,</w:t>
            </w:r>
            <w:r w:rsidR="003E3230">
              <w:rPr>
                <w:rFonts w:cs="Times New Roman"/>
                <w:szCs w:val="24"/>
              </w:rPr>
              <w:t xml:space="preserve"> </w:t>
            </w:r>
            <w:r w:rsidR="00852E6B">
              <w:rPr>
                <w:rFonts w:cs="Times New Roman"/>
                <w:szCs w:val="24"/>
              </w:rPr>
              <w:t xml:space="preserve">palielinot ģimenes ārsta </w:t>
            </w:r>
            <w:proofErr w:type="spellStart"/>
            <w:r w:rsidR="00852E6B">
              <w:rPr>
                <w:rFonts w:cs="Times New Roman"/>
                <w:szCs w:val="24"/>
              </w:rPr>
              <w:t>kapitācijas</w:t>
            </w:r>
            <w:proofErr w:type="spellEnd"/>
            <w:r w:rsidR="00852E6B">
              <w:rPr>
                <w:rFonts w:cs="Times New Roman"/>
                <w:szCs w:val="24"/>
              </w:rPr>
              <w:t xml:space="preserve"> naudas apjomu par vienu personu mēnesī no 1,182579 </w:t>
            </w:r>
            <w:proofErr w:type="spellStart"/>
            <w:r w:rsidR="006E06F4" w:rsidRPr="006E06F4">
              <w:rPr>
                <w:rFonts w:cs="Times New Roman"/>
                <w:i/>
                <w:szCs w:val="24"/>
              </w:rPr>
              <w:t>euro</w:t>
            </w:r>
            <w:proofErr w:type="spellEnd"/>
            <w:r w:rsidR="00852E6B">
              <w:rPr>
                <w:rFonts w:cs="Times New Roman"/>
                <w:szCs w:val="24"/>
              </w:rPr>
              <w:t xml:space="preserve"> uz </w:t>
            </w:r>
            <w:r w:rsidR="00852E6B" w:rsidRPr="00852E6B">
              <w:rPr>
                <w:rFonts w:cs="Times New Roman"/>
                <w:szCs w:val="24"/>
              </w:rPr>
              <w:t>1,</w:t>
            </w:r>
            <w:r w:rsidR="00852E6B">
              <w:rPr>
                <w:rFonts w:cs="Times New Roman"/>
                <w:szCs w:val="24"/>
              </w:rPr>
              <w:t xml:space="preserve">233728 </w:t>
            </w:r>
            <w:proofErr w:type="spellStart"/>
            <w:r w:rsidR="006E06F4" w:rsidRPr="006E06F4">
              <w:rPr>
                <w:rFonts w:cs="Times New Roman"/>
                <w:i/>
                <w:szCs w:val="24"/>
              </w:rPr>
              <w:t>euro</w:t>
            </w:r>
            <w:proofErr w:type="spellEnd"/>
            <w:r w:rsidR="002F1B21">
              <w:rPr>
                <w:rFonts w:cs="Times New Roman"/>
                <w:i/>
                <w:szCs w:val="24"/>
              </w:rPr>
              <w:t xml:space="preserve">. </w:t>
            </w:r>
            <w:r w:rsidR="002F1B21">
              <w:rPr>
                <w:rFonts w:cs="Times New Roman"/>
                <w:szCs w:val="24"/>
              </w:rPr>
              <w:t>Vienlaikus</w:t>
            </w:r>
            <w:r w:rsidR="006E06F4" w:rsidRPr="006E06F4">
              <w:rPr>
                <w:rFonts w:cs="Times New Roman"/>
                <w:i/>
                <w:szCs w:val="24"/>
              </w:rPr>
              <w:t xml:space="preserve"> </w:t>
            </w:r>
            <w:r>
              <w:rPr>
                <w:rFonts w:cs="Times New Roman"/>
                <w:szCs w:val="24"/>
              </w:rPr>
              <w:t>10.pielikuma 1.punkt</w:t>
            </w:r>
            <w:r w:rsidR="00852E6B">
              <w:rPr>
                <w:rFonts w:cs="Times New Roman"/>
                <w:szCs w:val="24"/>
              </w:rPr>
              <w:t xml:space="preserve">ā palielināts ikmēneša fiksētais maksājums ģimenes ārsta praksei no 424,39 </w:t>
            </w:r>
            <w:proofErr w:type="spellStart"/>
            <w:r w:rsidR="006E06F4" w:rsidRPr="006E06F4">
              <w:rPr>
                <w:rFonts w:cs="Times New Roman"/>
                <w:i/>
                <w:szCs w:val="24"/>
              </w:rPr>
              <w:t>euro</w:t>
            </w:r>
            <w:proofErr w:type="spellEnd"/>
            <w:r w:rsidR="00852E6B">
              <w:rPr>
                <w:rFonts w:cs="Times New Roman"/>
                <w:szCs w:val="24"/>
              </w:rPr>
              <w:t xml:space="preserve"> uz </w:t>
            </w:r>
            <w:r w:rsidR="00314EDD">
              <w:rPr>
                <w:rFonts w:cs="Times New Roman"/>
                <w:szCs w:val="24"/>
              </w:rPr>
              <w:t xml:space="preserve">480,73 </w:t>
            </w:r>
            <w:proofErr w:type="spellStart"/>
            <w:r w:rsidR="006E06F4" w:rsidRPr="006E06F4">
              <w:rPr>
                <w:rFonts w:cs="Times New Roman"/>
                <w:i/>
                <w:szCs w:val="24"/>
              </w:rPr>
              <w:t>euro</w:t>
            </w:r>
            <w:proofErr w:type="spellEnd"/>
            <w:r w:rsidR="00314EDD">
              <w:rPr>
                <w:rFonts w:cs="Times New Roman"/>
                <w:szCs w:val="24"/>
              </w:rPr>
              <w:t xml:space="preserve"> mēnesī</w:t>
            </w:r>
            <w:r>
              <w:rPr>
                <w:rFonts w:cs="Times New Roman"/>
                <w:szCs w:val="24"/>
              </w:rPr>
              <w:t>.</w:t>
            </w:r>
          </w:p>
          <w:p w:rsidR="001B7B33" w:rsidRPr="00BE7E0D" w:rsidRDefault="001B7B33" w:rsidP="00A46008">
            <w:pPr>
              <w:ind w:firstLine="336"/>
              <w:contextualSpacing/>
              <w:jc w:val="both"/>
              <w:rPr>
                <w:rFonts w:cs="Times New Roman"/>
                <w:szCs w:val="24"/>
              </w:rPr>
            </w:pPr>
            <w:r>
              <w:rPr>
                <w:rFonts w:cs="Times New Roman"/>
                <w:szCs w:val="24"/>
              </w:rPr>
              <w:t>Lai</w:t>
            </w:r>
            <w:r w:rsidR="00743937">
              <w:rPr>
                <w:rFonts w:cs="Times New Roman"/>
                <w:szCs w:val="24"/>
              </w:rPr>
              <w:t xml:space="preserve"> pilnveidotu līgumu slēgšanas nosacījumus,</w:t>
            </w:r>
            <w:r>
              <w:rPr>
                <w:rFonts w:cs="Times New Roman"/>
                <w:szCs w:val="24"/>
              </w:rPr>
              <w:t xml:space="preserve"> Nacionālais veselības dienest</w:t>
            </w:r>
            <w:r w:rsidR="00743937">
              <w:rPr>
                <w:rFonts w:cs="Times New Roman"/>
                <w:szCs w:val="24"/>
              </w:rPr>
              <w:t>s</w:t>
            </w:r>
            <w:r>
              <w:rPr>
                <w:rFonts w:cs="Times New Roman"/>
                <w:szCs w:val="24"/>
              </w:rPr>
              <w:t xml:space="preserve"> (turpmāk – Dienests)</w:t>
            </w:r>
            <w:r w:rsidR="00743937">
              <w:rPr>
                <w:rFonts w:cs="Times New Roman"/>
                <w:szCs w:val="24"/>
              </w:rPr>
              <w:t>,</w:t>
            </w:r>
            <w:r>
              <w:rPr>
                <w:rFonts w:cs="Times New Roman"/>
                <w:szCs w:val="24"/>
              </w:rPr>
              <w:t xml:space="preserve"> slēdzot līgumus ar pakalpojumu sniedzējiem</w:t>
            </w:r>
            <w:r w:rsidR="00743937">
              <w:rPr>
                <w:rFonts w:cs="Times New Roman"/>
                <w:szCs w:val="24"/>
              </w:rPr>
              <w:t xml:space="preserve"> par valsts apmaksāto veselības aprūpes pakalpojumu sniegšanu</w:t>
            </w:r>
            <w:r w:rsidR="002F1B21">
              <w:rPr>
                <w:rFonts w:cs="Times New Roman"/>
                <w:szCs w:val="24"/>
              </w:rPr>
              <w:t>,</w:t>
            </w:r>
            <w:r w:rsidR="00743937">
              <w:rPr>
                <w:rFonts w:cs="Times New Roman"/>
                <w:szCs w:val="24"/>
              </w:rPr>
              <w:t xml:space="preserve"> iekļautu pacientu un finanšu apjomu</w:t>
            </w:r>
            <w:r w:rsidR="002F1B21">
              <w:rPr>
                <w:rFonts w:cs="Times New Roman"/>
                <w:szCs w:val="24"/>
              </w:rPr>
              <w:t>,</w:t>
            </w:r>
            <w:r>
              <w:rPr>
                <w:rFonts w:cs="Times New Roman"/>
                <w:szCs w:val="24"/>
              </w:rPr>
              <w:t xml:space="preserve"> balst</w:t>
            </w:r>
            <w:r w:rsidR="00743937">
              <w:rPr>
                <w:rFonts w:cs="Times New Roman"/>
                <w:szCs w:val="24"/>
              </w:rPr>
              <w:t>o</w:t>
            </w:r>
            <w:r>
              <w:rPr>
                <w:rFonts w:cs="Times New Roman"/>
                <w:szCs w:val="24"/>
              </w:rPr>
              <w:t>t</w:t>
            </w:r>
            <w:r w:rsidR="00743937">
              <w:rPr>
                <w:rFonts w:cs="Times New Roman"/>
                <w:szCs w:val="24"/>
              </w:rPr>
              <w:t>ie</w:t>
            </w:r>
            <w:r>
              <w:rPr>
                <w:rFonts w:cs="Times New Roman"/>
                <w:szCs w:val="24"/>
              </w:rPr>
              <w:t xml:space="preserve">s </w:t>
            </w:r>
            <w:r w:rsidR="000F446E">
              <w:rPr>
                <w:rFonts w:cs="Times New Roman"/>
                <w:szCs w:val="24"/>
              </w:rPr>
              <w:t xml:space="preserve">nevis uz 9 mēnešiem, bet uz </w:t>
            </w:r>
            <w:r>
              <w:rPr>
                <w:rFonts w:cs="Times New Roman"/>
                <w:szCs w:val="24"/>
              </w:rPr>
              <w:t xml:space="preserve">faktisko pacientu plūsmu </w:t>
            </w:r>
            <w:r w:rsidR="00743937">
              <w:rPr>
                <w:rFonts w:cs="Times New Roman"/>
                <w:szCs w:val="24"/>
              </w:rPr>
              <w:t>(</w:t>
            </w:r>
            <w:r>
              <w:rPr>
                <w:rFonts w:cs="Times New Roman"/>
                <w:szCs w:val="24"/>
              </w:rPr>
              <w:t xml:space="preserve">ņemtu vērā </w:t>
            </w:r>
            <w:r w:rsidR="000F446E">
              <w:rPr>
                <w:rFonts w:cs="Times New Roman"/>
                <w:szCs w:val="24"/>
              </w:rPr>
              <w:t xml:space="preserve">pacientu plūsmas </w:t>
            </w:r>
            <w:r w:rsidR="00743937">
              <w:rPr>
                <w:rFonts w:cs="Times New Roman"/>
                <w:szCs w:val="24"/>
              </w:rPr>
              <w:t xml:space="preserve">sezonālās izmaiņas 12 mēnešos), </w:t>
            </w:r>
            <w:r w:rsidR="000F446E">
              <w:rPr>
                <w:rFonts w:cs="Times New Roman"/>
                <w:szCs w:val="24"/>
              </w:rPr>
              <w:t xml:space="preserve">tiek precizētas </w:t>
            </w:r>
            <w:r w:rsidR="00743937">
              <w:rPr>
                <w:rFonts w:cs="Times New Roman"/>
                <w:szCs w:val="24"/>
              </w:rPr>
              <w:t>noteikumu 166.4.,</w:t>
            </w:r>
            <w:r w:rsidR="00743937">
              <w:t xml:space="preserve"> </w:t>
            </w:r>
            <w:r w:rsidR="00743937" w:rsidRPr="00743937">
              <w:rPr>
                <w:rFonts w:cs="Times New Roman"/>
                <w:szCs w:val="24"/>
              </w:rPr>
              <w:t>244.1., 244.1.1.</w:t>
            </w:r>
            <w:r w:rsidR="00743937">
              <w:rPr>
                <w:rFonts w:cs="Times New Roman"/>
                <w:szCs w:val="24"/>
              </w:rPr>
              <w:t>,</w:t>
            </w:r>
            <w:r w:rsidR="00743937" w:rsidRPr="00743937">
              <w:rPr>
                <w:rFonts w:cs="Times New Roman"/>
                <w:szCs w:val="24"/>
              </w:rPr>
              <w:t xml:space="preserve"> 244.1.2</w:t>
            </w:r>
            <w:r w:rsidR="00743937">
              <w:rPr>
                <w:rFonts w:cs="Times New Roman"/>
                <w:szCs w:val="24"/>
              </w:rPr>
              <w:t>, 244.1.3., 244.1.5.</w:t>
            </w:r>
            <w:r w:rsidR="000F446E">
              <w:rPr>
                <w:rFonts w:cs="Times New Roman"/>
                <w:szCs w:val="24"/>
              </w:rPr>
              <w:t xml:space="preserve"> un 245.1.apakšpunkta normas.</w:t>
            </w:r>
          </w:p>
          <w:p w:rsidR="00162910" w:rsidRDefault="00A46008" w:rsidP="000F446E">
            <w:pPr>
              <w:ind w:firstLine="336"/>
              <w:contextualSpacing/>
              <w:jc w:val="both"/>
              <w:rPr>
                <w:rFonts w:cs="Times New Roman"/>
                <w:szCs w:val="24"/>
              </w:rPr>
            </w:pPr>
            <w:r>
              <w:rPr>
                <w:rFonts w:cs="Times New Roman"/>
                <w:szCs w:val="24"/>
              </w:rPr>
              <w:t>Vienlaikus noteikumos ve</w:t>
            </w:r>
            <w:r w:rsidR="00BE7E0D" w:rsidRPr="00BE7E0D">
              <w:rPr>
                <w:rFonts w:cs="Times New Roman"/>
                <w:szCs w:val="24"/>
              </w:rPr>
              <w:t>ikti redakcionāli labojumi noteikumu 16.pielikuma 952., 1012., 1017., 1018. un 1019.punktā</w:t>
            </w:r>
            <w:r>
              <w:rPr>
                <w:rFonts w:cs="Times New Roman"/>
                <w:szCs w:val="24"/>
              </w:rPr>
              <w:t>,</w:t>
            </w:r>
            <w:r w:rsidR="00BE7E0D" w:rsidRPr="00BE7E0D">
              <w:rPr>
                <w:rFonts w:cs="Times New Roman"/>
                <w:szCs w:val="24"/>
              </w:rPr>
              <w:t xml:space="preserve"> precizējot uroloģisko medicīnisko izmeklējumu manipulāciju pielietošanas nosacījumus.</w:t>
            </w:r>
          </w:p>
          <w:p w:rsidR="00AE1BB8" w:rsidRPr="00856128" w:rsidRDefault="00AE1BB8" w:rsidP="00AE1BB8">
            <w:pPr>
              <w:ind w:firstLine="336"/>
              <w:contextualSpacing/>
              <w:jc w:val="both"/>
              <w:rPr>
                <w:rFonts w:cs="Times New Roman"/>
                <w:szCs w:val="24"/>
              </w:rPr>
            </w:pPr>
            <w:r>
              <w:rPr>
                <w:rFonts w:cs="Times New Roman"/>
                <w:szCs w:val="24"/>
              </w:rPr>
              <w:t>Savukārt izsakot 19.pielikuma „Dienas stacionāru veidi” 12.5.1. apakšpunktu jaunā redakcijā un papildinot 19.pielikumu ar jaunu piezīmi, noteikumos tiek precizēta norma, kas nosaka, ka valsts apmaksāto kaulā ievietojamo dzirdes aparātu (BAHA) bērnam veic valsts sabiedrība ar ierobežotu atbildību ”Bērnu klīniskā universitātes slimnīca”.</w:t>
            </w:r>
          </w:p>
        </w:tc>
      </w:tr>
      <w:tr w:rsidR="00993C26" w:rsidRPr="006D1F1C" w:rsidTr="00222AE2">
        <w:trPr>
          <w:trHeight w:val="465"/>
        </w:trPr>
        <w:tc>
          <w:tcPr>
            <w:tcW w:w="311"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spacing w:before="75" w:after="75"/>
              <w:contextualSpacing/>
              <w:rPr>
                <w:rFonts w:eastAsia="Times New Roman" w:cs="Times New Roman"/>
                <w:szCs w:val="24"/>
                <w:lang w:eastAsia="lv-LV"/>
              </w:rPr>
            </w:pPr>
            <w:r w:rsidRPr="006D1F1C">
              <w:rPr>
                <w:rFonts w:eastAsia="Times New Roman" w:cs="Times New Roman"/>
                <w:szCs w:val="24"/>
                <w:lang w:eastAsia="lv-LV"/>
              </w:rPr>
              <w:lastRenderedPageBreak/>
              <w:t>3.</w:t>
            </w:r>
          </w:p>
        </w:tc>
        <w:tc>
          <w:tcPr>
            <w:tcW w:w="996"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contextualSpacing/>
              <w:rPr>
                <w:rFonts w:eastAsia="Times New Roman" w:cs="Times New Roman"/>
                <w:szCs w:val="24"/>
                <w:lang w:eastAsia="lv-LV"/>
              </w:rPr>
            </w:pPr>
            <w:r w:rsidRPr="006D1F1C">
              <w:rPr>
                <w:rFonts w:eastAsia="Times New Roman" w:cs="Times New Roman"/>
                <w:szCs w:val="24"/>
                <w:lang w:eastAsia="lv-LV"/>
              </w:rPr>
              <w:t>Projekta izstrādē iesaistītās institūcijas</w:t>
            </w:r>
          </w:p>
        </w:tc>
        <w:tc>
          <w:tcPr>
            <w:tcW w:w="3693" w:type="pct"/>
            <w:tcBorders>
              <w:top w:val="outset" w:sz="6" w:space="0" w:color="auto"/>
              <w:left w:val="outset" w:sz="6" w:space="0" w:color="auto"/>
              <w:bottom w:val="outset" w:sz="6" w:space="0" w:color="auto"/>
              <w:right w:val="outset" w:sz="6" w:space="0" w:color="auto"/>
            </w:tcBorders>
            <w:hideMark/>
          </w:tcPr>
          <w:p w:rsidR="00993C26" w:rsidRPr="003C6024" w:rsidRDefault="00AE1BB8" w:rsidP="00AE1BB8">
            <w:pPr>
              <w:contextualSpacing/>
              <w:jc w:val="both"/>
              <w:rPr>
                <w:rFonts w:eastAsia="Times New Roman" w:cs="Times New Roman"/>
                <w:szCs w:val="24"/>
                <w:lang w:eastAsia="lv-LV"/>
              </w:rPr>
            </w:pPr>
            <w:r>
              <w:rPr>
                <w:rFonts w:eastAsia="Times New Roman" w:cs="Times New Roman"/>
                <w:szCs w:val="24"/>
                <w:lang w:eastAsia="lv-LV"/>
              </w:rPr>
              <w:t>D</w:t>
            </w:r>
            <w:r w:rsidR="00993C26" w:rsidRPr="00BC6FF2">
              <w:rPr>
                <w:rFonts w:eastAsia="Times New Roman" w:cs="Times New Roman"/>
                <w:szCs w:val="24"/>
                <w:lang w:eastAsia="lv-LV"/>
              </w:rPr>
              <w:t>i</w:t>
            </w:r>
            <w:r w:rsidR="003C6024">
              <w:rPr>
                <w:rFonts w:eastAsia="Times New Roman" w:cs="Times New Roman"/>
                <w:szCs w:val="24"/>
                <w:lang w:eastAsia="lv-LV"/>
              </w:rPr>
              <w:t>enests</w:t>
            </w:r>
            <w:r w:rsidR="00993C26" w:rsidRPr="00BC6FF2">
              <w:rPr>
                <w:rFonts w:eastAsia="Times New Roman" w:cs="Times New Roman"/>
                <w:szCs w:val="24"/>
                <w:lang w:eastAsia="lv-LV"/>
              </w:rPr>
              <w:t>,</w:t>
            </w:r>
            <w:r w:rsidR="003C6024" w:rsidRPr="00BC6FF2">
              <w:rPr>
                <w:rFonts w:eastAsia="Times New Roman" w:cs="Times New Roman"/>
                <w:szCs w:val="24"/>
                <w:lang w:eastAsia="lv-LV"/>
              </w:rPr>
              <w:t xml:space="preserve"> </w:t>
            </w:r>
            <w:r w:rsidR="002A2430">
              <w:rPr>
                <w:rFonts w:eastAsia="Times New Roman" w:cs="Times New Roman"/>
                <w:szCs w:val="24"/>
                <w:lang w:eastAsia="lv-LV"/>
              </w:rPr>
              <w:t>ģimenes ārsti.</w:t>
            </w:r>
          </w:p>
        </w:tc>
      </w:tr>
      <w:tr w:rsidR="00993C26" w:rsidRPr="006D1F1C" w:rsidTr="00222AE2">
        <w:tc>
          <w:tcPr>
            <w:tcW w:w="311"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spacing w:before="75" w:after="75"/>
              <w:contextualSpacing/>
              <w:rPr>
                <w:rFonts w:eastAsia="Times New Roman" w:cs="Times New Roman"/>
                <w:szCs w:val="24"/>
                <w:lang w:eastAsia="lv-LV"/>
              </w:rPr>
            </w:pPr>
            <w:r w:rsidRPr="006D1F1C">
              <w:rPr>
                <w:rFonts w:eastAsia="Times New Roman" w:cs="Times New Roman"/>
                <w:szCs w:val="24"/>
                <w:lang w:eastAsia="lv-LV"/>
              </w:rPr>
              <w:t>4.</w:t>
            </w:r>
          </w:p>
        </w:tc>
        <w:tc>
          <w:tcPr>
            <w:tcW w:w="996"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contextualSpacing/>
              <w:rPr>
                <w:rFonts w:eastAsia="Times New Roman" w:cs="Times New Roman"/>
                <w:szCs w:val="24"/>
                <w:lang w:eastAsia="lv-LV"/>
              </w:rPr>
            </w:pPr>
            <w:r w:rsidRPr="006D1F1C">
              <w:rPr>
                <w:rFonts w:eastAsia="Times New Roman" w:cs="Times New Roman"/>
                <w:szCs w:val="24"/>
                <w:lang w:eastAsia="lv-LV"/>
              </w:rPr>
              <w:t>Cita informācija</w:t>
            </w:r>
          </w:p>
        </w:tc>
        <w:tc>
          <w:tcPr>
            <w:tcW w:w="3693" w:type="pct"/>
            <w:tcBorders>
              <w:top w:val="outset" w:sz="6" w:space="0" w:color="auto"/>
              <w:left w:val="outset" w:sz="6" w:space="0" w:color="auto"/>
              <w:bottom w:val="outset" w:sz="6" w:space="0" w:color="auto"/>
              <w:right w:val="outset" w:sz="6" w:space="0" w:color="auto"/>
            </w:tcBorders>
            <w:hideMark/>
          </w:tcPr>
          <w:p w:rsidR="00993C26" w:rsidRPr="006D1F1C" w:rsidRDefault="00993C26" w:rsidP="00685C6C">
            <w:pPr>
              <w:pStyle w:val="NormalWeb"/>
              <w:contextualSpacing/>
              <w:jc w:val="both"/>
            </w:pPr>
            <w:r>
              <w:t>Nav</w:t>
            </w:r>
            <w:r w:rsidR="00B767EF">
              <w:t>.</w:t>
            </w:r>
          </w:p>
        </w:tc>
      </w:tr>
    </w:tbl>
    <w:p w:rsidR="001C7DC4" w:rsidRDefault="001C7DC4"/>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
        <w:gridCol w:w="2373"/>
        <w:gridCol w:w="6785"/>
      </w:tblGrid>
      <w:tr w:rsidR="00DC27EA" w:rsidRPr="00857BA9" w:rsidTr="00194A3D">
        <w:tc>
          <w:tcPr>
            <w:tcW w:w="5000" w:type="pct"/>
            <w:gridSpan w:val="3"/>
          </w:tcPr>
          <w:p w:rsidR="00DC27EA" w:rsidRPr="00857BA9" w:rsidRDefault="00DC27EA" w:rsidP="004213D9">
            <w:pPr>
              <w:jc w:val="center"/>
            </w:pPr>
            <w:r w:rsidRPr="00DD3994">
              <w:rPr>
                <w:b/>
                <w:bCs/>
                <w:lang w:val="fi-FI"/>
              </w:rPr>
              <w:t>II. Tiesību akta projekta ietekme uz sabiedrību, tautsaimniecības attīstību un administratīvo slogu</w:t>
            </w:r>
          </w:p>
        </w:tc>
      </w:tr>
      <w:tr w:rsidR="00DC27EA" w:rsidRPr="00857BA9" w:rsidTr="00194A3D">
        <w:tc>
          <w:tcPr>
            <w:tcW w:w="230" w:type="pct"/>
          </w:tcPr>
          <w:p w:rsidR="00DC27EA" w:rsidRPr="00857BA9" w:rsidRDefault="00DC27EA" w:rsidP="004213D9">
            <w:r w:rsidRPr="00857BA9">
              <w:t>1.</w:t>
            </w:r>
          </w:p>
        </w:tc>
        <w:tc>
          <w:tcPr>
            <w:tcW w:w="1236" w:type="pct"/>
          </w:tcPr>
          <w:p w:rsidR="00DC27EA" w:rsidRPr="00857BA9" w:rsidRDefault="00DC27EA" w:rsidP="004213D9">
            <w:pPr>
              <w:ind w:left="-42" w:right="-108"/>
            </w:pPr>
            <w:r w:rsidRPr="00857BA9">
              <w:t>Sabiedrības mērķgrupas, kuras tiesiskais regulējums ietekmē vai varētu ietekmēt</w:t>
            </w:r>
          </w:p>
        </w:tc>
        <w:tc>
          <w:tcPr>
            <w:tcW w:w="3534" w:type="pct"/>
          </w:tcPr>
          <w:p w:rsidR="00DC27EA" w:rsidRPr="00706B67" w:rsidRDefault="00706B67" w:rsidP="003F165E">
            <w:pPr>
              <w:jc w:val="both"/>
            </w:pPr>
            <w:r w:rsidRPr="00706B67">
              <w:t>Noteikumu projekta tiesiskais regulējums attiecināms uz ārstniecības personām un ārstniecības iestādēm, kuras sniedz valsts apmaksātos laboratoriskos izmeklējumus iedzīvotājiem, kā arī  uz personām, kas saņem valsts apmaksātos veselības aprūpes pakalpojumus.</w:t>
            </w:r>
          </w:p>
        </w:tc>
      </w:tr>
      <w:tr w:rsidR="00DC27EA" w:rsidRPr="00EF3FA3" w:rsidTr="00194A3D">
        <w:tc>
          <w:tcPr>
            <w:tcW w:w="230" w:type="pct"/>
          </w:tcPr>
          <w:p w:rsidR="00DC27EA" w:rsidRPr="00857BA9" w:rsidRDefault="00DC27EA" w:rsidP="004213D9">
            <w:r w:rsidRPr="00857BA9">
              <w:t>2.</w:t>
            </w:r>
          </w:p>
        </w:tc>
        <w:tc>
          <w:tcPr>
            <w:tcW w:w="1236" w:type="pct"/>
          </w:tcPr>
          <w:p w:rsidR="00DC27EA" w:rsidRPr="00857BA9" w:rsidRDefault="00DC27EA" w:rsidP="004213D9">
            <w:pPr>
              <w:ind w:left="-42" w:right="-108"/>
            </w:pPr>
            <w:r w:rsidRPr="00857BA9">
              <w:t>Tiesiskā regulējuma ietekme uz tautsaimniecību un administratīvo slogu</w:t>
            </w:r>
          </w:p>
        </w:tc>
        <w:tc>
          <w:tcPr>
            <w:tcW w:w="3534" w:type="pct"/>
          </w:tcPr>
          <w:p w:rsidR="00DC27EA" w:rsidRPr="00B767EF" w:rsidRDefault="00706B67" w:rsidP="005E5CF1">
            <w:pPr>
              <w:jc w:val="both"/>
              <w:rPr>
                <w:color w:val="000000" w:themeColor="text1"/>
              </w:rPr>
            </w:pPr>
            <w:r w:rsidRPr="00706B67">
              <w:rPr>
                <w:color w:val="000000" w:themeColor="text1"/>
              </w:rPr>
              <w:t>Sabiedrības grupām un institūcijām projekta tiesiskais regulējums pēc būtības nemaina tiesības un pienākumus.</w:t>
            </w:r>
          </w:p>
        </w:tc>
      </w:tr>
      <w:tr w:rsidR="00DC27EA" w:rsidRPr="00822F53" w:rsidTr="00194A3D">
        <w:tc>
          <w:tcPr>
            <w:tcW w:w="230" w:type="pct"/>
          </w:tcPr>
          <w:p w:rsidR="00DC27EA" w:rsidRPr="00857BA9" w:rsidRDefault="00DC27EA" w:rsidP="004213D9">
            <w:r w:rsidRPr="00857BA9">
              <w:t>3.</w:t>
            </w:r>
          </w:p>
        </w:tc>
        <w:tc>
          <w:tcPr>
            <w:tcW w:w="1236" w:type="pct"/>
          </w:tcPr>
          <w:p w:rsidR="00DC27EA" w:rsidRPr="00857BA9" w:rsidRDefault="00DC27EA" w:rsidP="004213D9">
            <w:pPr>
              <w:ind w:left="-42" w:right="-108"/>
            </w:pPr>
            <w:r w:rsidRPr="00857BA9">
              <w:t xml:space="preserve">Administratīvo izmaksu monetārs </w:t>
            </w:r>
            <w:r w:rsidRPr="00857BA9">
              <w:lastRenderedPageBreak/>
              <w:t>novērtējums</w:t>
            </w:r>
          </w:p>
        </w:tc>
        <w:tc>
          <w:tcPr>
            <w:tcW w:w="3534" w:type="pct"/>
          </w:tcPr>
          <w:p w:rsidR="00416A21" w:rsidRPr="00416A21" w:rsidRDefault="00706B67" w:rsidP="004D5766">
            <w:pPr>
              <w:jc w:val="both"/>
            </w:pPr>
            <w:r w:rsidRPr="00706B67">
              <w:lastRenderedPageBreak/>
              <w:t>Projekts šo jomu neskar.</w:t>
            </w:r>
          </w:p>
        </w:tc>
      </w:tr>
      <w:tr w:rsidR="00DC27EA" w:rsidRPr="00857BA9" w:rsidTr="00194A3D">
        <w:tc>
          <w:tcPr>
            <w:tcW w:w="230" w:type="pct"/>
          </w:tcPr>
          <w:p w:rsidR="00DC27EA" w:rsidRPr="00857BA9" w:rsidRDefault="00DC27EA" w:rsidP="004213D9">
            <w:r w:rsidRPr="00857BA9">
              <w:lastRenderedPageBreak/>
              <w:t>4.</w:t>
            </w:r>
          </w:p>
        </w:tc>
        <w:tc>
          <w:tcPr>
            <w:tcW w:w="1236" w:type="pct"/>
          </w:tcPr>
          <w:p w:rsidR="00DC27EA" w:rsidRPr="00857BA9" w:rsidRDefault="00DC27EA" w:rsidP="004213D9">
            <w:pPr>
              <w:ind w:left="-42" w:right="-108"/>
            </w:pPr>
            <w:r w:rsidRPr="00857BA9">
              <w:t>Cita informācija</w:t>
            </w:r>
          </w:p>
        </w:tc>
        <w:tc>
          <w:tcPr>
            <w:tcW w:w="3534" w:type="pct"/>
          </w:tcPr>
          <w:p w:rsidR="00DC27EA" w:rsidRPr="00857BA9" w:rsidRDefault="00C10DBC" w:rsidP="004213D9">
            <w:pPr>
              <w:jc w:val="both"/>
              <w:rPr>
                <w:highlight w:val="yellow"/>
              </w:rPr>
            </w:pPr>
            <w:r w:rsidRPr="00C10DBC">
              <w:t>Nav.</w:t>
            </w:r>
          </w:p>
        </w:tc>
      </w:tr>
    </w:tbl>
    <w:p w:rsidR="00DC27EA" w:rsidRDefault="00DC27EA" w:rsidP="00C421D8">
      <w:pPr>
        <w:ind w:right="-143"/>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13"/>
        <w:gridCol w:w="1889"/>
        <w:gridCol w:w="1986"/>
        <w:gridCol w:w="1552"/>
        <w:gridCol w:w="1563"/>
        <w:gridCol w:w="995"/>
      </w:tblGrid>
      <w:tr w:rsidR="00D2680E" w:rsidRPr="006D1F1C" w:rsidTr="00D2680E">
        <w:trPr>
          <w:jc w:val="center"/>
        </w:trPr>
        <w:tc>
          <w:tcPr>
            <w:tcW w:w="5000" w:type="pct"/>
            <w:gridSpan w:val="6"/>
            <w:tcBorders>
              <w:top w:val="outset" w:sz="6" w:space="0" w:color="auto"/>
              <w:left w:val="outset" w:sz="6" w:space="0" w:color="auto"/>
              <w:bottom w:val="outset" w:sz="6" w:space="0" w:color="auto"/>
              <w:right w:val="outset" w:sz="6" w:space="0" w:color="auto"/>
            </w:tcBorders>
            <w:vAlign w:val="center"/>
          </w:tcPr>
          <w:p w:rsidR="00D2680E" w:rsidRPr="006D1F1C" w:rsidRDefault="00D2680E" w:rsidP="00D2680E">
            <w:pPr>
              <w:spacing w:before="75" w:after="75"/>
              <w:jc w:val="center"/>
              <w:rPr>
                <w:rFonts w:eastAsia="Times New Roman" w:cs="Times New Roman"/>
                <w:szCs w:val="24"/>
                <w:lang w:eastAsia="lv-LV"/>
              </w:rPr>
            </w:pPr>
            <w:r w:rsidRPr="002D74E0">
              <w:rPr>
                <w:rFonts w:eastAsia="Times New Roman" w:cs="Times New Roman"/>
                <w:szCs w:val="24"/>
                <w:lang w:eastAsia="lv-LV"/>
              </w:rPr>
              <w:t>III. Tiesību akta projekta ietekme uz valsts budžetu un pašvaldību budžetiem</w:t>
            </w:r>
          </w:p>
        </w:tc>
      </w:tr>
      <w:tr w:rsidR="00D2680E" w:rsidRPr="006D1F1C" w:rsidTr="00D2680E">
        <w:trPr>
          <w:jc w:val="center"/>
        </w:trPr>
        <w:tc>
          <w:tcPr>
            <w:tcW w:w="883" w:type="pct"/>
            <w:vMerge w:val="restar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b/>
                <w:bCs/>
                <w:szCs w:val="24"/>
                <w:lang w:eastAsia="lv-LV"/>
              </w:rPr>
              <w:t>Rādītāji</w:t>
            </w:r>
          </w:p>
        </w:tc>
        <w:tc>
          <w:tcPr>
            <w:tcW w:w="199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6</w:t>
            </w:r>
            <w:r w:rsidRPr="006D1F1C">
              <w:rPr>
                <w:rFonts w:eastAsia="Times New Roman" w:cs="Times New Roman"/>
                <w:b/>
                <w:bCs/>
                <w:szCs w:val="24"/>
                <w:lang w:eastAsia="lv-LV"/>
              </w:rPr>
              <w:t>. gads</w:t>
            </w:r>
          </w:p>
        </w:tc>
        <w:tc>
          <w:tcPr>
            <w:tcW w:w="2119" w:type="pct"/>
            <w:gridSpan w:val="3"/>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Cs w:val="24"/>
                <w:lang w:eastAsia="lv-LV"/>
              </w:rPr>
            </w:pPr>
            <w:r w:rsidRPr="006D1F1C">
              <w:rPr>
                <w:rFonts w:eastAsia="Times New Roman" w:cs="Times New Roman"/>
                <w:szCs w:val="24"/>
                <w:lang w:eastAsia="lv-LV"/>
              </w:rPr>
              <w:t>Turpmākie trīs gadi (</w:t>
            </w:r>
            <w:proofErr w:type="spellStart"/>
            <w:r w:rsidRPr="006D1F1C">
              <w:rPr>
                <w:rFonts w:eastAsia="Times New Roman" w:cs="Times New Roman"/>
                <w:i/>
                <w:szCs w:val="24"/>
                <w:lang w:eastAsia="lv-LV"/>
              </w:rPr>
              <w:t>euro</w:t>
            </w:r>
            <w:proofErr w:type="spellEnd"/>
            <w:r w:rsidRPr="006D1F1C">
              <w:rPr>
                <w:rFonts w:eastAsia="Times New Roman" w:cs="Times New Roman"/>
                <w:szCs w:val="24"/>
                <w:lang w:eastAsia="lv-LV"/>
              </w:rPr>
              <w:t>)</w:t>
            </w:r>
          </w:p>
        </w:tc>
      </w:tr>
      <w:tr w:rsidR="00D2680E" w:rsidRPr="006D1F1C" w:rsidTr="00D2680E">
        <w:trPr>
          <w:jc w:val="center"/>
        </w:trPr>
        <w:tc>
          <w:tcPr>
            <w:tcW w:w="883" w:type="pct"/>
            <w:vMerge/>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rPr>
                <w:rFonts w:eastAsia="Times New Roman" w:cs="Times New Roman"/>
                <w:szCs w:val="24"/>
                <w:lang w:eastAsia="lv-LV"/>
              </w:rPr>
            </w:pPr>
          </w:p>
        </w:tc>
        <w:tc>
          <w:tcPr>
            <w:tcW w:w="1998" w:type="pct"/>
            <w:gridSpan w:val="2"/>
            <w:vMerge/>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rPr>
                <w:rFonts w:eastAsia="Times New Roman" w:cs="Times New Roman"/>
                <w:szCs w:val="24"/>
                <w:lang w:eastAsia="lv-LV"/>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7</w:t>
            </w:r>
          </w:p>
        </w:tc>
        <w:tc>
          <w:tcPr>
            <w:tcW w:w="806"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8</w:t>
            </w:r>
          </w:p>
        </w:tc>
        <w:tc>
          <w:tcPr>
            <w:tcW w:w="513"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b/>
                <w:bCs/>
                <w:szCs w:val="24"/>
                <w:lang w:eastAsia="lv-LV"/>
              </w:rPr>
              <w:t>201</w:t>
            </w:r>
            <w:r>
              <w:rPr>
                <w:rFonts w:eastAsia="Times New Roman" w:cs="Times New Roman"/>
                <w:b/>
                <w:bCs/>
                <w:szCs w:val="24"/>
                <w:lang w:eastAsia="lv-LV"/>
              </w:rPr>
              <w:t>9</w:t>
            </w:r>
          </w:p>
        </w:tc>
      </w:tr>
      <w:tr w:rsidR="00D2680E" w:rsidRPr="006D1F1C" w:rsidTr="00D2680E">
        <w:trPr>
          <w:jc w:val="center"/>
        </w:trPr>
        <w:tc>
          <w:tcPr>
            <w:tcW w:w="883" w:type="pct"/>
            <w:vMerge/>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rPr>
                <w:rFonts w:eastAsia="Times New Roman" w:cs="Times New Roman"/>
                <w:szCs w:val="24"/>
                <w:lang w:eastAsia="lv-LV"/>
              </w:rPr>
            </w:pPr>
          </w:p>
        </w:tc>
        <w:tc>
          <w:tcPr>
            <w:tcW w:w="974"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szCs w:val="24"/>
                <w:lang w:eastAsia="lv-LV"/>
              </w:rPr>
              <w:t>saskaņā ar valsts budžetu kārtējam gadam</w:t>
            </w:r>
            <w:r>
              <w:rPr>
                <w:rFonts w:eastAsia="Times New Roman" w:cs="Times New Roman"/>
                <w:szCs w:val="24"/>
                <w:lang w:eastAsia="lv-LV"/>
              </w:rPr>
              <w:t>*</w:t>
            </w:r>
          </w:p>
        </w:tc>
        <w:tc>
          <w:tcPr>
            <w:tcW w:w="1024"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szCs w:val="24"/>
                <w:lang w:eastAsia="lv-LV"/>
              </w:rPr>
              <w:t>izmaiņas kārtējā gadā, salīdzinot ar valsts budžetu kārtējam gadam</w:t>
            </w:r>
          </w:p>
        </w:tc>
        <w:tc>
          <w:tcPr>
            <w:tcW w:w="800"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szCs w:val="24"/>
                <w:lang w:eastAsia="lv-LV"/>
              </w:rPr>
              <w:t>izmaiņas, salīdzinot ar kārtējo (n) gadu</w:t>
            </w:r>
          </w:p>
        </w:tc>
        <w:tc>
          <w:tcPr>
            <w:tcW w:w="806"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szCs w:val="24"/>
                <w:lang w:eastAsia="lv-LV"/>
              </w:rPr>
              <w:t>izmaiņas, salīdzinot ar kārtējo (n) gadu</w:t>
            </w:r>
          </w:p>
        </w:tc>
        <w:tc>
          <w:tcPr>
            <w:tcW w:w="513"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rPr>
                <w:rFonts w:eastAsia="Times New Roman" w:cs="Times New Roman"/>
                <w:szCs w:val="24"/>
                <w:lang w:eastAsia="lv-LV"/>
              </w:rPr>
            </w:pPr>
            <w:r w:rsidRPr="006D1F1C">
              <w:rPr>
                <w:rFonts w:eastAsia="Times New Roman" w:cs="Times New Roman"/>
                <w:szCs w:val="24"/>
                <w:lang w:eastAsia="lv-LV"/>
              </w:rPr>
              <w:t>izmaiņas, salīdzinot ar kārtējo (n) gadu</w:t>
            </w:r>
          </w:p>
        </w:tc>
      </w:tr>
      <w:tr w:rsidR="00D2680E" w:rsidRPr="006D1F1C" w:rsidTr="00D2680E">
        <w:trPr>
          <w:trHeight w:val="346"/>
          <w:jc w:val="center"/>
        </w:trPr>
        <w:tc>
          <w:tcPr>
            <w:tcW w:w="883"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1</w:t>
            </w:r>
          </w:p>
        </w:tc>
        <w:tc>
          <w:tcPr>
            <w:tcW w:w="974"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2</w:t>
            </w:r>
          </w:p>
        </w:tc>
        <w:tc>
          <w:tcPr>
            <w:tcW w:w="1024"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4</w:t>
            </w:r>
          </w:p>
        </w:tc>
        <w:tc>
          <w:tcPr>
            <w:tcW w:w="806"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5</w:t>
            </w:r>
          </w:p>
        </w:tc>
        <w:tc>
          <w:tcPr>
            <w:tcW w:w="513" w:type="pct"/>
            <w:tcBorders>
              <w:top w:val="outset" w:sz="6" w:space="0" w:color="auto"/>
              <w:left w:val="outset" w:sz="6" w:space="0" w:color="auto"/>
              <w:bottom w:val="outset" w:sz="6" w:space="0" w:color="auto"/>
              <w:right w:val="outset" w:sz="6" w:space="0" w:color="auto"/>
            </w:tcBorders>
            <w:vAlign w:val="center"/>
            <w:hideMark/>
          </w:tcPr>
          <w:p w:rsidR="00D2680E" w:rsidRPr="006D1F1C" w:rsidRDefault="00D2680E" w:rsidP="00D2680E">
            <w:pPr>
              <w:spacing w:before="75" w:after="75"/>
              <w:jc w:val="center"/>
              <w:rPr>
                <w:rFonts w:eastAsia="Times New Roman" w:cs="Times New Roman"/>
                <w:sz w:val="20"/>
                <w:szCs w:val="20"/>
                <w:lang w:eastAsia="lv-LV"/>
              </w:rPr>
            </w:pPr>
            <w:r w:rsidRPr="006D1F1C">
              <w:rPr>
                <w:rFonts w:eastAsia="Times New Roman" w:cs="Times New Roman"/>
                <w:sz w:val="20"/>
                <w:szCs w:val="20"/>
                <w:lang w:eastAsia="lv-LV"/>
              </w:rPr>
              <w:t>6</w:t>
            </w: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b/>
                <w:bCs/>
                <w:szCs w:val="24"/>
              </w:rPr>
            </w:pPr>
            <w:r w:rsidRPr="006D1F1C">
              <w:rPr>
                <w:rFonts w:cs="Times New Roman"/>
                <w:b/>
                <w:bCs/>
              </w:rPr>
              <w:t>1. Budžeta ieņēmumi:</w:t>
            </w:r>
          </w:p>
        </w:tc>
        <w:tc>
          <w:tcPr>
            <w:tcW w:w="974" w:type="pct"/>
            <w:tcBorders>
              <w:top w:val="outset" w:sz="6" w:space="0" w:color="auto"/>
              <w:left w:val="outset" w:sz="6" w:space="0" w:color="auto"/>
              <w:bottom w:val="outset" w:sz="6" w:space="0" w:color="auto"/>
              <w:right w:val="outset" w:sz="6" w:space="0" w:color="auto"/>
            </w:tcBorders>
            <w:hideMark/>
          </w:tcPr>
          <w:p w:rsidR="00D2680E" w:rsidRPr="00AF6B3C" w:rsidRDefault="00D2680E" w:rsidP="00D2680E">
            <w:pPr>
              <w:rPr>
                <w:rFonts w:eastAsia="Times New Roman" w:cs="Times New Roman"/>
                <w:b/>
                <w:lang w:eastAsia="lv-LV"/>
              </w:rPr>
            </w:pP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7</w:t>
            </w:r>
            <w:r w:rsidRPr="00106EDD">
              <w:rPr>
                <w:rFonts w:eastAsia="Times New Roman" w:cs="Times New Roman"/>
                <w:color w:val="000000"/>
                <w:shd w:val="clear" w:color="auto" w:fill="FFFFFF"/>
                <w:lang w:eastAsia="lv-LV" w:bidi="lv-LV"/>
              </w:rPr>
              <w:t> 1</w:t>
            </w:r>
            <w:r>
              <w:rPr>
                <w:rFonts w:eastAsia="Times New Roman" w:cs="Times New Roman"/>
                <w:color w:val="000000"/>
                <w:shd w:val="clear" w:color="auto" w:fill="FFFFFF"/>
                <w:lang w:eastAsia="lv-LV" w:bidi="lv-LV"/>
              </w:rPr>
              <w:t>32</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9</w:t>
            </w:r>
            <w:r w:rsidRPr="00106EDD">
              <w:rPr>
                <w:rFonts w:eastAsia="Times New Roman" w:cs="Times New Roman"/>
                <w:color w:val="000000"/>
                <w:shd w:val="clear" w:color="auto" w:fill="FFFFFF"/>
                <w:lang w:eastAsia="lv-LV" w:bidi="lv-LV"/>
              </w:rPr>
              <w:t>1</w:t>
            </w:r>
            <w:r>
              <w:rPr>
                <w:rFonts w:eastAsia="Times New Roman" w:cs="Times New Roman"/>
                <w:color w:val="000000"/>
                <w:shd w:val="clear" w:color="auto" w:fill="FFFFFF"/>
                <w:lang w:eastAsia="lv-LV" w:bidi="lv-LV"/>
              </w:rPr>
              <w:t>1</w:t>
            </w: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1.1. valsts pamatbudžets, tai skaitā ieņēmumi no maksas pakalpojumiem un citi pašu ieņēmumi</w:t>
            </w:r>
          </w:p>
        </w:tc>
        <w:tc>
          <w:tcPr>
            <w:tcW w:w="974" w:type="pct"/>
            <w:tcBorders>
              <w:top w:val="outset" w:sz="6" w:space="0" w:color="auto"/>
              <w:left w:val="outset" w:sz="6" w:space="0" w:color="auto"/>
              <w:bottom w:val="outset" w:sz="6" w:space="0" w:color="auto"/>
              <w:right w:val="outset" w:sz="6" w:space="0" w:color="auto"/>
            </w:tcBorders>
            <w:hideMark/>
          </w:tcPr>
          <w:p w:rsidR="00D2680E" w:rsidRDefault="00D2680E" w:rsidP="00D2680E">
            <w:pPr>
              <w:rPr>
                <w:rFonts w:eastAsia="Times New Roman" w:cs="Times New Roman"/>
                <w:color w:val="000000"/>
                <w:shd w:val="clear" w:color="auto" w:fill="FFFFFF"/>
                <w:lang w:eastAsia="lv-LV" w:bidi="lv-LV"/>
              </w:rPr>
            </w:pP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7</w:t>
            </w:r>
            <w:r w:rsidRPr="00106EDD">
              <w:rPr>
                <w:rFonts w:eastAsia="Times New Roman" w:cs="Times New Roman"/>
                <w:color w:val="000000"/>
                <w:shd w:val="clear" w:color="auto" w:fill="FFFFFF"/>
                <w:lang w:eastAsia="lv-LV" w:bidi="lv-LV"/>
              </w:rPr>
              <w:t> 1</w:t>
            </w:r>
            <w:r>
              <w:rPr>
                <w:rFonts w:eastAsia="Times New Roman" w:cs="Times New Roman"/>
                <w:color w:val="000000"/>
                <w:shd w:val="clear" w:color="auto" w:fill="FFFFFF"/>
                <w:lang w:eastAsia="lv-LV" w:bidi="lv-LV"/>
              </w:rPr>
              <w:t>32 9</w:t>
            </w:r>
            <w:r w:rsidRPr="00106EDD">
              <w:rPr>
                <w:rFonts w:eastAsia="Times New Roman" w:cs="Times New Roman"/>
                <w:color w:val="000000"/>
                <w:shd w:val="clear" w:color="auto" w:fill="FFFFFF"/>
                <w:lang w:eastAsia="lv-LV" w:bidi="lv-LV"/>
              </w:rPr>
              <w:t>1</w:t>
            </w:r>
            <w:r>
              <w:rPr>
                <w:rFonts w:eastAsia="Times New Roman" w:cs="Times New Roman"/>
                <w:color w:val="000000"/>
                <w:shd w:val="clear" w:color="auto" w:fill="FFFFFF"/>
                <w:lang w:eastAsia="lv-LV" w:bidi="lv-LV"/>
              </w:rPr>
              <w:t>1</w:t>
            </w:r>
          </w:p>
          <w:p w:rsidR="00D2680E" w:rsidRDefault="00D2680E" w:rsidP="00D2680E">
            <w:pPr>
              <w:rPr>
                <w:rFonts w:eastAsia="Times New Roman" w:cs="Times New Roman"/>
                <w:color w:val="000000"/>
                <w:shd w:val="clear" w:color="auto" w:fill="FFFFFF"/>
                <w:lang w:eastAsia="lv-LV" w:bidi="lv-LV"/>
              </w:rPr>
            </w:pPr>
          </w:p>
          <w:p w:rsidR="00D2680E" w:rsidRDefault="00D2680E" w:rsidP="00D2680E">
            <w:pPr>
              <w:rPr>
                <w:rFonts w:eastAsia="Times New Roman" w:cs="Times New Roman"/>
                <w:color w:val="000000"/>
                <w:shd w:val="clear" w:color="auto" w:fill="FFFFFF"/>
                <w:lang w:eastAsia="lv-LV" w:bidi="lv-LV"/>
              </w:rPr>
            </w:pPr>
          </w:p>
          <w:p w:rsidR="00D2680E" w:rsidRDefault="00D2680E" w:rsidP="00D2680E">
            <w:pPr>
              <w:rPr>
                <w:rFonts w:eastAsia="Times New Roman" w:cs="Times New Roman"/>
                <w:color w:val="000000"/>
                <w:shd w:val="clear" w:color="auto" w:fill="FFFFFF"/>
                <w:lang w:eastAsia="lv-LV" w:bidi="lv-LV"/>
              </w:rPr>
            </w:pPr>
            <w:r w:rsidRPr="00106EDD">
              <w:rPr>
                <w:rFonts w:eastAsia="Times New Roman" w:cs="Times New Roman"/>
                <w:color w:val="000000"/>
                <w:shd w:val="clear" w:color="auto" w:fill="FFFFFF"/>
                <w:lang w:eastAsia="lv-LV" w:bidi="lv-LV"/>
              </w:rPr>
              <w:t>1 087 074</w:t>
            </w:r>
          </w:p>
          <w:p w:rsidR="00D2680E" w:rsidRPr="00AF6B3C" w:rsidRDefault="00D2680E" w:rsidP="00D2680E">
            <w:pPr>
              <w:rPr>
                <w:rFonts w:eastAsia="Times New Roman" w:cs="Times New Roman"/>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1.2. valsts speciālais budžets</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1.3. pašvaldību budžets</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b/>
                <w:bCs/>
                <w:szCs w:val="24"/>
              </w:rPr>
            </w:pPr>
            <w:r w:rsidRPr="006D1F1C">
              <w:rPr>
                <w:rFonts w:cs="Times New Roman"/>
                <w:b/>
                <w:bCs/>
              </w:rPr>
              <w:t>2. Budžeta izdevumi:</w:t>
            </w:r>
          </w:p>
        </w:tc>
        <w:tc>
          <w:tcPr>
            <w:tcW w:w="974" w:type="pct"/>
            <w:tcBorders>
              <w:top w:val="outset" w:sz="6" w:space="0" w:color="auto"/>
              <w:left w:val="outset" w:sz="6" w:space="0" w:color="auto"/>
              <w:bottom w:val="outset" w:sz="6" w:space="0" w:color="auto"/>
              <w:right w:val="outset" w:sz="6" w:space="0" w:color="auto"/>
            </w:tcBorders>
            <w:hideMark/>
          </w:tcPr>
          <w:p w:rsidR="00D2680E" w:rsidRPr="00AF6B3C" w:rsidRDefault="00D2680E" w:rsidP="00D2680E">
            <w:pPr>
              <w:rPr>
                <w:rFonts w:eastAsia="Times New Roman" w:cs="Times New Roman"/>
                <w:b/>
                <w:lang w:eastAsia="lv-LV"/>
              </w:rPr>
            </w:pP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7</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654</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34</w:t>
            </w:r>
            <w:r w:rsidRPr="00106EDD">
              <w:rPr>
                <w:rFonts w:eastAsia="Times New Roman" w:cs="Times New Roman"/>
                <w:color w:val="000000"/>
                <w:shd w:val="clear" w:color="auto" w:fill="FFFFFF"/>
                <w:lang w:eastAsia="lv-LV" w:bidi="lv-LV"/>
              </w:rPr>
              <w:t>6</w:t>
            </w: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2.1. valsts pamatbudžets</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Default="00D2680E" w:rsidP="00D2680E">
            <w:pPr>
              <w:rPr>
                <w:rFonts w:cs="Times New Roman"/>
              </w:rPr>
            </w:pPr>
            <w:r>
              <w:rPr>
                <w:rFonts w:cs="Times New Roman"/>
              </w:rPr>
              <w:t xml:space="preserve">apakšprogramma 33.01.00 </w:t>
            </w:r>
          </w:p>
          <w:p w:rsidR="00D2680E" w:rsidRPr="006D1F1C" w:rsidRDefault="00D2680E" w:rsidP="00D2680E">
            <w:pPr>
              <w:rPr>
                <w:rFonts w:cs="Times New Roman"/>
              </w:rPr>
            </w:pPr>
            <w:r>
              <w:rPr>
                <w:rFonts w:cs="Times New Roman"/>
              </w:rPr>
              <w:t>„Ārstniecība”</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7</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654</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34</w:t>
            </w:r>
            <w:r w:rsidRPr="00106EDD">
              <w:rPr>
                <w:rFonts w:eastAsia="Times New Roman" w:cs="Times New Roman"/>
                <w:color w:val="000000"/>
                <w:shd w:val="clear" w:color="auto" w:fill="FFFFFF"/>
                <w:lang w:eastAsia="lv-LV" w:bidi="lv-LV"/>
              </w:rPr>
              <w:t>6</w:t>
            </w: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strike/>
                <w:lang w:eastAsia="lv-LV"/>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2.2. valsts speciālais budžets</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 xml:space="preserve">2.3. pašvaldību budžets </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b/>
                <w:szCs w:val="24"/>
              </w:rPr>
            </w:pPr>
            <w:r w:rsidRPr="006D1F1C">
              <w:rPr>
                <w:rFonts w:cs="Times New Roman"/>
                <w:b/>
              </w:rPr>
              <w:t>3. Finansiālā ietekme:</w:t>
            </w:r>
          </w:p>
        </w:tc>
        <w:tc>
          <w:tcPr>
            <w:tcW w:w="974" w:type="pct"/>
            <w:tcBorders>
              <w:top w:val="outset" w:sz="6" w:space="0" w:color="auto"/>
              <w:left w:val="outset" w:sz="6" w:space="0" w:color="auto"/>
              <w:bottom w:val="outset" w:sz="6" w:space="0" w:color="auto"/>
              <w:right w:val="outset" w:sz="6" w:space="0" w:color="auto"/>
            </w:tcBorders>
            <w:vAlign w:val="bottom"/>
            <w:hideMark/>
          </w:tcPr>
          <w:p w:rsidR="00D2680E" w:rsidRPr="002929D5" w:rsidRDefault="00D2680E" w:rsidP="00D2680E">
            <w:pPr>
              <w:rPr>
                <w:rFonts w:cs="Times New Roman"/>
                <w:b/>
                <w:strike/>
              </w:rPr>
            </w:pPr>
            <w:r>
              <w:rPr>
                <w:rFonts w:eastAsia="Times New Roman" w:cs="Times New Roman"/>
                <w:noProof/>
                <w:szCs w:val="24"/>
                <w:lang w:eastAsia="lv-LV"/>
              </w:rPr>
              <w:t xml:space="preserve">-521 </w:t>
            </w:r>
            <w:r>
              <w:rPr>
                <w:rFonts w:eastAsia="Times New Roman" w:cs="Times New Roman"/>
                <w:color w:val="000000"/>
                <w:shd w:val="clear" w:color="auto" w:fill="FFFFFF"/>
                <w:lang w:eastAsia="lv-LV" w:bidi="lv-LV"/>
              </w:rPr>
              <w:t>435</w:t>
            </w:r>
          </w:p>
        </w:tc>
        <w:tc>
          <w:tcPr>
            <w:tcW w:w="1024" w:type="pct"/>
            <w:tcBorders>
              <w:top w:val="outset" w:sz="6" w:space="0" w:color="auto"/>
              <w:left w:val="outset" w:sz="6" w:space="0" w:color="auto"/>
              <w:bottom w:val="outset" w:sz="6" w:space="0" w:color="auto"/>
              <w:right w:val="outset" w:sz="6" w:space="0" w:color="auto"/>
            </w:tcBorders>
            <w:vAlign w:val="bottom"/>
            <w:hideMark/>
          </w:tcPr>
          <w:p w:rsidR="00D2680E" w:rsidRPr="002929D5" w:rsidRDefault="00D2680E" w:rsidP="00D2680E">
            <w:pPr>
              <w:rPr>
                <w:rFonts w:cs="Times New Roman"/>
                <w:b/>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cs="Times New Roman"/>
                <w:szCs w:val="24"/>
              </w:rPr>
            </w:pPr>
            <w:r w:rsidRPr="006D1F1C">
              <w:rPr>
                <w:rFonts w:cs="Times New Roman"/>
              </w:rPr>
              <w:t>3.1. valsts pamatbudžets</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r>
              <w:rPr>
                <w:rFonts w:eastAsia="Times New Roman" w:cs="Times New Roman"/>
                <w:noProof/>
                <w:szCs w:val="24"/>
                <w:lang w:eastAsia="lv-LV"/>
              </w:rPr>
              <w:t xml:space="preserve">-521 </w:t>
            </w:r>
            <w:r>
              <w:rPr>
                <w:rFonts w:eastAsia="Times New Roman" w:cs="Times New Roman"/>
                <w:color w:val="000000"/>
                <w:shd w:val="clear" w:color="auto" w:fill="FFFFFF"/>
                <w:lang w:eastAsia="lv-LV" w:bidi="lv-LV"/>
              </w:rPr>
              <w:t>435</w:t>
            </w: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lastRenderedPageBreak/>
              <w:t>3.2. speciālais budžets</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 xml:space="preserve">3.3. pašvaldību budžets </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r>
      <w:tr w:rsidR="00D2680E" w:rsidRPr="006D1F1C" w:rsidTr="00D2680E">
        <w:trPr>
          <w:trHeight w:val="1380"/>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4. Finanšu līdzekļi papildu izdevumu finansēšanai (kompensējošu izdevumu samazinājumu norāda ar "+" zīmi)</w:t>
            </w:r>
          </w:p>
        </w:tc>
        <w:tc>
          <w:tcPr>
            <w:tcW w:w="97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spacing w:before="75" w:after="75"/>
              <w:rPr>
                <w:rFonts w:eastAsia="Times New Roman" w:cs="Times New Roman"/>
                <w:strike/>
                <w:lang w:eastAsia="lv-LV"/>
              </w:rPr>
            </w:pPr>
          </w:p>
        </w:tc>
        <w:tc>
          <w:tcPr>
            <w:tcW w:w="1024" w:type="pct"/>
            <w:tcBorders>
              <w:top w:val="outset" w:sz="6" w:space="0" w:color="auto"/>
              <w:left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right w:val="outset" w:sz="6" w:space="0" w:color="auto"/>
            </w:tcBorders>
            <w:hideMark/>
          </w:tcPr>
          <w:p w:rsidR="00D2680E" w:rsidRPr="002929D5" w:rsidRDefault="00D2680E" w:rsidP="00D2680E">
            <w:pPr>
              <w:rPr>
                <w:rFonts w:cs="Times New Roman"/>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5. Precizēta finansiālā ietekme:</w:t>
            </w:r>
          </w:p>
        </w:tc>
        <w:tc>
          <w:tcPr>
            <w:tcW w:w="974" w:type="pct"/>
            <w:vMerge w:val="restart"/>
            <w:tcBorders>
              <w:top w:val="outset" w:sz="6" w:space="0" w:color="auto"/>
              <w:left w:val="outset" w:sz="6" w:space="0" w:color="auto"/>
              <w:bottom w:val="outset" w:sz="6" w:space="0" w:color="auto"/>
              <w:right w:val="outset" w:sz="6" w:space="0" w:color="auto"/>
            </w:tcBorders>
            <w:hideMark/>
          </w:tcPr>
          <w:p w:rsidR="00D2680E" w:rsidRPr="00B767EF" w:rsidRDefault="00D2680E" w:rsidP="00D2680E">
            <w:pPr>
              <w:spacing w:before="75" w:after="75"/>
              <w:rPr>
                <w:rFonts w:eastAsia="Times New Roman" w:cs="Times New Roman"/>
                <w:lang w:eastAsia="lv-LV"/>
              </w:rPr>
            </w:pPr>
            <w:r w:rsidRPr="00B767EF">
              <w:rPr>
                <w:rFonts w:eastAsia="Times New Roman" w:cs="Times New Roman"/>
                <w:sz w:val="22"/>
                <w:lang w:eastAsia="lv-LV"/>
              </w:rPr>
              <w:t>X</w:t>
            </w: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eastAsia="Times New Roman" w:cs="Times New Roman"/>
                <w:b/>
                <w:strike/>
                <w:lang w:eastAsia="lv-LV"/>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5.1. valsts pamatbudžets</w:t>
            </w:r>
          </w:p>
        </w:tc>
        <w:tc>
          <w:tcPr>
            <w:tcW w:w="974" w:type="pct"/>
            <w:vMerge/>
            <w:tcBorders>
              <w:top w:val="outset" w:sz="6" w:space="0" w:color="auto"/>
              <w:left w:val="outset" w:sz="6" w:space="0" w:color="auto"/>
              <w:bottom w:val="outset" w:sz="6" w:space="0" w:color="auto"/>
              <w:right w:val="outset" w:sz="6" w:space="0" w:color="auto"/>
            </w:tcBorders>
            <w:vAlign w:val="center"/>
            <w:hideMark/>
          </w:tcPr>
          <w:p w:rsidR="00D2680E" w:rsidRPr="002929D5" w:rsidRDefault="00D2680E" w:rsidP="00D2680E">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5.2. speciālais budžets</w:t>
            </w:r>
          </w:p>
        </w:tc>
        <w:tc>
          <w:tcPr>
            <w:tcW w:w="974" w:type="pct"/>
            <w:vMerge/>
            <w:tcBorders>
              <w:top w:val="outset" w:sz="6" w:space="0" w:color="auto"/>
              <w:left w:val="outset" w:sz="6" w:space="0" w:color="auto"/>
              <w:bottom w:val="outset" w:sz="6" w:space="0" w:color="auto"/>
              <w:right w:val="outset" w:sz="6" w:space="0" w:color="auto"/>
            </w:tcBorders>
            <w:vAlign w:val="center"/>
            <w:hideMark/>
          </w:tcPr>
          <w:p w:rsidR="00D2680E" w:rsidRPr="002929D5" w:rsidRDefault="00D2680E" w:rsidP="00D2680E">
            <w:pPr>
              <w:rPr>
                <w:rFonts w:eastAsia="Times New Roman" w:cs="Times New Roman"/>
                <w:strike/>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r>
      <w:tr w:rsidR="00D2680E" w:rsidRPr="006D1F1C"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 xml:space="preserve">5.3. pašvaldību budžets </w:t>
            </w:r>
          </w:p>
        </w:tc>
        <w:tc>
          <w:tcPr>
            <w:tcW w:w="974" w:type="pct"/>
            <w:vMerge/>
            <w:tcBorders>
              <w:top w:val="outset" w:sz="6" w:space="0" w:color="auto"/>
              <w:left w:val="outset" w:sz="6" w:space="0" w:color="auto"/>
              <w:bottom w:val="outset" w:sz="6" w:space="0" w:color="auto"/>
              <w:right w:val="outset" w:sz="6" w:space="0" w:color="auto"/>
            </w:tcBorders>
            <w:vAlign w:val="center"/>
            <w:hideMark/>
          </w:tcPr>
          <w:p w:rsidR="00D2680E" w:rsidRPr="002929D5" w:rsidRDefault="00D2680E" w:rsidP="00D2680E">
            <w:pPr>
              <w:rPr>
                <w:rFonts w:eastAsia="Times New Roman" w:cs="Times New Roman"/>
                <w:strike/>
                <w:szCs w:val="24"/>
                <w:lang w:eastAsia="lv-LV"/>
              </w:rPr>
            </w:pPr>
          </w:p>
        </w:tc>
        <w:tc>
          <w:tcPr>
            <w:tcW w:w="1024"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0"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806"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c>
          <w:tcPr>
            <w:tcW w:w="513" w:type="pct"/>
            <w:tcBorders>
              <w:top w:val="outset" w:sz="6" w:space="0" w:color="auto"/>
              <w:left w:val="outset" w:sz="6" w:space="0" w:color="auto"/>
              <w:bottom w:val="outset" w:sz="6" w:space="0" w:color="auto"/>
              <w:right w:val="outset" w:sz="6" w:space="0" w:color="auto"/>
            </w:tcBorders>
            <w:hideMark/>
          </w:tcPr>
          <w:p w:rsidR="00D2680E" w:rsidRPr="002929D5" w:rsidRDefault="00D2680E" w:rsidP="00D2680E">
            <w:pPr>
              <w:rPr>
                <w:rFonts w:cs="Times New Roman"/>
                <w:strike/>
              </w:rPr>
            </w:pPr>
          </w:p>
        </w:tc>
      </w:tr>
      <w:tr w:rsidR="00D2680E" w:rsidRPr="00D74959" w:rsidTr="00D2680E">
        <w:trPr>
          <w:jc w:val="center"/>
        </w:trPr>
        <w:tc>
          <w:tcPr>
            <w:tcW w:w="883" w:type="pct"/>
            <w:tcBorders>
              <w:top w:val="outset" w:sz="6" w:space="0" w:color="auto"/>
              <w:left w:val="outset" w:sz="6" w:space="0" w:color="auto"/>
              <w:bottom w:val="outset" w:sz="6" w:space="0" w:color="auto"/>
              <w:right w:val="outset" w:sz="6" w:space="0" w:color="auto"/>
            </w:tcBorders>
            <w:hideMark/>
          </w:tcPr>
          <w:p w:rsidR="00D2680E" w:rsidRPr="006D1F1C" w:rsidRDefault="00D2680E" w:rsidP="00D2680E">
            <w:pPr>
              <w:rPr>
                <w:rFonts w:eastAsia="Times New Roman" w:cs="Times New Roman"/>
                <w:szCs w:val="24"/>
                <w:lang w:eastAsia="lv-LV"/>
              </w:rPr>
            </w:pPr>
            <w:r w:rsidRPr="006D1F1C">
              <w:rPr>
                <w:rFonts w:eastAsia="Times New Roman" w:cs="Times New Roman"/>
                <w:szCs w:val="24"/>
                <w:lang w:eastAsia="lv-LV"/>
              </w:rPr>
              <w:t>6. Detalizēts ieņēmumu un izdevumu aprēķins (ja nepieciešams, detalizētu ieņēmumu un izdevumu aprēķinu var pievienot anotācijas pielikumā):</w:t>
            </w:r>
          </w:p>
        </w:tc>
        <w:tc>
          <w:tcPr>
            <w:tcW w:w="4117" w:type="pct"/>
            <w:gridSpan w:val="5"/>
            <w:tcBorders>
              <w:top w:val="outset" w:sz="6" w:space="0" w:color="auto"/>
              <w:left w:val="outset" w:sz="6" w:space="0" w:color="auto"/>
              <w:bottom w:val="outset" w:sz="6" w:space="0" w:color="auto"/>
              <w:right w:val="outset" w:sz="6" w:space="0" w:color="auto"/>
            </w:tcBorders>
            <w:vAlign w:val="center"/>
            <w:hideMark/>
          </w:tcPr>
          <w:p w:rsidR="00D2680E" w:rsidRPr="00515B24" w:rsidRDefault="00D2680E" w:rsidP="00D2680E">
            <w:pPr>
              <w:pStyle w:val="naisf"/>
              <w:spacing w:before="0" w:after="0"/>
              <w:ind w:right="141"/>
              <w:rPr>
                <w:i/>
                <w:sz w:val="20"/>
                <w:szCs w:val="20"/>
              </w:rPr>
            </w:pPr>
            <w:r w:rsidRPr="00515B24">
              <w:rPr>
                <w:i/>
                <w:sz w:val="20"/>
                <w:szCs w:val="20"/>
              </w:rPr>
              <w:t>* Atbilstoši likumam „Par valsts budžetu 2016.gadam” un ņemot vērā Finanšu ministrijas (turpmāk –</w:t>
            </w:r>
            <w:r>
              <w:rPr>
                <w:i/>
                <w:sz w:val="20"/>
                <w:szCs w:val="20"/>
              </w:rPr>
              <w:t xml:space="preserve"> FM) 08.04.2016. rīkojumu Nr.17, </w:t>
            </w:r>
            <w:r w:rsidRPr="00515B24">
              <w:rPr>
                <w:i/>
                <w:sz w:val="20"/>
                <w:szCs w:val="20"/>
              </w:rPr>
              <w:t xml:space="preserve"> FM 27.04.2016. rīkojumu Nr.201</w:t>
            </w:r>
            <w:r>
              <w:rPr>
                <w:i/>
                <w:sz w:val="20"/>
                <w:szCs w:val="20"/>
              </w:rPr>
              <w:t xml:space="preserve"> un  FM 20.07.2016. rīkojumu Nr.331</w:t>
            </w:r>
            <w:r w:rsidRPr="00515B24">
              <w:rPr>
                <w:i/>
                <w:sz w:val="20"/>
                <w:szCs w:val="20"/>
              </w:rPr>
              <w:t xml:space="preserve">. </w:t>
            </w:r>
          </w:p>
          <w:p w:rsidR="00D2680E" w:rsidRDefault="00D2680E" w:rsidP="00D2680E">
            <w:pPr>
              <w:widowControl w:val="0"/>
              <w:ind w:firstLine="209"/>
              <w:jc w:val="both"/>
              <w:rPr>
                <w:rFonts w:eastAsia="Times New Roman" w:cs="Times New Roman"/>
                <w:color w:val="000000"/>
                <w:shd w:val="clear" w:color="auto" w:fill="FFFFFF"/>
                <w:lang w:eastAsia="lv-LV" w:bidi="lv-LV"/>
              </w:rPr>
            </w:pPr>
          </w:p>
          <w:p w:rsidR="00D2680E" w:rsidRPr="00106EDD" w:rsidRDefault="00D2680E" w:rsidP="00D2680E">
            <w:pPr>
              <w:widowControl w:val="0"/>
              <w:ind w:firstLine="209"/>
              <w:jc w:val="both"/>
              <w:rPr>
                <w:rFonts w:eastAsia="Times New Roman" w:cs="Times New Roman"/>
                <w:color w:val="000000"/>
                <w:shd w:val="clear" w:color="auto" w:fill="FFFFFF"/>
                <w:lang w:eastAsia="lv-LV" w:bidi="lv-LV"/>
              </w:rPr>
            </w:pPr>
            <w:r w:rsidRPr="00D13822">
              <w:rPr>
                <w:rFonts w:eastAsia="Times New Roman" w:cs="Times New Roman"/>
                <w:b/>
                <w:color w:val="000000"/>
                <w:u w:val="single"/>
                <w:shd w:val="clear" w:color="auto" w:fill="FFFFFF"/>
                <w:lang w:eastAsia="lv-LV" w:bidi="lv-LV"/>
              </w:rPr>
              <w:t>2016.gadā</w:t>
            </w:r>
            <w:r>
              <w:rPr>
                <w:rFonts w:eastAsia="Times New Roman" w:cs="Times New Roman"/>
                <w:color w:val="000000"/>
                <w:shd w:val="clear" w:color="auto" w:fill="FFFFFF"/>
                <w:lang w:eastAsia="lv-LV" w:bidi="lv-LV"/>
              </w:rPr>
              <w:t xml:space="preserve"> </w:t>
            </w:r>
            <w:r w:rsidRPr="00106EDD">
              <w:rPr>
                <w:rFonts w:eastAsia="Times New Roman" w:cs="Times New Roman"/>
                <w:color w:val="000000"/>
                <w:shd w:val="clear" w:color="auto" w:fill="FFFFFF"/>
                <w:lang w:eastAsia="lv-LV" w:bidi="lv-LV"/>
              </w:rPr>
              <w:t xml:space="preserve">Veselības ministrijas </w:t>
            </w:r>
            <w:r>
              <w:rPr>
                <w:rFonts w:eastAsia="Times New Roman" w:cs="Times New Roman"/>
                <w:color w:val="000000"/>
                <w:shd w:val="clear" w:color="auto" w:fill="FFFFFF"/>
                <w:lang w:eastAsia="lv-LV" w:bidi="lv-LV"/>
              </w:rPr>
              <w:t>(</w:t>
            </w:r>
            <w:r w:rsidRPr="00106EDD">
              <w:rPr>
                <w:rFonts w:eastAsia="Times New Roman" w:cs="Times New Roman"/>
                <w:color w:val="000000"/>
                <w:shd w:val="clear" w:color="auto" w:fill="FFFFFF"/>
                <w:lang w:eastAsia="lv-LV" w:bidi="lv-LV"/>
              </w:rPr>
              <w:t>Nacionālā veselības dienest</w:t>
            </w:r>
            <w:r>
              <w:rPr>
                <w:rFonts w:eastAsia="Times New Roman" w:cs="Times New Roman"/>
                <w:color w:val="000000"/>
                <w:shd w:val="clear" w:color="auto" w:fill="FFFFFF"/>
                <w:lang w:eastAsia="lv-LV" w:bidi="lv-LV"/>
              </w:rPr>
              <w:t>s)</w:t>
            </w:r>
            <w:r w:rsidRPr="00106EDD">
              <w:rPr>
                <w:rFonts w:eastAsia="Times New Roman" w:cs="Times New Roman"/>
                <w:color w:val="000000"/>
                <w:shd w:val="clear" w:color="auto" w:fill="FFFFFF"/>
                <w:lang w:eastAsia="lv-LV" w:bidi="lv-LV"/>
              </w:rPr>
              <w:t xml:space="preserve"> budžeta programmas 33.00.00 „Veselības aprūpes nodrošināšana” apakšprogrammā</w:t>
            </w:r>
            <w:r>
              <w:rPr>
                <w:rFonts w:eastAsia="Times New Roman" w:cs="Times New Roman"/>
                <w:color w:val="000000"/>
                <w:shd w:val="clear" w:color="auto" w:fill="FFFFFF"/>
                <w:lang w:eastAsia="lv-LV" w:bidi="lv-LV"/>
              </w:rPr>
              <w:t>:</w:t>
            </w:r>
            <w:r w:rsidRPr="00106EDD">
              <w:rPr>
                <w:rFonts w:eastAsia="Times New Roman" w:cs="Times New Roman"/>
                <w:color w:val="000000"/>
                <w:shd w:val="clear" w:color="auto" w:fill="FFFFFF"/>
                <w:lang w:eastAsia="lv-LV" w:bidi="lv-LV"/>
              </w:rPr>
              <w:t xml:space="preserve"> 33.01.00 „Ārstniecība”:</w:t>
            </w:r>
          </w:p>
          <w:p w:rsidR="00D2680E" w:rsidRPr="00106EDD" w:rsidRDefault="00D2680E" w:rsidP="00D2680E">
            <w:pPr>
              <w:ind w:right="142"/>
              <w:rPr>
                <w:rFonts w:eastAsia="Times New Roman" w:cs="Times New Roman"/>
                <w:noProof/>
                <w:szCs w:val="24"/>
                <w:lang w:eastAsia="lv-LV"/>
              </w:rPr>
            </w:pPr>
            <w:r w:rsidRPr="00106EDD">
              <w:rPr>
                <w:rFonts w:eastAsia="Times New Roman" w:cs="Times New Roman"/>
                <w:noProof/>
                <w:szCs w:val="24"/>
                <w:lang w:eastAsia="lv-LV"/>
              </w:rPr>
              <w:t xml:space="preserve">Resursi izdevumu segšanai </w:t>
            </w: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7</w:t>
            </w:r>
            <w:r w:rsidRPr="00106EDD">
              <w:rPr>
                <w:rFonts w:eastAsia="Times New Roman" w:cs="Times New Roman"/>
                <w:color w:val="000000"/>
                <w:shd w:val="clear" w:color="auto" w:fill="FFFFFF"/>
                <w:lang w:eastAsia="lv-LV" w:bidi="lv-LV"/>
              </w:rPr>
              <w:t> 1</w:t>
            </w:r>
            <w:r>
              <w:rPr>
                <w:rFonts w:eastAsia="Times New Roman" w:cs="Times New Roman"/>
                <w:color w:val="000000"/>
                <w:shd w:val="clear" w:color="auto" w:fill="FFFFFF"/>
                <w:lang w:eastAsia="lv-LV" w:bidi="lv-LV"/>
              </w:rPr>
              <w:t>32</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9</w:t>
            </w:r>
            <w:r w:rsidRPr="00106EDD">
              <w:rPr>
                <w:rFonts w:eastAsia="Times New Roman" w:cs="Times New Roman"/>
                <w:color w:val="000000"/>
                <w:shd w:val="clear" w:color="auto" w:fill="FFFFFF"/>
                <w:lang w:eastAsia="lv-LV" w:bidi="lv-LV"/>
              </w:rPr>
              <w:t>1</w:t>
            </w:r>
            <w:r>
              <w:rPr>
                <w:rFonts w:eastAsia="Times New Roman" w:cs="Times New Roman"/>
                <w:color w:val="000000"/>
                <w:shd w:val="clear" w:color="auto" w:fill="FFFFFF"/>
                <w:lang w:eastAsia="lv-LV" w:bidi="lv-LV"/>
              </w:rPr>
              <w:t>1</w:t>
            </w:r>
            <w:r w:rsidRPr="00106EDD">
              <w:rPr>
                <w:rFonts w:eastAsia="Times New Roman" w:cs="Times New Roman"/>
                <w:color w:val="000000"/>
                <w:shd w:val="clear" w:color="auto" w:fill="FFFFFF"/>
                <w:lang w:eastAsia="lv-LV" w:bidi="lv-LV"/>
              </w:rPr>
              <w:t xml:space="preserve"> </w:t>
            </w:r>
            <w:r w:rsidRPr="00106EDD">
              <w:rPr>
                <w:rFonts w:eastAsia="Times New Roman" w:cs="Times New Roman"/>
                <w:i/>
                <w:noProof/>
                <w:szCs w:val="24"/>
                <w:lang w:eastAsia="lv-LV"/>
              </w:rPr>
              <w:t>euro</w:t>
            </w:r>
          </w:p>
          <w:p w:rsidR="00D2680E" w:rsidRPr="00106EDD" w:rsidRDefault="00D2680E" w:rsidP="00D2680E">
            <w:pPr>
              <w:tabs>
                <w:tab w:val="right" w:pos="259"/>
              </w:tabs>
              <w:ind w:left="259" w:right="142"/>
              <w:rPr>
                <w:rFonts w:eastAsia="Times New Roman" w:cs="Times New Roman"/>
                <w:noProof/>
                <w:szCs w:val="24"/>
                <w:lang w:eastAsia="lv-LV"/>
              </w:rPr>
            </w:pPr>
            <w:r w:rsidRPr="00106EDD">
              <w:rPr>
                <w:rFonts w:eastAsia="Times New Roman" w:cs="Times New Roman"/>
                <w:noProof/>
                <w:szCs w:val="24"/>
                <w:lang w:eastAsia="lv-LV"/>
              </w:rPr>
              <w:t xml:space="preserve">ieņēmumi no maksas pakalpojumiem </w:t>
            </w:r>
            <w:r w:rsidRPr="00106EDD">
              <w:rPr>
                <w:rFonts w:eastAsia="Times New Roman" w:cs="Times New Roman"/>
                <w:color w:val="000000"/>
                <w:shd w:val="clear" w:color="auto" w:fill="FFFFFF"/>
                <w:lang w:eastAsia="lv-LV" w:bidi="lv-LV"/>
              </w:rPr>
              <w:t xml:space="preserve">1 087 074 </w:t>
            </w:r>
            <w:r w:rsidRPr="00106EDD">
              <w:rPr>
                <w:rFonts w:eastAsia="Times New Roman" w:cs="Times New Roman"/>
                <w:i/>
                <w:noProof/>
                <w:szCs w:val="24"/>
                <w:lang w:eastAsia="lv-LV"/>
              </w:rPr>
              <w:t>euro</w:t>
            </w:r>
          </w:p>
          <w:p w:rsidR="00D2680E" w:rsidRPr="00106EDD" w:rsidRDefault="00D2680E" w:rsidP="00D2680E">
            <w:pPr>
              <w:ind w:right="142" w:firstLine="259"/>
              <w:rPr>
                <w:rFonts w:eastAsia="Times New Roman" w:cs="Times New Roman"/>
                <w:noProof/>
                <w:szCs w:val="24"/>
                <w:lang w:eastAsia="lv-LV"/>
              </w:rPr>
            </w:pPr>
            <w:r w:rsidRPr="00106EDD">
              <w:rPr>
                <w:rFonts w:eastAsia="Times New Roman" w:cs="Times New Roman"/>
                <w:noProof/>
                <w:szCs w:val="24"/>
                <w:lang w:eastAsia="lv-LV"/>
              </w:rPr>
              <w:t xml:space="preserve">dotācija no vispārējiem ieņēmumiem </w:t>
            </w: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6</w:t>
            </w:r>
            <w:r w:rsidRPr="00106EDD">
              <w:rPr>
                <w:rFonts w:eastAsia="Times New Roman" w:cs="Times New Roman"/>
                <w:color w:val="000000"/>
                <w:shd w:val="clear" w:color="auto" w:fill="FFFFFF"/>
                <w:lang w:eastAsia="lv-LV" w:bidi="lv-LV"/>
              </w:rPr>
              <w:t> 0</w:t>
            </w:r>
            <w:r>
              <w:rPr>
                <w:rFonts w:eastAsia="Times New Roman" w:cs="Times New Roman"/>
                <w:color w:val="000000"/>
                <w:shd w:val="clear" w:color="auto" w:fill="FFFFFF"/>
                <w:lang w:eastAsia="lv-LV" w:bidi="lv-LV"/>
              </w:rPr>
              <w:t>45</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837</w:t>
            </w:r>
            <w:r w:rsidRPr="00106EDD">
              <w:rPr>
                <w:rFonts w:eastAsia="Times New Roman" w:cs="Times New Roman"/>
                <w:color w:val="000000"/>
                <w:shd w:val="clear" w:color="auto" w:fill="FFFFFF"/>
                <w:lang w:eastAsia="lv-LV" w:bidi="lv-LV"/>
              </w:rPr>
              <w:t xml:space="preserve"> </w:t>
            </w:r>
            <w:r w:rsidRPr="00106EDD">
              <w:rPr>
                <w:rFonts w:eastAsia="Times New Roman" w:cs="Times New Roman"/>
                <w:i/>
                <w:noProof/>
                <w:szCs w:val="24"/>
                <w:lang w:eastAsia="lv-LV"/>
              </w:rPr>
              <w:t>euro</w:t>
            </w:r>
            <w:r w:rsidRPr="00106EDD">
              <w:rPr>
                <w:rFonts w:eastAsia="Times New Roman" w:cs="Times New Roman"/>
                <w:noProof/>
                <w:szCs w:val="24"/>
                <w:lang w:eastAsia="lv-LV"/>
              </w:rPr>
              <w:t xml:space="preserve"> </w:t>
            </w:r>
          </w:p>
          <w:p w:rsidR="00D2680E" w:rsidRPr="00106EDD" w:rsidRDefault="00D2680E" w:rsidP="00D2680E">
            <w:pPr>
              <w:ind w:right="142"/>
              <w:rPr>
                <w:rFonts w:eastAsia="Times New Roman" w:cs="Times New Roman"/>
                <w:noProof/>
                <w:szCs w:val="24"/>
                <w:lang w:eastAsia="lv-LV"/>
              </w:rPr>
            </w:pPr>
            <w:r w:rsidRPr="00106EDD">
              <w:rPr>
                <w:rFonts w:eastAsia="Times New Roman" w:cs="Times New Roman"/>
                <w:noProof/>
                <w:szCs w:val="24"/>
                <w:lang w:eastAsia="lv-LV"/>
              </w:rPr>
              <w:t xml:space="preserve">Izdevumi </w:t>
            </w: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7</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654</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34</w:t>
            </w:r>
            <w:r w:rsidRPr="00106EDD">
              <w:rPr>
                <w:rFonts w:eastAsia="Times New Roman" w:cs="Times New Roman"/>
                <w:color w:val="000000"/>
                <w:shd w:val="clear" w:color="auto" w:fill="FFFFFF"/>
                <w:lang w:eastAsia="lv-LV" w:bidi="lv-LV"/>
              </w:rPr>
              <w:t xml:space="preserve">6 </w:t>
            </w:r>
            <w:r w:rsidRPr="00106EDD">
              <w:rPr>
                <w:rFonts w:eastAsia="Times New Roman" w:cs="Times New Roman"/>
                <w:i/>
                <w:noProof/>
                <w:szCs w:val="24"/>
                <w:lang w:eastAsia="lv-LV"/>
              </w:rPr>
              <w:t>euro</w:t>
            </w:r>
            <w:r w:rsidRPr="00106EDD">
              <w:rPr>
                <w:rFonts w:eastAsia="Times New Roman" w:cs="Times New Roman"/>
                <w:noProof/>
                <w:szCs w:val="24"/>
                <w:lang w:eastAsia="lv-LV"/>
              </w:rPr>
              <w:t>, tai skaitā:</w:t>
            </w:r>
          </w:p>
          <w:p w:rsidR="00D2680E" w:rsidRPr="00106EDD" w:rsidRDefault="00D2680E" w:rsidP="00D2680E">
            <w:pPr>
              <w:ind w:right="142" w:firstLine="259"/>
              <w:rPr>
                <w:rFonts w:eastAsia="Times New Roman" w:cs="Times New Roman"/>
                <w:noProof/>
                <w:szCs w:val="24"/>
                <w:lang w:eastAsia="lv-LV"/>
              </w:rPr>
            </w:pPr>
            <w:r w:rsidRPr="00106EDD">
              <w:rPr>
                <w:rFonts w:eastAsia="Times New Roman" w:cs="Times New Roman"/>
                <w:noProof/>
                <w:szCs w:val="24"/>
                <w:lang w:eastAsia="lv-LV"/>
              </w:rPr>
              <w:t xml:space="preserve">subsīdijas un dotācijas </w:t>
            </w:r>
            <w:r w:rsidRPr="00106EDD">
              <w:rPr>
                <w:rFonts w:eastAsia="Times New Roman" w:cs="Times New Roman"/>
                <w:color w:val="000000"/>
                <w:shd w:val="clear" w:color="auto" w:fill="FFFFFF"/>
                <w:lang w:eastAsia="lv-LV" w:bidi="lv-LV"/>
              </w:rPr>
              <w:t>51</w:t>
            </w:r>
            <w:r>
              <w:rPr>
                <w:rFonts w:eastAsia="Times New Roman" w:cs="Times New Roman"/>
                <w:color w:val="000000"/>
                <w:shd w:val="clear" w:color="auto" w:fill="FFFFFF"/>
                <w:lang w:eastAsia="lv-LV" w:bidi="lv-LV"/>
              </w:rPr>
              <w:t>5</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970</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669</w:t>
            </w:r>
            <w:r w:rsidRPr="00106EDD">
              <w:rPr>
                <w:rFonts w:eastAsia="Times New Roman" w:cs="Times New Roman"/>
                <w:color w:val="000000"/>
                <w:shd w:val="clear" w:color="auto" w:fill="FFFFFF"/>
                <w:lang w:eastAsia="lv-LV" w:bidi="lv-LV"/>
              </w:rPr>
              <w:t xml:space="preserve"> </w:t>
            </w:r>
            <w:r w:rsidRPr="00106EDD">
              <w:rPr>
                <w:rFonts w:eastAsia="Times New Roman" w:cs="Times New Roman"/>
                <w:i/>
                <w:noProof/>
                <w:szCs w:val="24"/>
                <w:lang w:eastAsia="lv-LV"/>
              </w:rPr>
              <w:t>euro</w:t>
            </w:r>
          </w:p>
          <w:p w:rsidR="00D2680E" w:rsidRPr="00106EDD" w:rsidRDefault="00D2680E" w:rsidP="00D2680E">
            <w:pPr>
              <w:ind w:right="142" w:firstLine="259"/>
              <w:rPr>
                <w:rFonts w:eastAsia="Times New Roman" w:cs="Times New Roman"/>
                <w:noProof/>
                <w:szCs w:val="24"/>
                <w:lang w:eastAsia="lv-LV"/>
              </w:rPr>
            </w:pPr>
            <w:r w:rsidRPr="00106EDD">
              <w:rPr>
                <w:rFonts w:eastAsia="Times New Roman" w:cs="Times New Roman"/>
                <w:noProof/>
                <w:szCs w:val="24"/>
                <w:lang w:eastAsia="lv-LV"/>
              </w:rPr>
              <w:t>valsts budžeta uzturēšanas izdevumu transferti pašvaldībām</w:t>
            </w:r>
          </w:p>
          <w:p w:rsidR="00D2680E" w:rsidRDefault="00D2680E" w:rsidP="00D2680E">
            <w:pPr>
              <w:ind w:right="142" w:firstLine="259"/>
              <w:rPr>
                <w:rFonts w:eastAsia="Times New Roman" w:cs="Times New Roman"/>
                <w:i/>
                <w:noProof/>
                <w:szCs w:val="24"/>
                <w:lang w:eastAsia="lv-LV"/>
              </w:rPr>
            </w:pPr>
            <w:r w:rsidRPr="00106EDD">
              <w:rPr>
                <w:rFonts w:eastAsia="Times New Roman" w:cs="Times New Roman"/>
                <w:noProof/>
                <w:szCs w:val="24"/>
                <w:lang w:eastAsia="lv-LV"/>
              </w:rPr>
              <w:t xml:space="preserve">noteiktam mērķim </w:t>
            </w:r>
            <w:r w:rsidRPr="00106EDD">
              <w:rPr>
                <w:rFonts w:eastAsia="Times New Roman" w:cs="Times New Roman"/>
                <w:color w:val="000000"/>
                <w:shd w:val="clear" w:color="auto" w:fill="FFFFFF"/>
                <w:lang w:eastAsia="lv-LV" w:bidi="lv-LV"/>
              </w:rPr>
              <w:t>1 </w:t>
            </w:r>
            <w:r>
              <w:rPr>
                <w:rFonts w:eastAsia="Times New Roman" w:cs="Times New Roman"/>
                <w:color w:val="000000"/>
                <w:shd w:val="clear" w:color="auto" w:fill="FFFFFF"/>
                <w:lang w:eastAsia="lv-LV" w:bidi="lv-LV"/>
              </w:rPr>
              <w:t>6</w:t>
            </w:r>
            <w:r w:rsidRPr="00106EDD">
              <w:rPr>
                <w:rFonts w:eastAsia="Times New Roman" w:cs="Times New Roman"/>
                <w:color w:val="000000"/>
                <w:shd w:val="clear" w:color="auto" w:fill="FFFFFF"/>
                <w:lang w:eastAsia="lv-LV" w:bidi="lv-LV"/>
              </w:rPr>
              <w:t>7</w:t>
            </w:r>
            <w:r>
              <w:rPr>
                <w:rFonts w:eastAsia="Times New Roman" w:cs="Times New Roman"/>
                <w:color w:val="000000"/>
                <w:shd w:val="clear" w:color="auto" w:fill="FFFFFF"/>
                <w:lang w:eastAsia="lv-LV" w:bidi="lv-LV"/>
              </w:rPr>
              <w:t>8</w:t>
            </w:r>
            <w:r w:rsidRPr="00106EDD">
              <w:rPr>
                <w:rFonts w:eastAsia="Times New Roman" w:cs="Times New Roman"/>
                <w:color w:val="000000"/>
                <w:shd w:val="clear" w:color="auto" w:fill="FFFFFF"/>
                <w:lang w:eastAsia="lv-LV" w:bidi="lv-LV"/>
              </w:rPr>
              <w:t> </w:t>
            </w:r>
            <w:r>
              <w:rPr>
                <w:rFonts w:eastAsia="Times New Roman" w:cs="Times New Roman"/>
                <w:color w:val="000000"/>
                <w:shd w:val="clear" w:color="auto" w:fill="FFFFFF"/>
                <w:lang w:eastAsia="lv-LV" w:bidi="lv-LV"/>
              </w:rPr>
              <w:t>1</w:t>
            </w:r>
            <w:r w:rsidRPr="00106EDD">
              <w:rPr>
                <w:rFonts w:eastAsia="Times New Roman" w:cs="Times New Roman"/>
                <w:color w:val="000000"/>
                <w:shd w:val="clear" w:color="auto" w:fill="FFFFFF"/>
                <w:lang w:eastAsia="lv-LV" w:bidi="lv-LV"/>
              </w:rPr>
              <w:t xml:space="preserve">18 </w:t>
            </w:r>
            <w:r w:rsidRPr="00106EDD">
              <w:rPr>
                <w:rFonts w:eastAsia="Times New Roman" w:cs="Times New Roman"/>
                <w:i/>
                <w:noProof/>
                <w:szCs w:val="24"/>
                <w:lang w:eastAsia="lv-LV"/>
              </w:rPr>
              <w:t>euro</w:t>
            </w:r>
          </w:p>
          <w:p w:rsidR="00D2680E" w:rsidRPr="00B02E27" w:rsidRDefault="00D2680E" w:rsidP="00D2680E">
            <w:pPr>
              <w:ind w:right="142" w:firstLine="259"/>
              <w:rPr>
                <w:rFonts w:eastAsia="Times New Roman" w:cs="Times New Roman"/>
                <w:noProof/>
                <w:szCs w:val="24"/>
                <w:lang w:eastAsia="lv-LV"/>
              </w:rPr>
            </w:pPr>
            <w:r w:rsidRPr="00B02E27">
              <w:rPr>
                <w:rFonts w:eastAsia="Times New Roman" w:cs="Times New Roman"/>
                <w:noProof/>
                <w:szCs w:val="24"/>
                <w:lang w:eastAsia="lv-LV"/>
              </w:rPr>
              <w:t>Valsts budžeta transferti valsts budžeta daļēji finansētām atvasinātām publiskām personām un budžeta nefinansētām iestādēm noteiktam mērķim 5 559 euro</w:t>
            </w:r>
          </w:p>
          <w:p w:rsidR="00D2680E" w:rsidRPr="00E27CAE" w:rsidRDefault="00D2680E" w:rsidP="00D2680E">
            <w:pPr>
              <w:ind w:right="142" w:firstLine="259"/>
              <w:rPr>
                <w:rFonts w:eastAsia="Times New Roman" w:cs="Times New Roman"/>
                <w:noProof/>
                <w:szCs w:val="24"/>
                <w:lang w:eastAsia="lv-LV"/>
              </w:rPr>
            </w:pPr>
            <w:r w:rsidRPr="00E27CAE">
              <w:rPr>
                <w:rFonts w:eastAsia="Times New Roman" w:cs="Times New Roman"/>
                <w:noProof/>
                <w:szCs w:val="24"/>
                <w:lang w:eastAsia="lv-LV"/>
              </w:rPr>
              <w:t>Finansiālā bilance</w:t>
            </w:r>
            <w:r>
              <w:rPr>
                <w:rFonts w:eastAsia="Times New Roman" w:cs="Times New Roman"/>
                <w:noProof/>
                <w:szCs w:val="24"/>
                <w:lang w:eastAsia="lv-LV"/>
              </w:rPr>
              <w:t xml:space="preserve"> -521 </w:t>
            </w:r>
            <w:r>
              <w:rPr>
                <w:rFonts w:eastAsia="Times New Roman" w:cs="Times New Roman"/>
                <w:color w:val="000000"/>
                <w:shd w:val="clear" w:color="auto" w:fill="FFFFFF"/>
                <w:lang w:eastAsia="lv-LV" w:bidi="lv-LV"/>
              </w:rPr>
              <w:t>435</w:t>
            </w:r>
            <w:r w:rsidRPr="00106EDD">
              <w:rPr>
                <w:rFonts w:eastAsia="Times New Roman" w:cs="Times New Roman"/>
                <w:color w:val="000000"/>
                <w:shd w:val="clear" w:color="auto" w:fill="FFFFFF"/>
                <w:lang w:eastAsia="lv-LV" w:bidi="lv-LV"/>
              </w:rPr>
              <w:t xml:space="preserve"> </w:t>
            </w:r>
            <w:r w:rsidRPr="00106EDD">
              <w:rPr>
                <w:rFonts w:eastAsia="Times New Roman" w:cs="Times New Roman"/>
                <w:i/>
                <w:noProof/>
                <w:szCs w:val="24"/>
                <w:lang w:eastAsia="lv-LV"/>
              </w:rPr>
              <w:t>euro</w:t>
            </w:r>
          </w:p>
          <w:p w:rsidR="00D2680E" w:rsidRDefault="00D2680E" w:rsidP="00D2680E">
            <w:pPr>
              <w:ind w:right="142" w:firstLine="259"/>
              <w:rPr>
                <w:lang w:eastAsia="lv-LV"/>
              </w:rPr>
            </w:pPr>
          </w:p>
          <w:p w:rsidR="00D2680E" w:rsidRDefault="00D2680E" w:rsidP="00D2680E">
            <w:pPr>
              <w:ind w:right="142" w:firstLine="344"/>
              <w:jc w:val="both"/>
              <w:rPr>
                <w:rFonts w:eastAsia="Times New Roman" w:cs="Times New Roman"/>
                <w:noProof/>
                <w:szCs w:val="24"/>
                <w:lang w:eastAsia="lv-LV"/>
              </w:rPr>
            </w:pPr>
            <w:r w:rsidRPr="00BC6FE7">
              <w:rPr>
                <w:rFonts w:eastAsia="Times New Roman" w:cs="Times New Roman"/>
                <w:noProof/>
                <w:szCs w:val="24"/>
                <w:lang w:eastAsia="lv-LV"/>
              </w:rPr>
              <w:t xml:space="preserve">Atbilstoši Ministru kabinetā 2016.gada 1.martā apstiprinātajai valsts pamatbudžeta bāzei 2017., 2018. un 2019.gadam (protokols Nr.10, 51.§), Ministru kabineta 2016.gada 16.augusta apstiprinātajam Informatīvajam </w:t>
            </w:r>
            <w:r w:rsidRPr="00F05E2F">
              <w:rPr>
                <w:rFonts w:eastAsia="Times New Roman" w:cs="Times New Roman"/>
                <w:noProof/>
                <w:szCs w:val="24"/>
                <w:lang w:eastAsia="lv-LV"/>
              </w:rPr>
              <w:t xml:space="preserve">ziņojumam </w:t>
            </w:r>
            <w:r w:rsidRPr="00F05E2F">
              <w:rPr>
                <w:rFonts w:eastAsia="Times New Roman" w:cs="Times New Roman"/>
                <w:szCs w:val="24"/>
                <w:lang w:eastAsia="lv-LV"/>
              </w:rPr>
              <w:t xml:space="preserve">"Par priekšlikumiem valsts budžeta ieņēmumiem un izdevumiem 2017.gadam un ietvaram 2017.–2019.gadam" </w:t>
            </w:r>
            <w:r w:rsidRPr="00F05E2F">
              <w:rPr>
                <w:rFonts w:eastAsia="Times New Roman" w:cs="Times New Roman"/>
                <w:szCs w:val="24"/>
                <w:lang w:eastAsia="lv-LV"/>
              </w:rPr>
              <w:t/>
            </w:r>
            <w:r w:rsidRPr="00F05E2F">
              <w:rPr>
                <w:rFonts w:eastAsia="Times New Roman" w:cs="Times New Roman"/>
                <w:noProof/>
                <w:szCs w:val="24"/>
                <w:lang w:eastAsia="lv-LV"/>
              </w:rPr>
              <w:t xml:space="preserve">(protokols Nr.40, 59.§), Ministru kabineta 2016.gada 18.augusta ārkārtas sēdē apstiprinātajam Informatīvajam </w:t>
            </w:r>
            <w:r w:rsidRPr="00F05E2F">
              <w:rPr>
                <w:rFonts w:eastAsia="Times New Roman" w:cs="Times New Roman"/>
                <w:noProof/>
                <w:szCs w:val="24"/>
                <w:lang w:eastAsia="lv-LV"/>
              </w:rPr>
              <w:lastRenderedPageBreak/>
              <w:t xml:space="preserve">ziņojumam </w:t>
            </w:r>
            <w:r w:rsidRPr="00F05E2F">
              <w:rPr>
                <w:rFonts w:eastAsia="Times New Roman" w:cs="Times New Roman"/>
                <w:szCs w:val="24"/>
                <w:lang w:eastAsia="lv-LV"/>
              </w:rPr>
              <w:t xml:space="preserve">"Par iespējām pārņemt ārstniecības iestāžu valsts galvoto aizdevumu atmaksu" </w:t>
            </w:r>
            <w:r w:rsidRPr="00F05E2F">
              <w:rPr>
                <w:rFonts w:eastAsia="Times New Roman" w:cs="Times New Roman"/>
                <w:szCs w:val="24"/>
                <w:lang w:eastAsia="lv-LV"/>
              </w:rPr>
              <w:t/>
            </w:r>
            <w:r w:rsidRPr="00F05E2F">
              <w:rPr>
                <w:rFonts w:eastAsia="Times New Roman" w:cs="Times New Roman"/>
                <w:noProof/>
                <w:szCs w:val="24"/>
                <w:lang w:eastAsia="lv-LV"/>
              </w:rPr>
              <w:t xml:space="preserve">(protokols Nr.41, 3.§) un Noteikumu projektam </w:t>
            </w:r>
            <w:r w:rsidRPr="00F05E2F">
              <w:rPr>
                <w:rFonts w:eastAsia="Times New Roman"/>
                <w:szCs w:val="24"/>
                <w:lang w:eastAsia="lv-LV"/>
              </w:rPr>
              <w:t>"Minimālās mēneša darba algas noteikšanas un pārskatīšanas kārtība"</w:t>
            </w:r>
            <w:r w:rsidRPr="00F05E2F">
              <w:rPr>
                <w:rFonts w:eastAsia="Times New Roman"/>
                <w:szCs w:val="24"/>
                <w:lang w:eastAsia="lv-LV"/>
              </w:rPr>
              <w:t/>
            </w:r>
            <w:r w:rsidRPr="00F05E2F">
              <w:rPr>
                <w:rFonts w:eastAsia="Times New Roman" w:cs="Times New Roman"/>
                <w:noProof/>
                <w:szCs w:val="24"/>
                <w:lang w:eastAsia="lv-LV"/>
              </w:rPr>
              <w:t>(protokols Nr.41, 1.§):</w:t>
            </w:r>
          </w:p>
          <w:p w:rsidR="00D2680E" w:rsidRPr="000A2BA5" w:rsidRDefault="00D2680E" w:rsidP="00D2680E">
            <w:pPr>
              <w:spacing w:before="120"/>
              <w:ind w:right="142"/>
              <w:rPr>
                <w:rFonts w:eastAsia="Times New Roman" w:cs="Times New Roman"/>
                <w:b/>
                <w:noProof/>
                <w:szCs w:val="24"/>
                <w:u w:val="single"/>
                <w:lang w:eastAsia="lv-LV"/>
              </w:rPr>
            </w:pPr>
            <w:r w:rsidRPr="000A2BA5">
              <w:rPr>
                <w:rFonts w:eastAsia="Times New Roman" w:cs="Times New Roman"/>
                <w:b/>
                <w:noProof/>
                <w:szCs w:val="24"/>
                <w:u w:val="single"/>
                <w:lang w:eastAsia="lv-LV"/>
              </w:rPr>
              <w:t>2017.gadā, 2018.gadā un 2019.gadā</w:t>
            </w:r>
            <w:r>
              <w:rPr>
                <w:rFonts w:eastAsia="Times New Roman" w:cs="Times New Roman"/>
                <w:b/>
                <w:noProof/>
                <w:szCs w:val="24"/>
                <w:u w:val="single"/>
                <w:lang w:eastAsia="lv-LV"/>
              </w:rPr>
              <w:t>:</w:t>
            </w:r>
          </w:p>
          <w:p w:rsidR="00D2680E" w:rsidRDefault="00D2680E" w:rsidP="00D2680E">
            <w:pPr>
              <w:widowControl w:val="0"/>
              <w:jc w:val="both"/>
              <w:rPr>
                <w:rFonts w:eastAsia="Times New Roman" w:cs="Times New Roman"/>
                <w:color w:val="000000"/>
                <w:shd w:val="clear" w:color="auto" w:fill="FFFFFF"/>
                <w:lang w:eastAsia="lv-LV" w:bidi="lv-LV"/>
              </w:rPr>
            </w:pPr>
            <w:r w:rsidRPr="00106EDD">
              <w:rPr>
                <w:rFonts w:eastAsia="Times New Roman" w:cs="Times New Roman"/>
                <w:color w:val="000000"/>
                <w:shd w:val="clear" w:color="auto" w:fill="FFFFFF"/>
                <w:lang w:eastAsia="lv-LV" w:bidi="lv-LV"/>
              </w:rPr>
              <w:t xml:space="preserve">Veselības ministrijas </w:t>
            </w:r>
            <w:r>
              <w:rPr>
                <w:rFonts w:eastAsia="Times New Roman" w:cs="Times New Roman"/>
                <w:color w:val="000000"/>
                <w:shd w:val="clear" w:color="auto" w:fill="FFFFFF"/>
                <w:lang w:eastAsia="lv-LV" w:bidi="lv-LV"/>
              </w:rPr>
              <w:t>(</w:t>
            </w:r>
            <w:r w:rsidRPr="00106EDD">
              <w:rPr>
                <w:rFonts w:eastAsia="Times New Roman" w:cs="Times New Roman"/>
                <w:color w:val="000000"/>
                <w:shd w:val="clear" w:color="auto" w:fill="FFFFFF"/>
                <w:lang w:eastAsia="lv-LV" w:bidi="lv-LV"/>
              </w:rPr>
              <w:t>Nacionālā veselības dienest</w:t>
            </w:r>
            <w:r>
              <w:rPr>
                <w:rFonts w:eastAsia="Times New Roman" w:cs="Times New Roman"/>
                <w:color w:val="000000"/>
                <w:shd w:val="clear" w:color="auto" w:fill="FFFFFF"/>
                <w:lang w:eastAsia="lv-LV" w:bidi="lv-LV"/>
              </w:rPr>
              <w:t>s)</w:t>
            </w:r>
            <w:r w:rsidRPr="00106EDD">
              <w:rPr>
                <w:rFonts w:eastAsia="Times New Roman" w:cs="Times New Roman"/>
                <w:color w:val="000000"/>
                <w:shd w:val="clear" w:color="auto" w:fill="FFFFFF"/>
                <w:lang w:eastAsia="lv-LV" w:bidi="lv-LV"/>
              </w:rPr>
              <w:t xml:space="preserve"> budžeta programmas 33.00.00 „Veselības aprūpes nodrošināšana” apakšprogrammā</w:t>
            </w:r>
            <w:r>
              <w:rPr>
                <w:rFonts w:eastAsia="Times New Roman" w:cs="Times New Roman"/>
                <w:color w:val="000000"/>
                <w:shd w:val="clear" w:color="auto" w:fill="FFFFFF"/>
                <w:lang w:eastAsia="lv-LV" w:bidi="lv-LV"/>
              </w:rPr>
              <w:t xml:space="preserve">: </w:t>
            </w:r>
          </w:p>
          <w:p w:rsidR="00D2680E" w:rsidRDefault="00D2680E" w:rsidP="00D2680E">
            <w:pPr>
              <w:widowControl w:val="0"/>
              <w:jc w:val="both"/>
              <w:rPr>
                <w:rFonts w:eastAsia="Times New Roman" w:cs="Times New Roman"/>
                <w:color w:val="000000"/>
                <w:shd w:val="clear" w:color="auto" w:fill="FFFFFF"/>
                <w:lang w:eastAsia="lv-LV" w:bidi="lv-LV"/>
              </w:rPr>
            </w:pPr>
          </w:p>
          <w:p w:rsidR="00D2680E" w:rsidRPr="00106EDD" w:rsidRDefault="00D2680E" w:rsidP="00D2680E">
            <w:pPr>
              <w:widowControl w:val="0"/>
              <w:jc w:val="both"/>
              <w:rPr>
                <w:rFonts w:eastAsia="Times New Roman" w:cs="Times New Roman"/>
                <w:color w:val="000000"/>
                <w:shd w:val="clear" w:color="auto" w:fill="FFFFFF"/>
                <w:lang w:eastAsia="lv-LV" w:bidi="lv-LV"/>
              </w:rPr>
            </w:pPr>
            <w:r>
              <w:rPr>
                <w:rFonts w:eastAsia="Times New Roman" w:cs="Times New Roman"/>
                <w:color w:val="000000"/>
                <w:shd w:val="clear" w:color="auto" w:fill="FFFFFF"/>
                <w:lang w:eastAsia="lv-LV" w:bidi="lv-LV"/>
              </w:rPr>
              <w:t xml:space="preserve"> 33.14.00 „</w:t>
            </w:r>
            <w:r w:rsidRPr="00BC6FE7">
              <w:rPr>
                <w:rFonts w:eastAsia="Times New Roman" w:cs="Times New Roman"/>
                <w:color w:val="000000"/>
                <w:shd w:val="clear" w:color="auto" w:fill="FFFFFF"/>
                <w:lang w:eastAsia="lv-LV" w:bidi="lv-LV"/>
              </w:rPr>
              <w:t>Primārās ambulatorās veselības aprūpes nodrošināšana</w:t>
            </w:r>
            <w:r w:rsidRPr="00106EDD">
              <w:rPr>
                <w:rFonts w:eastAsia="Times New Roman" w:cs="Times New Roman"/>
                <w:color w:val="000000"/>
                <w:shd w:val="clear" w:color="auto" w:fill="FFFFFF"/>
                <w:lang w:eastAsia="lv-LV" w:bidi="lv-LV"/>
              </w:rPr>
              <w:t>”:</w:t>
            </w:r>
          </w:p>
          <w:p w:rsidR="00D2680E" w:rsidRPr="000A2BA5" w:rsidRDefault="00D2680E" w:rsidP="00D2680E">
            <w:pPr>
              <w:ind w:right="142"/>
              <w:rPr>
                <w:rFonts w:eastAsia="Times New Roman" w:cs="Times New Roman"/>
                <w:noProof/>
                <w:szCs w:val="24"/>
                <w:lang w:eastAsia="lv-LV"/>
              </w:rPr>
            </w:pPr>
            <w:r w:rsidRPr="000A2BA5">
              <w:rPr>
                <w:rFonts w:eastAsia="Times New Roman" w:cs="Times New Roman"/>
                <w:noProof/>
                <w:szCs w:val="24"/>
                <w:lang w:eastAsia="lv-LV"/>
              </w:rPr>
              <w:t xml:space="preserve">Resursi izdevumu segšanai </w:t>
            </w:r>
            <w:r w:rsidRPr="00F05E2F">
              <w:rPr>
                <w:rFonts w:eastAsia="Times New Roman" w:cs="Times New Roman"/>
                <w:shd w:val="clear" w:color="auto" w:fill="FFFFFF"/>
                <w:lang w:eastAsia="lv-LV" w:bidi="lv-LV"/>
              </w:rPr>
              <w:t>84</w:t>
            </w:r>
            <w:r>
              <w:rPr>
                <w:rFonts w:eastAsia="Times New Roman" w:cs="Times New Roman"/>
                <w:shd w:val="clear" w:color="auto" w:fill="FFFFFF"/>
                <w:lang w:eastAsia="lv-LV" w:bidi="lv-LV"/>
              </w:rPr>
              <w:t> </w:t>
            </w:r>
            <w:r w:rsidRPr="00F05E2F">
              <w:rPr>
                <w:rFonts w:eastAsia="Times New Roman" w:cs="Times New Roman"/>
                <w:shd w:val="clear" w:color="auto" w:fill="FFFFFF"/>
                <w:lang w:eastAsia="lv-LV" w:bidi="lv-LV"/>
              </w:rPr>
              <w:t>795</w:t>
            </w:r>
            <w:r>
              <w:rPr>
                <w:rFonts w:eastAsia="Times New Roman" w:cs="Times New Roman"/>
                <w:shd w:val="clear" w:color="auto" w:fill="FFFFFF"/>
                <w:lang w:eastAsia="lv-LV" w:bidi="lv-LV"/>
              </w:rPr>
              <w:t> </w:t>
            </w:r>
            <w:r w:rsidRPr="00F05E2F">
              <w:rPr>
                <w:rFonts w:eastAsia="Times New Roman" w:cs="Times New Roman"/>
                <w:shd w:val="clear" w:color="auto" w:fill="FFFFFF"/>
                <w:lang w:eastAsia="lv-LV" w:bidi="lv-LV"/>
              </w:rPr>
              <w:t>482</w:t>
            </w:r>
            <w:r>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ieņēmumi no maksas pakalpojumiem </w:t>
            </w:r>
            <w:r>
              <w:rPr>
                <w:rFonts w:eastAsia="Times New Roman" w:cs="Times New Roman"/>
                <w:noProof/>
                <w:szCs w:val="24"/>
                <w:lang w:eastAsia="lv-LV"/>
              </w:rPr>
              <w:t>13 304</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dotācija no vispārējiem ieņēmumiem </w:t>
            </w:r>
            <w:r w:rsidRPr="00F05E2F">
              <w:rPr>
                <w:rFonts w:eastAsia="Times New Roman" w:cs="Times New Roman"/>
                <w:shd w:val="clear" w:color="auto" w:fill="FFFFFF"/>
                <w:lang w:eastAsia="lv-LV" w:bidi="lv-LV"/>
              </w:rPr>
              <w:t>84</w:t>
            </w:r>
            <w:r>
              <w:rPr>
                <w:rFonts w:eastAsia="Times New Roman" w:cs="Times New Roman"/>
                <w:shd w:val="clear" w:color="auto" w:fill="FFFFFF"/>
                <w:lang w:eastAsia="lv-LV" w:bidi="lv-LV"/>
              </w:rPr>
              <w:t> </w:t>
            </w:r>
            <w:r w:rsidRPr="00F05E2F">
              <w:rPr>
                <w:rFonts w:eastAsia="Times New Roman" w:cs="Times New Roman"/>
                <w:shd w:val="clear" w:color="auto" w:fill="FFFFFF"/>
                <w:lang w:eastAsia="lv-LV" w:bidi="lv-LV"/>
              </w:rPr>
              <w:t>782</w:t>
            </w:r>
            <w:r>
              <w:rPr>
                <w:rFonts w:eastAsia="Times New Roman" w:cs="Times New Roman"/>
                <w:shd w:val="clear" w:color="auto" w:fill="FFFFFF"/>
                <w:lang w:eastAsia="lv-LV" w:bidi="lv-LV"/>
              </w:rPr>
              <w:t> </w:t>
            </w:r>
            <w:r w:rsidRPr="00F05E2F">
              <w:rPr>
                <w:rFonts w:eastAsia="Times New Roman" w:cs="Times New Roman"/>
                <w:shd w:val="clear" w:color="auto" w:fill="FFFFFF"/>
                <w:lang w:eastAsia="lv-LV" w:bidi="lv-LV"/>
              </w:rPr>
              <w:t>178</w:t>
            </w:r>
            <w:r>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r w:rsidRPr="000A2BA5">
              <w:rPr>
                <w:rFonts w:eastAsia="Times New Roman" w:cs="Times New Roman"/>
                <w:noProof/>
                <w:szCs w:val="24"/>
                <w:lang w:eastAsia="lv-LV"/>
              </w:rPr>
              <w:t xml:space="preserve"> </w:t>
            </w:r>
          </w:p>
          <w:p w:rsidR="00D2680E" w:rsidRPr="000A2BA5" w:rsidRDefault="00D2680E" w:rsidP="00D2680E">
            <w:pPr>
              <w:ind w:right="142"/>
              <w:rPr>
                <w:rFonts w:eastAsia="Times New Roman" w:cs="Times New Roman"/>
                <w:noProof/>
                <w:szCs w:val="24"/>
                <w:lang w:eastAsia="lv-LV"/>
              </w:rPr>
            </w:pPr>
            <w:r w:rsidRPr="000A2BA5">
              <w:rPr>
                <w:rFonts w:eastAsia="Times New Roman" w:cs="Times New Roman"/>
                <w:noProof/>
                <w:szCs w:val="24"/>
                <w:lang w:eastAsia="lv-LV"/>
              </w:rPr>
              <w:t xml:space="preserve">Izdevumi </w:t>
            </w:r>
            <w:r w:rsidRPr="00F05E2F">
              <w:rPr>
                <w:rFonts w:eastAsia="Times New Roman" w:cs="Times New Roman"/>
                <w:noProof/>
                <w:szCs w:val="24"/>
                <w:lang w:eastAsia="lv-LV"/>
              </w:rPr>
              <w:t>84</w:t>
            </w:r>
            <w:r>
              <w:rPr>
                <w:rFonts w:eastAsia="Times New Roman" w:cs="Times New Roman"/>
                <w:noProof/>
                <w:szCs w:val="24"/>
                <w:lang w:eastAsia="lv-LV"/>
              </w:rPr>
              <w:t> </w:t>
            </w:r>
            <w:r w:rsidRPr="00F05E2F">
              <w:rPr>
                <w:rFonts w:eastAsia="Times New Roman" w:cs="Times New Roman"/>
                <w:noProof/>
                <w:szCs w:val="24"/>
                <w:lang w:eastAsia="lv-LV"/>
              </w:rPr>
              <w:t>795</w:t>
            </w:r>
            <w:r>
              <w:rPr>
                <w:rFonts w:eastAsia="Times New Roman" w:cs="Times New Roman"/>
                <w:noProof/>
                <w:szCs w:val="24"/>
                <w:lang w:eastAsia="lv-LV"/>
              </w:rPr>
              <w:t xml:space="preserve"> </w:t>
            </w:r>
            <w:r w:rsidRPr="00F05E2F">
              <w:rPr>
                <w:rFonts w:eastAsia="Times New Roman" w:cs="Times New Roman"/>
                <w:noProof/>
                <w:szCs w:val="24"/>
                <w:lang w:eastAsia="lv-LV"/>
              </w:rPr>
              <w:t>482</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r w:rsidRPr="000A2BA5">
              <w:rPr>
                <w:rFonts w:eastAsia="Times New Roman" w:cs="Times New Roman"/>
                <w:noProof/>
                <w:szCs w:val="24"/>
                <w:lang w:eastAsia="lv-LV"/>
              </w:rPr>
              <w:t>, tai skaitā:</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subsīdijas un dotācijas </w:t>
            </w:r>
            <w:r>
              <w:rPr>
                <w:color w:val="000000"/>
                <w:sz w:val="20"/>
                <w:szCs w:val="20"/>
              </w:rPr>
              <w:t xml:space="preserve">83 764 094 </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valsts budžeta uzturēšanas izdevumu transferti pašvaldībām</w:t>
            </w:r>
          </w:p>
          <w:p w:rsidR="00D2680E" w:rsidRPr="000A2BA5" w:rsidRDefault="00D2680E" w:rsidP="00D2680E">
            <w:pPr>
              <w:ind w:right="142" w:firstLine="259"/>
              <w:rPr>
                <w:rFonts w:eastAsia="Times New Roman" w:cs="Times New Roman"/>
                <w:i/>
                <w:noProof/>
                <w:szCs w:val="24"/>
                <w:lang w:eastAsia="lv-LV"/>
              </w:rPr>
            </w:pPr>
            <w:r w:rsidRPr="000A2BA5">
              <w:rPr>
                <w:rFonts w:eastAsia="Times New Roman" w:cs="Times New Roman"/>
                <w:noProof/>
                <w:szCs w:val="24"/>
                <w:lang w:eastAsia="lv-LV"/>
              </w:rPr>
              <w:t xml:space="preserve">noteiktam mērķim </w:t>
            </w:r>
            <w:r w:rsidRPr="00F05E2F">
              <w:rPr>
                <w:rFonts w:eastAsia="Times New Roman" w:cs="Times New Roman"/>
                <w:noProof/>
                <w:szCs w:val="24"/>
                <w:lang w:eastAsia="lv-LV"/>
              </w:rPr>
              <w:t>1</w:t>
            </w:r>
            <w:r>
              <w:rPr>
                <w:rFonts w:eastAsia="Times New Roman" w:cs="Times New Roman"/>
                <w:noProof/>
                <w:szCs w:val="24"/>
                <w:lang w:eastAsia="lv-LV"/>
              </w:rPr>
              <w:t> </w:t>
            </w:r>
            <w:r w:rsidRPr="00F05E2F">
              <w:rPr>
                <w:rFonts w:eastAsia="Times New Roman" w:cs="Times New Roman"/>
                <w:noProof/>
                <w:szCs w:val="24"/>
                <w:lang w:eastAsia="lv-LV"/>
              </w:rPr>
              <w:t>031</w:t>
            </w:r>
            <w:r>
              <w:rPr>
                <w:rFonts w:eastAsia="Times New Roman" w:cs="Times New Roman"/>
                <w:noProof/>
                <w:szCs w:val="24"/>
                <w:lang w:eastAsia="lv-LV"/>
              </w:rPr>
              <w:t xml:space="preserve"> </w:t>
            </w:r>
            <w:r w:rsidRPr="00F05E2F">
              <w:rPr>
                <w:rFonts w:eastAsia="Times New Roman" w:cs="Times New Roman"/>
                <w:noProof/>
                <w:szCs w:val="24"/>
                <w:lang w:eastAsia="lv-LV"/>
              </w:rPr>
              <w:t>388</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106EDD" w:rsidRDefault="00D2680E" w:rsidP="00D2680E">
            <w:pPr>
              <w:ind w:right="142"/>
              <w:jc w:val="both"/>
              <w:rPr>
                <w:rFonts w:eastAsia="Times New Roman" w:cs="Times New Roman"/>
                <w:noProof/>
                <w:szCs w:val="24"/>
                <w:lang w:eastAsia="lv-LV"/>
              </w:rPr>
            </w:pPr>
          </w:p>
          <w:p w:rsidR="00D2680E" w:rsidRPr="00106EDD" w:rsidRDefault="00D2680E" w:rsidP="00D2680E">
            <w:pPr>
              <w:widowControl w:val="0"/>
              <w:jc w:val="both"/>
              <w:rPr>
                <w:rFonts w:eastAsia="Times New Roman" w:cs="Times New Roman"/>
                <w:color w:val="000000"/>
                <w:shd w:val="clear" w:color="auto" w:fill="FFFFFF"/>
                <w:lang w:eastAsia="lv-LV" w:bidi="lv-LV"/>
              </w:rPr>
            </w:pPr>
            <w:r>
              <w:rPr>
                <w:rFonts w:eastAsia="Times New Roman" w:cs="Times New Roman"/>
                <w:color w:val="000000"/>
                <w:shd w:val="clear" w:color="auto" w:fill="FFFFFF"/>
                <w:lang w:eastAsia="lv-LV" w:bidi="lv-LV"/>
              </w:rPr>
              <w:t>33.15.00 „</w:t>
            </w:r>
            <w:r w:rsidRPr="00F05E2F">
              <w:rPr>
                <w:rFonts w:eastAsia="Times New Roman" w:cs="Times New Roman"/>
                <w:color w:val="000000"/>
                <w:shd w:val="clear" w:color="auto" w:fill="FFFFFF"/>
                <w:lang w:eastAsia="lv-LV" w:bidi="lv-LV"/>
              </w:rPr>
              <w:t>Laboratorisko izmeklējumu nodrošināšana ambulatorajā aprūpē</w:t>
            </w:r>
            <w:r w:rsidRPr="00106EDD">
              <w:rPr>
                <w:rFonts w:eastAsia="Times New Roman" w:cs="Times New Roman"/>
                <w:color w:val="000000"/>
                <w:shd w:val="clear" w:color="auto" w:fill="FFFFFF"/>
                <w:lang w:eastAsia="lv-LV" w:bidi="lv-LV"/>
              </w:rPr>
              <w:t>”:</w:t>
            </w:r>
          </w:p>
          <w:p w:rsidR="00D2680E" w:rsidRPr="000A2BA5" w:rsidRDefault="00D2680E" w:rsidP="00D2680E">
            <w:pPr>
              <w:ind w:right="142"/>
              <w:rPr>
                <w:rFonts w:eastAsia="Times New Roman" w:cs="Times New Roman"/>
                <w:noProof/>
                <w:szCs w:val="24"/>
                <w:lang w:eastAsia="lv-LV"/>
              </w:rPr>
            </w:pPr>
            <w:r w:rsidRPr="000A2BA5">
              <w:rPr>
                <w:rFonts w:eastAsia="Times New Roman" w:cs="Times New Roman"/>
                <w:noProof/>
                <w:szCs w:val="24"/>
                <w:lang w:eastAsia="lv-LV"/>
              </w:rPr>
              <w:t xml:space="preserve">Resursi izdevumu segšanai </w:t>
            </w:r>
            <w:r w:rsidRPr="00F05E2F">
              <w:rPr>
                <w:rFonts w:eastAsia="Times New Roman" w:cs="Times New Roman"/>
                <w:noProof/>
                <w:szCs w:val="24"/>
                <w:lang w:eastAsia="lv-LV"/>
              </w:rPr>
              <w:t>28</w:t>
            </w:r>
            <w:r>
              <w:rPr>
                <w:rFonts w:eastAsia="Times New Roman" w:cs="Times New Roman"/>
                <w:noProof/>
                <w:szCs w:val="24"/>
                <w:lang w:eastAsia="lv-LV"/>
              </w:rPr>
              <w:t> </w:t>
            </w:r>
            <w:r w:rsidRPr="00F05E2F">
              <w:rPr>
                <w:rFonts w:eastAsia="Times New Roman" w:cs="Times New Roman"/>
                <w:noProof/>
                <w:szCs w:val="24"/>
                <w:lang w:eastAsia="lv-LV"/>
              </w:rPr>
              <w:t>410</w:t>
            </w:r>
            <w:r>
              <w:rPr>
                <w:rFonts w:eastAsia="Times New Roman" w:cs="Times New Roman"/>
                <w:noProof/>
                <w:szCs w:val="24"/>
                <w:lang w:eastAsia="lv-LV"/>
              </w:rPr>
              <w:t xml:space="preserve"> </w:t>
            </w:r>
            <w:r w:rsidRPr="00F05E2F">
              <w:rPr>
                <w:rFonts w:eastAsia="Times New Roman" w:cs="Times New Roman"/>
                <w:noProof/>
                <w:szCs w:val="24"/>
                <w:lang w:eastAsia="lv-LV"/>
              </w:rPr>
              <w:t>416</w:t>
            </w:r>
            <w:r>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ieņēmumi no maksas pakalpojumiem </w:t>
            </w:r>
            <w:r w:rsidRPr="00F05E2F">
              <w:rPr>
                <w:rFonts w:eastAsia="Times New Roman" w:cs="Times New Roman"/>
                <w:noProof/>
                <w:szCs w:val="24"/>
                <w:lang w:eastAsia="lv-LV"/>
              </w:rPr>
              <w:t>1620</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dotācija no vispārējiem ieņēmumiem </w:t>
            </w:r>
            <w:r w:rsidRPr="00F05E2F">
              <w:rPr>
                <w:rFonts w:eastAsia="Times New Roman" w:cs="Times New Roman"/>
                <w:noProof/>
                <w:szCs w:val="24"/>
                <w:lang w:eastAsia="lv-LV"/>
              </w:rPr>
              <w:t>28</w:t>
            </w:r>
            <w:r>
              <w:rPr>
                <w:rFonts w:eastAsia="Times New Roman" w:cs="Times New Roman"/>
                <w:noProof/>
                <w:szCs w:val="24"/>
                <w:lang w:eastAsia="lv-LV"/>
              </w:rPr>
              <w:t> </w:t>
            </w:r>
            <w:r w:rsidRPr="00F05E2F">
              <w:rPr>
                <w:rFonts w:eastAsia="Times New Roman" w:cs="Times New Roman"/>
                <w:noProof/>
                <w:szCs w:val="24"/>
                <w:lang w:eastAsia="lv-LV"/>
              </w:rPr>
              <w:t>408</w:t>
            </w:r>
            <w:r>
              <w:rPr>
                <w:rFonts w:eastAsia="Times New Roman" w:cs="Times New Roman"/>
                <w:noProof/>
                <w:szCs w:val="24"/>
                <w:lang w:eastAsia="lv-LV"/>
              </w:rPr>
              <w:t xml:space="preserve"> </w:t>
            </w:r>
            <w:r w:rsidRPr="00F05E2F">
              <w:rPr>
                <w:rFonts w:eastAsia="Times New Roman" w:cs="Times New Roman"/>
                <w:noProof/>
                <w:szCs w:val="24"/>
                <w:lang w:eastAsia="lv-LV"/>
              </w:rPr>
              <w:t>796</w:t>
            </w:r>
            <w:r>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r w:rsidRPr="000A2BA5">
              <w:rPr>
                <w:rFonts w:eastAsia="Times New Roman" w:cs="Times New Roman"/>
                <w:noProof/>
                <w:szCs w:val="24"/>
                <w:lang w:eastAsia="lv-LV"/>
              </w:rPr>
              <w:t xml:space="preserve"> </w:t>
            </w:r>
          </w:p>
          <w:p w:rsidR="00D2680E" w:rsidRPr="000A2BA5" w:rsidRDefault="00D2680E" w:rsidP="00D2680E">
            <w:pPr>
              <w:ind w:right="142"/>
              <w:rPr>
                <w:rFonts w:eastAsia="Times New Roman" w:cs="Times New Roman"/>
                <w:noProof/>
                <w:szCs w:val="24"/>
                <w:lang w:eastAsia="lv-LV"/>
              </w:rPr>
            </w:pPr>
            <w:r w:rsidRPr="000A2BA5">
              <w:rPr>
                <w:rFonts w:eastAsia="Times New Roman" w:cs="Times New Roman"/>
                <w:noProof/>
                <w:szCs w:val="24"/>
                <w:lang w:eastAsia="lv-LV"/>
              </w:rPr>
              <w:t xml:space="preserve">Izdevumi </w:t>
            </w:r>
            <w:r w:rsidRPr="00F05E2F">
              <w:rPr>
                <w:rFonts w:eastAsia="Times New Roman" w:cs="Times New Roman"/>
                <w:noProof/>
                <w:szCs w:val="24"/>
                <w:lang w:eastAsia="lv-LV"/>
              </w:rPr>
              <w:t>28</w:t>
            </w:r>
            <w:r>
              <w:rPr>
                <w:rFonts w:eastAsia="Times New Roman" w:cs="Times New Roman"/>
                <w:noProof/>
                <w:szCs w:val="24"/>
                <w:lang w:eastAsia="lv-LV"/>
              </w:rPr>
              <w:t> </w:t>
            </w:r>
            <w:r w:rsidRPr="00F05E2F">
              <w:rPr>
                <w:rFonts w:eastAsia="Times New Roman" w:cs="Times New Roman"/>
                <w:noProof/>
                <w:szCs w:val="24"/>
                <w:lang w:eastAsia="lv-LV"/>
              </w:rPr>
              <w:t>410</w:t>
            </w:r>
            <w:r>
              <w:rPr>
                <w:rFonts w:eastAsia="Times New Roman" w:cs="Times New Roman"/>
                <w:noProof/>
                <w:szCs w:val="24"/>
                <w:lang w:eastAsia="lv-LV"/>
              </w:rPr>
              <w:t xml:space="preserve"> </w:t>
            </w:r>
            <w:r w:rsidRPr="00F05E2F">
              <w:rPr>
                <w:rFonts w:eastAsia="Times New Roman" w:cs="Times New Roman"/>
                <w:noProof/>
                <w:szCs w:val="24"/>
                <w:lang w:eastAsia="lv-LV"/>
              </w:rPr>
              <w:t>416</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r w:rsidRPr="000A2BA5">
              <w:rPr>
                <w:rFonts w:eastAsia="Times New Roman" w:cs="Times New Roman"/>
                <w:noProof/>
                <w:szCs w:val="24"/>
                <w:lang w:eastAsia="lv-LV"/>
              </w:rPr>
              <w:t>, tai skaitā:</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subsīdijas un dotācijas </w:t>
            </w:r>
            <w:r w:rsidRPr="00F05E2F">
              <w:rPr>
                <w:rFonts w:eastAsia="Times New Roman" w:cs="Times New Roman"/>
                <w:noProof/>
                <w:szCs w:val="24"/>
                <w:lang w:eastAsia="lv-LV"/>
              </w:rPr>
              <w:t>28</w:t>
            </w:r>
            <w:r>
              <w:rPr>
                <w:rFonts w:eastAsia="Times New Roman" w:cs="Times New Roman"/>
                <w:noProof/>
                <w:szCs w:val="24"/>
                <w:lang w:eastAsia="lv-LV"/>
              </w:rPr>
              <w:t> </w:t>
            </w:r>
            <w:r w:rsidRPr="00F05E2F">
              <w:rPr>
                <w:rFonts w:eastAsia="Times New Roman" w:cs="Times New Roman"/>
                <w:noProof/>
                <w:szCs w:val="24"/>
                <w:lang w:eastAsia="lv-LV"/>
              </w:rPr>
              <w:t>404</w:t>
            </w:r>
            <w:r>
              <w:rPr>
                <w:rFonts w:eastAsia="Times New Roman" w:cs="Times New Roman"/>
                <w:noProof/>
                <w:szCs w:val="24"/>
                <w:lang w:eastAsia="lv-LV"/>
              </w:rPr>
              <w:t xml:space="preserve"> </w:t>
            </w:r>
            <w:r w:rsidRPr="00F05E2F">
              <w:rPr>
                <w:rFonts w:eastAsia="Times New Roman" w:cs="Times New Roman"/>
                <w:noProof/>
                <w:szCs w:val="24"/>
                <w:lang w:eastAsia="lv-LV"/>
              </w:rPr>
              <w:t>857</w:t>
            </w:r>
            <w:r>
              <w:rPr>
                <w:color w:val="000000"/>
                <w:sz w:val="20"/>
                <w:szCs w:val="20"/>
              </w:rPr>
              <w:t xml:space="preserve"> </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left="272" w:right="142" w:hanging="13"/>
              <w:rPr>
                <w:rFonts w:eastAsia="Times New Roman" w:cs="Times New Roman"/>
                <w:i/>
                <w:noProof/>
                <w:szCs w:val="24"/>
                <w:lang w:eastAsia="lv-LV"/>
              </w:rPr>
            </w:pPr>
            <w:r w:rsidRPr="00F05E2F">
              <w:rPr>
                <w:rFonts w:eastAsia="Times New Roman" w:cs="Times New Roman"/>
                <w:noProof/>
                <w:szCs w:val="24"/>
                <w:lang w:eastAsia="lv-LV"/>
              </w:rPr>
              <w:t>Valsts budžeta transferti valsts budžeta daļēji finansētām atvasinātām publiskām personām un budžeta nefinansētām iestādēm noteiktam mērķim</w:t>
            </w:r>
            <w:r w:rsidRPr="000A2BA5">
              <w:rPr>
                <w:rFonts w:eastAsia="Times New Roman" w:cs="Times New Roman"/>
                <w:noProof/>
                <w:szCs w:val="24"/>
                <w:lang w:eastAsia="lv-LV"/>
              </w:rPr>
              <w:t xml:space="preserve"> </w:t>
            </w:r>
            <w:r w:rsidRPr="00D13822">
              <w:rPr>
                <w:rFonts w:eastAsia="Times New Roman" w:cs="Times New Roman"/>
                <w:noProof/>
                <w:szCs w:val="24"/>
                <w:lang w:eastAsia="lv-LV"/>
              </w:rPr>
              <w:t>5</w:t>
            </w:r>
            <w:r>
              <w:rPr>
                <w:rFonts w:eastAsia="Times New Roman" w:cs="Times New Roman"/>
                <w:noProof/>
                <w:szCs w:val="24"/>
                <w:lang w:eastAsia="lv-LV"/>
              </w:rPr>
              <w:t xml:space="preserve"> </w:t>
            </w:r>
            <w:r w:rsidRPr="00D13822">
              <w:rPr>
                <w:rFonts w:eastAsia="Times New Roman" w:cs="Times New Roman"/>
                <w:noProof/>
                <w:szCs w:val="24"/>
                <w:lang w:eastAsia="lv-LV"/>
              </w:rPr>
              <w:t>559</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Default="00D2680E" w:rsidP="00D2680E">
            <w:pPr>
              <w:ind w:right="142" w:firstLine="344"/>
              <w:jc w:val="both"/>
              <w:rPr>
                <w:szCs w:val="24"/>
                <w:lang w:eastAsia="lv-LV"/>
              </w:rPr>
            </w:pPr>
          </w:p>
          <w:p w:rsidR="00D2680E" w:rsidRPr="00106EDD" w:rsidRDefault="00D2680E" w:rsidP="00D2680E">
            <w:pPr>
              <w:widowControl w:val="0"/>
              <w:jc w:val="both"/>
              <w:rPr>
                <w:rFonts w:eastAsia="Times New Roman" w:cs="Times New Roman"/>
                <w:color w:val="000000"/>
                <w:shd w:val="clear" w:color="auto" w:fill="FFFFFF"/>
                <w:lang w:eastAsia="lv-LV" w:bidi="lv-LV"/>
              </w:rPr>
            </w:pPr>
            <w:r>
              <w:rPr>
                <w:rFonts w:eastAsia="Times New Roman" w:cs="Times New Roman"/>
                <w:color w:val="000000"/>
                <w:shd w:val="clear" w:color="auto" w:fill="FFFFFF"/>
                <w:lang w:eastAsia="lv-LV" w:bidi="lv-LV"/>
              </w:rPr>
              <w:t>33.16.00 „</w:t>
            </w:r>
            <w:r w:rsidRPr="00D13822">
              <w:rPr>
                <w:rFonts w:eastAsia="Times New Roman" w:cs="Times New Roman"/>
                <w:color w:val="000000"/>
                <w:shd w:val="clear" w:color="auto" w:fill="FFFFFF"/>
                <w:lang w:eastAsia="lv-LV" w:bidi="lv-LV"/>
              </w:rPr>
              <w:t>Pārējo ambulatoro veselības aprūpes pakalpojumu nodrošināšana</w:t>
            </w:r>
            <w:r w:rsidRPr="00106EDD">
              <w:rPr>
                <w:rFonts w:eastAsia="Times New Roman" w:cs="Times New Roman"/>
                <w:color w:val="000000"/>
                <w:shd w:val="clear" w:color="auto" w:fill="FFFFFF"/>
                <w:lang w:eastAsia="lv-LV" w:bidi="lv-LV"/>
              </w:rPr>
              <w:t>”:</w:t>
            </w:r>
          </w:p>
          <w:p w:rsidR="00D2680E" w:rsidRPr="000A2BA5" w:rsidRDefault="00D2680E" w:rsidP="00D2680E">
            <w:pPr>
              <w:ind w:right="142"/>
              <w:rPr>
                <w:rFonts w:eastAsia="Times New Roman" w:cs="Times New Roman"/>
                <w:noProof/>
                <w:szCs w:val="24"/>
                <w:lang w:eastAsia="lv-LV"/>
              </w:rPr>
            </w:pPr>
            <w:r w:rsidRPr="000A2BA5">
              <w:rPr>
                <w:rFonts w:eastAsia="Times New Roman" w:cs="Times New Roman"/>
                <w:noProof/>
                <w:szCs w:val="24"/>
                <w:lang w:eastAsia="lv-LV"/>
              </w:rPr>
              <w:t xml:space="preserve">Resursi izdevumu segšanai </w:t>
            </w:r>
            <w:r w:rsidRPr="00D13822">
              <w:rPr>
                <w:rFonts w:eastAsia="Times New Roman" w:cs="Times New Roman"/>
                <w:noProof/>
                <w:szCs w:val="24"/>
                <w:lang w:eastAsia="lv-LV"/>
              </w:rPr>
              <w:t>155</w:t>
            </w:r>
            <w:r>
              <w:rPr>
                <w:rFonts w:eastAsia="Times New Roman" w:cs="Times New Roman"/>
                <w:noProof/>
                <w:szCs w:val="24"/>
                <w:lang w:eastAsia="lv-LV"/>
              </w:rPr>
              <w:t> </w:t>
            </w:r>
            <w:r w:rsidRPr="00D13822">
              <w:rPr>
                <w:rFonts w:eastAsia="Times New Roman" w:cs="Times New Roman"/>
                <w:noProof/>
                <w:szCs w:val="24"/>
                <w:lang w:eastAsia="lv-LV"/>
              </w:rPr>
              <w:t>877</w:t>
            </w:r>
            <w:r>
              <w:rPr>
                <w:rFonts w:eastAsia="Times New Roman" w:cs="Times New Roman"/>
                <w:noProof/>
                <w:szCs w:val="24"/>
                <w:lang w:eastAsia="lv-LV"/>
              </w:rPr>
              <w:t xml:space="preserve"> </w:t>
            </w:r>
            <w:r w:rsidRPr="00D13822">
              <w:rPr>
                <w:rFonts w:eastAsia="Times New Roman" w:cs="Times New Roman"/>
                <w:noProof/>
                <w:szCs w:val="24"/>
                <w:lang w:eastAsia="lv-LV"/>
              </w:rPr>
              <w:t>587</w:t>
            </w:r>
            <w:r>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ieņēmumi no maksas pakalpojumiem </w:t>
            </w:r>
            <w:r w:rsidRPr="00D13822">
              <w:rPr>
                <w:rFonts w:eastAsia="Times New Roman" w:cs="Times New Roman"/>
                <w:noProof/>
                <w:szCs w:val="24"/>
                <w:lang w:eastAsia="lv-LV"/>
              </w:rPr>
              <w:t>25</w:t>
            </w:r>
            <w:r>
              <w:rPr>
                <w:rFonts w:eastAsia="Times New Roman" w:cs="Times New Roman"/>
                <w:noProof/>
                <w:szCs w:val="24"/>
                <w:lang w:eastAsia="lv-LV"/>
              </w:rPr>
              <w:t xml:space="preserve"> </w:t>
            </w:r>
            <w:r w:rsidRPr="00D13822">
              <w:rPr>
                <w:rFonts w:eastAsia="Times New Roman" w:cs="Times New Roman"/>
                <w:noProof/>
                <w:szCs w:val="24"/>
                <w:lang w:eastAsia="lv-LV"/>
              </w:rPr>
              <w:t>052</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dotācija no vispārējiem ieņēmumiem </w:t>
            </w:r>
            <w:r w:rsidRPr="00D13822">
              <w:rPr>
                <w:rFonts w:eastAsia="Times New Roman" w:cs="Times New Roman"/>
                <w:noProof/>
                <w:szCs w:val="24"/>
                <w:lang w:eastAsia="lv-LV"/>
              </w:rPr>
              <w:t>155</w:t>
            </w:r>
            <w:r>
              <w:rPr>
                <w:rFonts w:eastAsia="Times New Roman" w:cs="Times New Roman"/>
                <w:noProof/>
                <w:szCs w:val="24"/>
                <w:lang w:eastAsia="lv-LV"/>
              </w:rPr>
              <w:t> </w:t>
            </w:r>
            <w:r w:rsidRPr="00D13822">
              <w:rPr>
                <w:rFonts w:eastAsia="Times New Roman" w:cs="Times New Roman"/>
                <w:noProof/>
                <w:szCs w:val="24"/>
                <w:lang w:eastAsia="lv-LV"/>
              </w:rPr>
              <w:t>852</w:t>
            </w:r>
            <w:r>
              <w:rPr>
                <w:rFonts w:eastAsia="Times New Roman" w:cs="Times New Roman"/>
                <w:noProof/>
                <w:szCs w:val="24"/>
                <w:lang w:eastAsia="lv-LV"/>
              </w:rPr>
              <w:t xml:space="preserve"> </w:t>
            </w:r>
            <w:r w:rsidRPr="00D13822">
              <w:rPr>
                <w:rFonts w:eastAsia="Times New Roman" w:cs="Times New Roman"/>
                <w:noProof/>
                <w:szCs w:val="24"/>
                <w:lang w:eastAsia="lv-LV"/>
              </w:rPr>
              <w:t>535</w:t>
            </w:r>
            <w:r>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r w:rsidRPr="000A2BA5">
              <w:rPr>
                <w:rFonts w:eastAsia="Times New Roman" w:cs="Times New Roman"/>
                <w:noProof/>
                <w:szCs w:val="24"/>
                <w:lang w:eastAsia="lv-LV"/>
              </w:rPr>
              <w:t xml:space="preserve"> </w:t>
            </w:r>
          </w:p>
          <w:p w:rsidR="00D2680E" w:rsidRPr="000A2BA5" w:rsidRDefault="00D2680E" w:rsidP="00D2680E">
            <w:pPr>
              <w:ind w:right="142"/>
              <w:rPr>
                <w:rFonts w:eastAsia="Times New Roman" w:cs="Times New Roman"/>
                <w:noProof/>
                <w:szCs w:val="24"/>
                <w:lang w:eastAsia="lv-LV"/>
              </w:rPr>
            </w:pPr>
            <w:r w:rsidRPr="000A2BA5">
              <w:rPr>
                <w:rFonts w:eastAsia="Times New Roman" w:cs="Times New Roman"/>
                <w:noProof/>
                <w:szCs w:val="24"/>
                <w:lang w:eastAsia="lv-LV"/>
              </w:rPr>
              <w:t xml:space="preserve">Izdevumi </w:t>
            </w:r>
            <w:r w:rsidRPr="00D13822">
              <w:rPr>
                <w:rFonts w:eastAsia="Times New Roman" w:cs="Times New Roman"/>
                <w:noProof/>
                <w:szCs w:val="24"/>
                <w:lang w:eastAsia="lv-LV"/>
              </w:rPr>
              <w:t>155</w:t>
            </w:r>
            <w:r>
              <w:rPr>
                <w:rFonts w:eastAsia="Times New Roman" w:cs="Times New Roman"/>
                <w:noProof/>
                <w:szCs w:val="24"/>
                <w:lang w:eastAsia="lv-LV"/>
              </w:rPr>
              <w:t> </w:t>
            </w:r>
            <w:r w:rsidRPr="00D13822">
              <w:rPr>
                <w:rFonts w:eastAsia="Times New Roman" w:cs="Times New Roman"/>
                <w:noProof/>
                <w:szCs w:val="24"/>
                <w:lang w:eastAsia="lv-LV"/>
              </w:rPr>
              <w:t>877</w:t>
            </w:r>
            <w:r>
              <w:rPr>
                <w:rFonts w:eastAsia="Times New Roman" w:cs="Times New Roman"/>
                <w:noProof/>
                <w:szCs w:val="24"/>
                <w:lang w:eastAsia="lv-LV"/>
              </w:rPr>
              <w:t xml:space="preserve"> </w:t>
            </w:r>
            <w:r w:rsidRPr="00D13822">
              <w:rPr>
                <w:rFonts w:eastAsia="Times New Roman" w:cs="Times New Roman"/>
                <w:noProof/>
                <w:szCs w:val="24"/>
                <w:lang w:eastAsia="lv-LV"/>
              </w:rPr>
              <w:t>587</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r w:rsidRPr="000A2BA5">
              <w:rPr>
                <w:rFonts w:eastAsia="Times New Roman" w:cs="Times New Roman"/>
                <w:noProof/>
                <w:szCs w:val="24"/>
                <w:lang w:eastAsia="lv-LV"/>
              </w:rPr>
              <w:t>, tai skaitā:</w:t>
            </w:r>
          </w:p>
          <w:p w:rsidR="00D2680E" w:rsidRPr="000A2BA5" w:rsidRDefault="00D2680E" w:rsidP="00D2680E">
            <w:pPr>
              <w:ind w:right="142" w:firstLine="259"/>
              <w:rPr>
                <w:rFonts w:eastAsia="Times New Roman" w:cs="Times New Roman"/>
                <w:noProof/>
                <w:szCs w:val="24"/>
                <w:lang w:eastAsia="lv-LV"/>
              </w:rPr>
            </w:pPr>
            <w:r w:rsidRPr="000A2BA5">
              <w:rPr>
                <w:rFonts w:eastAsia="Times New Roman" w:cs="Times New Roman"/>
                <w:noProof/>
                <w:szCs w:val="24"/>
                <w:lang w:eastAsia="lv-LV"/>
              </w:rPr>
              <w:t xml:space="preserve">subsīdijas un dotācijas </w:t>
            </w:r>
            <w:r w:rsidRPr="00D13822">
              <w:rPr>
                <w:rFonts w:eastAsia="Times New Roman" w:cs="Times New Roman"/>
                <w:noProof/>
                <w:szCs w:val="24"/>
                <w:lang w:eastAsia="lv-LV"/>
              </w:rPr>
              <w:t>155</w:t>
            </w:r>
            <w:r>
              <w:rPr>
                <w:rFonts w:eastAsia="Times New Roman" w:cs="Times New Roman"/>
                <w:noProof/>
                <w:szCs w:val="24"/>
                <w:lang w:eastAsia="lv-LV"/>
              </w:rPr>
              <w:t> </w:t>
            </w:r>
            <w:r w:rsidRPr="00D13822">
              <w:rPr>
                <w:rFonts w:eastAsia="Times New Roman" w:cs="Times New Roman"/>
                <w:noProof/>
                <w:szCs w:val="24"/>
                <w:lang w:eastAsia="lv-LV"/>
              </w:rPr>
              <w:t>256</w:t>
            </w:r>
            <w:r>
              <w:rPr>
                <w:rFonts w:eastAsia="Times New Roman" w:cs="Times New Roman"/>
                <w:noProof/>
                <w:szCs w:val="24"/>
                <w:lang w:eastAsia="lv-LV"/>
              </w:rPr>
              <w:t xml:space="preserve"> </w:t>
            </w:r>
            <w:r w:rsidRPr="00D13822">
              <w:rPr>
                <w:rFonts w:eastAsia="Times New Roman" w:cs="Times New Roman"/>
                <w:noProof/>
                <w:szCs w:val="24"/>
                <w:lang w:eastAsia="lv-LV"/>
              </w:rPr>
              <w:t>234</w:t>
            </w:r>
            <w:r>
              <w:rPr>
                <w:color w:val="000000"/>
                <w:sz w:val="20"/>
                <w:szCs w:val="20"/>
              </w:rPr>
              <w:t xml:space="preserve"> </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Default="00D2680E" w:rsidP="00D2680E">
            <w:pPr>
              <w:ind w:left="414" w:right="142" w:hanging="70"/>
              <w:jc w:val="both"/>
              <w:rPr>
                <w:rFonts w:eastAsia="Times New Roman" w:cs="Times New Roman"/>
                <w:i/>
                <w:noProof/>
                <w:szCs w:val="24"/>
                <w:lang w:eastAsia="lv-LV"/>
              </w:rPr>
            </w:pPr>
            <w:r w:rsidRPr="00D13822">
              <w:rPr>
                <w:rFonts w:eastAsia="Times New Roman" w:cs="Times New Roman"/>
                <w:noProof/>
                <w:szCs w:val="24"/>
                <w:lang w:eastAsia="lv-LV"/>
              </w:rPr>
              <w:t>Valsts budžeta uzturēšanas izdevumu transferti pašvaldībām noteiktam mērķim</w:t>
            </w:r>
            <w:r w:rsidRPr="000A2BA5">
              <w:rPr>
                <w:rFonts w:eastAsia="Times New Roman" w:cs="Times New Roman"/>
                <w:noProof/>
                <w:szCs w:val="24"/>
                <w:lang w:eastAsia="lv-LV"/>
              </w:rPr>
              <w:t xml:space="preserve"> </w:t>
            </w:r>
            <w:r w:rsidRPr="00D13822">
              <w:rPr>
                <w:rFonts w:eastAsia="Times New Roman" w:cs="Times New Roman"/>
                <w:noProof/>
                <w:szCs w:val="24"/>
                <w:lang w:eastAsia="lv-LV"/>
              </w:rPr>
              <w:t>621</w:t>
            </w:r>
            <w:r>
              <w:rPr>
                <w:rFonts w:eastAsia="Times New Roman" w:cs="Times New Roman"/>
                <w:noProof/>
                <w:szCs w:val="24"/>
                <w:lang w:eastAsia="lv-LV"/>
              </w:rPr>
              <w:t xml:space="preserve"> </w:t>
            </w:r>
            <w:r w:rsidRPr="00D13822">
              <w:rPr>
                <w:rFonts w:eastAsia="Times New Roman" w:cs="Times New Roman"/>
                <w:noProof/>
                <w:szCs w:val="24"/>
                <w:lang w:eastAsia="lv-LV"/>
              </w:rPr>
              <w:t>353</w:t>
            </w:r>
            <w:r w:rsidRPr="000A2BA5">
              <w:rPr>
                <w:rFonts w:eastAsia="Times New Roman" w:cs="Times New Roman"/>
                <w:shd w:val="clear" w:color="auto" w:fill="FFFFFF"/>
                <w:lang w:eastAsia="lv-LV" w:bidi="lv-LV"/>
              </w:rPr>
              <w:t xml:space="preserve"> </w:t>
            </w:r>
            <w:r w:rsidRPr="000A2BA5">
              <w:rPr>
                <w:rFonts w:eastAsia="Times New Roman" w:cs="Times New Roman"/>
                <w:i/>
                <w:noProof/>
                <w:szCs w:val="24"/>
                <w:lang w:eastAsia="lv-LV"/>
              </w:rPr>
              <w:t>euro</w:t>
            </w:r>
          </w:p>
          <w:p w:rsidR="00D2680E" w:rsidRDefault="00D2680E" w:rsidP="00D2680E">
            <w:pPr>
              <w:ind w:left="414" w:right="142" w:hanging="70"/>
              <w:jc w:val="both"/>
              <w:rPr>
                <w:rFonts w:eastAsia="Times New Roman" w:cs="Times New Roman"/>
                <w:i/>
                <w:noProof/>
                <w:szCs w:val="24"/>
                <w:lang w:eastAsia="lv-LV"/>
              </w:rPr>
            </w:pPr>
          </w:p>
          <w:p w:rsidR="00D2680E" w:rsidRPr="004C2E04" w:rsidRDefault="00D2680E" w:rsidP="00D2680E">
            <w:pPr>
              <w:ind w:left="414" w:right="142" w:hanging="70"/>
              <w:jc w:val="both"/>
              <w:rPr>
                <w:lang w:eastAsia="lv-LV"/>
              </w:rPr>
            </w:pPr>
            <w:r w:rsidRPr="004C2E04">
              <w:rPr>
                <w:lang w:eastAsia="lv-LV"/>
              </w:rPr>
              <w:t>Ietekme uz 2016.gada budžetu prognozēta atbilstoši plānotajam Noteikumu projekta spēkā stāšanās brīdim – no 2016.gada 1.oktobra.</w:t>
            </w:r>
          </w:p>
          <w:p w:rsidR="00D2680E" w:rsidRPr="009375D2" w:rsidRDefault="00D2680E" w:rsidP="00D2680E">
            <w:pPr>
              <w:ind w:left="56" w:firstLine="304"/>
              <w:jc w:val="both"/>
              <w:rPr>
                <w:u w:val="single"/>
                <w:lang w:eastAsia="lv-LV"/>
              </w:rPr>
            </w:pPr>
            <w:r w:rsidRPr="009375D2">
              <w:rPr>
                <w:u w:val="single"/>
                <w:lang w:eastAsia="lv-LV"/>
              </w:rPr>
              <w:t xml:space="preserve">Ietekme uz 2016.gada budžetu (pēdējiem trim kalendāra mēnešiem) ir </w:t>
            </w:r>
            <w:r>
              <w:rPr>
                <w:u w:val="single"/>
                <w:lang w:eastAsia="lv-LV"/>
              </w:rPr>
              <w:t>1 019 767</w:t>
            </w:r>
            <w:r w:rsidRPr="009375D2">
              <w:rPr>
                <w:u w:val="single"/>
                <w:lang w:eastAsia="lv-LV"/>
              </w:rPr>
              <w:t xml:space="preserve"> </w:t>
            </w:r>
            <w:proofErr w:type="spellStart"/>
            <w:r w:rsidRPr="009375D2">
              <w:rPr>
                <w:u w:val="single"/>
                <w:lang w:eastAsia="lv-LV"/>
              </w:rPr>
              <w:t>euro</w:t>
            </w:r>
            <w:proofErr w:type="spellEnd"/>
            <w:r w:rsidRPr="009375D2">
              <w:rPr>
                <w:u w:val="single"/>
                <w:lang w:eastAsia="lv-LV"/>
              </w:rPr>
              <w:t xml:space="preserve">. </w:t>
            </w:r>
          </w:p>
          <w:p w:rsidR="00D2680E" w:rsidRDefault="00D2680E" w:rsidP="00D2680E">
            <w:pPr>
              <w:ind w:left="56" w:firstLine="304"/>
              <w:jc w:val="both"/>
              <w:rPr>
                <w:lang w:eastAsia="lv-LV"/>
              </w:rPr>
            </w:pPr>
          </w:p>
          <w:p w:rsidR="00D2680E" w:rsidRPr="004C2E04" w:rsidRDefault="00D2680E" w:rsidP="00D2680E">
            <w:pPr>
              <w:pStyle w:val="NoSpacing"/>
              <w:spacing w:after="120"/>
              <w:jc w:val="both"/>
              <w:rPr>
                <w:lang w:eastAsia="lv-LV"/>
              </w:rPr>
            </w:pPr>
            <w:r w:rsidRPr="004C2E04">
              <w:rPr>
                <w:lang w:eastAsia="lv-LV"/>
              </w:rPr>
              <w:t xml:space="preserve">Ietekme uz 2016.gada budžetu plānota atbilstoši onkoloģisko slimību primārās diagnostikas algoritmu ieviešanai izmeklējumiem un viena pacienta vidējām izmaksām primārajai diagnostikai 68,16 </w:t>
            </w:r>
            <w:proofErr w:type="spellStart"/>
            <w:r w:rsidRPr="004C2E04">
              <w:rPr>
                <w:lang w:eastAsia="lv-LV"/>
              </w:rPr>
              <w:t>euro</w:t>
            </w:r>
            <w:proofErr w:type="spellEnd"/>
            <w:r w:rsidRPr="004C2E04">
              <w:rPr>
                <w:lang w:eastAsia="lv-LV"/>
              </w:rPr>
              <w:t xml:space="preserve"> ar pieņēmumu, ka primārajā diagnostikā nepieciešami 30 % no kopīgām diagnostikas izmaksām. Primārajai diagnostikai 2016.gada pēdējos trīs mēnešos plānots pacientu skaita pieaugums 5 500 šādās onkoloģiskās slimības </w:t>
            </w:r>
            <w:proofErr w:type="spellStart"/>
            <w:r w:rsidRPr="004C2E04">
              <w:rPr>
                <w:lang w:eastAsia="lv-LV"/>
              </w:rPr>
              <w:t>lokalizācijās</w:t>
            </w:r>
            <w:proofErr w:type="spellEnd"/>
            <w:r w:rsidRPr="004C2E04">
              <w:rPr>
                <w:lang w:eastAsia="lv-LV"/>
              </w:rPr>
              <w:t xml:space="preserve">: </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aizkuņģa dziedzera vēzis 90 pacienti, saskaņā ar Galvenā onkoloģijas speciālista ieteiktajiem izmeklējumiem diagnostikai vidēji vienam </w:t>
            </w:r>
            <w:r w:rsidRPr="004C2E04">
              <w:rPr>
                <w:lang w:eastAsia="lv-LV"/>
              </w:rPr>
              <w:lastRenderedPageBreak/>
              <w:t xml:space="preserve">pacientam 523.55 </w:t>
            </w:r>
            <w:proofErr w:type="spellStart"/>
            <w:r w:rsidRPr="004C2E04">
              <w:rPr>
                <w:lang w:eastAsia="lv-LV"/>
              </w:rPr>
              <w:t>euro</w:t>
            </w:r>
            <w:proofErr w:type="spellEnd"/>
            <w:r w:rsidRPr="004C2E04">
              <w:rPr>
                <w:lang w:eastAsia="lv-LV"/>
              </w:rPr>
              <w:t xml:space="preserve">, tajā skaitā laboratoriskie izmeklējumi 12.17 </w:t>
            </w:r>
            <w:proofErr w:type="spellStart"/>
            <w:r w:rsidRPr="004C2E04">
              <w:rPr>
                <w:lang w:eastAsia="lv-LV"/>
              </w:rPr>
              <w:t>euro</w:t>
            </w:r>
            <w:proofErr w:type="spellEnd"/>
            <w:r w:rsidRPr="004C2E04">
              <w:rPr>
                <w:lang w:eastAsia="lv-LV"/>
              </w:rPr>
              <w:t xml:space="preserve">. Ietekme uz 2016.gadu 90 pacienti x 523.55 </w:t>
            </w:r>
            <w:proofErr w:type="spellStart"/>
            <w:r w:rsidRPr="004C2E04">
              <w:rPr>
                <w:lang w:eastAsia="lv-LV"/>
              </w:rPr>
              <w:t>euro</w:t>
            </w:r>
            <w:proofErr w:type="spellEnd"/>
            <w:r w:rsidRPr="004C2E04">
              <w:rPr>
                <w:lang w:eastAsia="lv-LV"/>
              </w:rPr>
              <w:t xml:space="preserve"> x 30% = 14 136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bronhu un plaušu vēzis 354 pacienti, saskaņā ar Galvenā onkoloģijas speciālista ieteiktajiem izmeklējumiem diagnostikai vidēji vienam pacientam 211.54 </w:t>
            </w:r>
            <w:proofErr w:type="spellStart"/>
            <w:r w:rsidRPr="004C2E04">
              <w:rPr>
                <w:lang w:eastAsia="lv-LV"/>
              </w:rPr>
              <w:t>euro</w:t>
            </w:r>
            <w:proofErr w:type="spellEnd"/>
            <w:r w:rsidRPr="004C2E04">
              <w:rPr>
                <w:lang w:eastAsia="lv-LV"/>
              </w:rPr>
              <w:t xml:space="preserve">, tajā skaitā laboratoriskie izmeklējumi 7.57 </w:t>
            </w:r>
            <w:proofErr w:type="spellStart"/>
            <w:r w:rsidRPr="004C2E04">
              <w:rPr>
                <w:lang w:eastAsia="lv-LV"/>
              </w:rPr>
              <w:t>euro</w:t>
            </w:r>
            <w:proofErr w:type="spellEnd"/>
            <w:r w:rsidRPr="004C2E04">
              <w:rPr>
                <w:lang w:eastAsia="lv-LV"/>
              </w:rPr>
              <w:t xml:space="preserve">. Ietekme uz 2016.gadu 354 pacienti x 211.54 </w:t>
            </w:r>
            <w:proofErr w:type="spellStart"/>
            <w:r w:rsidRPr="004C2E04">
              <w:rPr>
                <w:lang w:eastAsia="lv-LV"/>
              </w:rPr>
              <w:t>euro</w:t>
            </w:r>
            <w:proofErr w:type="spellEnd"/>
            <w:r w:rsidRPr="004C2E04">
              <w:rPr>
                <w:lang w:eastAsia="lv-LV"/>
              </w:rPr>
              <w:t xml:space="preserve"> x 30% = 22 465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Citi ļaundabīgie ādas audzēji 768 pacienti, saskaņā ar Galvenā onkoloģijas speciālista ieteiktajiem izmeklējumiem diagnostikai vidēji vienam pacientam 72.67 </w:t>
            </w:r>
            <w:proofErr w:type="spellStart"/>
            <w:r w:rsidRPr="004C2E04">
              <w:rPr>
                <w:lang w:eastAsia="lv-LV"/>
              </w:rPr>
              <w:t>euro</w:t>
            </w:r>
            <w:proofErr w:type="spellEnd"/>
            <w:r w:rsidRPr="004C2E04">
              <w:rPr>
                <w:lang w:eastAsia="lv-LV"/>
              </w:rPr>
              <w:t xml:space="preserve">, tajā skaitā laboratoriskie izmeklējumi 5.31 </w:t>
            </w:r>
            <w:proofErr w:type="spellStart"/>
            <w:r w:rsidRPr="004C2E04">
              <w:rPr>
                <w:lang w:eastAsia="lv-LV"/>
              </w:rPr>
              <w:t>euro</w:t>
            </w:r>
            <w:proofErr w:type="spellEnd"/>
            <w:r w:rsidRPr="004C2E04">
              <w:rPr>
                <w:lang w:eastAsia="lv-LV"/>
              </w:rPr>
              <w:t xml:space="preserve">. Ietekme uz 2016.gadu 768 pacienti x 72.67  </w:t>
            </w:r>
            <w:proofErr w:type="spellStart"/>
            <w:r w:rsidRPr="004C2E04">
              <w:rPr>
                <w:lang w:eastAsia="lv-LV"/>
              </w:rPr>
              <w:t>euro</w:t>
            </w:r>
            <w:proofErr w:type="spellEnd"/>
            <w:r w:rsidRPr="004C2E04">
              <w:rPr>
                <w:lang w:eastAsia="lv-LV"/>
              </w:rPr>
              <w:t xml:space="preserve"> x 30% = 16 743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Dzemdes ķermeņa un dzemdes kakla vēzis 369 pacienti, saskaņā ar Galvenā onkoloģijas speciālista ieteiktajiem izmeklējumiem diagnostikai vidēji vienam pacientam 219.21 </w:t>
            </w:r>
            <w:proofErr w:type="spellStart"/>
            <w:r w:rsidRPr="004C2E04">
              <w:rPr>
                <w:lang w:eastAsia="lv-LV"/>
              </w:rPr>
              <w:t>euro</w:t>
            </w:r>
            <w:proofErr w:type="spellEnd"/>
            <w:r w:rsidRPr="004C2E04">
              <w:rPr>
                <w:lang w:eastAsia="lv-LV"/>
              </w:rPr>
              <w:t xml:space="preserve">, tajā skaitā laboratoriskie izmeklējumi 7.09 </w:t>
            </w:r>
            <w:proofErr w:type="spellStart"/>
            <w:r w:rsidRPr="004C2E04">
              <w:rPr>
                <w:lang w:eastAsia="lv-LV"/>
              </w:rPr>
              <w:t>euro</w:t>
            </w:r>
            <w:proofErr w:type="spellEnd"/>
            <w:r w:rsidRPr="004C2E04">
              <w:rPr>
                <w:lang w:eastAsia="lv-LV"/>
              </w:rPr>
              <w:t xml:space="preserve">. Ietekme uz 2016.gadu 369 pacienti x 219.21 </w:t>
            </w:r>
            <w:proofErr w:type="spellStart"/>
            <w:r w:rsidRPr="004C2E04">
              <w:rPr>
                <w:lang w:eastAsia="lv-LV"/>
              </w:rPr>
              <w:t>euro</w:t>
            </w:r>
            <w:proofErr w:type="spellEnd"/>
            <w:r w:rsidRPr="004C2E04">
              <w:rPr>
                <w:lang w:eastAsia="lv-LV"/>
              </w:rPr>
              <w:t xml:space="preserve"> x 30% = 24 267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Krūts vēzis 697 pacienti, saskaņā ar Galvenā onkoloģijas speciālista ieteiktajiem izmeklējumiem diagnostikai vidēji vienam pacientam 178.89 </w:t>
            </w:r>
            <w:proofErr w:type="spellStart"/>
            <w:r w:rsidRPr="004C2E04">
              <w:rPr>
                <w:lang w:eastAsia="lv-LV"/>
              </w:rPr>
              <w:t>euro</w:t>
            </w:r>
            <w:proofErr w:type="spellEnd"/>
            <w:r w:rsidRPr="004C2E04">
              <w:rPr>
                <w:lang w:eastAsia="lv-LV"/>
              </w:rPr>
              <w:t xml:space="preserve">, laboratoriskie izmeklējumi nav nepieciešami. Ietekme uz 2016.gadu 697 pacienti x 178.89 </w:t>
            </w:r>
            <w:proofErr w:type="spellStart"/>
            <w:r w:rsidRPr="004C2E04">
              <w:rPr>
                <w:lang w:eastAsia="lv-LV"/>
              </w:rPr>
              <w:t>euro</w:t>
            </w:r>
            <w:proofErr w:type="spellEnd"/>
            <w:r w:rsidRPr="004C2E04">
              <w:rPr>
                <w:lang w:eastAsia="lv-LV"/>
              </w:rPr>
              <w:t xml:space="preserve"> x 30% = 37 406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proofErr w:type="spellStart"/>
            <w:r w:rsidRPr="004C2E04">
              <w:rPr>
                <w:lang w:eastAsia="lv-LV"/>
              </w:rPr>
              <w:t>Kunģis</w:t>
            </w:r>
            <w:proofErr w:type="spellEnd"/>
            <w:r w:rsidRPr="004C2E04">
              <w:rPr>
                <w:lang w:eastAsia="lv-LV"/>
              </w:rPr>
              <w:t xml:space="preserve"> 197 pacienti, saskaņā ar Galvenā onkoloģijas speciālista ieteiktajiem izmeklējumiem diagnostikai vidēji vienam pacientam 225.81 </w:t>
            </w:r>
            <w:proofErr w:type="spellStart"/>
            <w:r w:rsidRPr="004C2E04">
              <w:rPr>
                <w:lang w:eastAsia="lv-LV"/>
              </w:rPr>
              <w:t>euro</w:t>
            </w:r>
            <w:proofErr w:type="spellEnd"/>
            <w:r w:rsidRPr="004C2E04">
              <w:rPr>
                <w:lang w:eastAsia="lv-LV"/>
              </w:rPr>
              <w:t xml:space="preserve">, tajā skaitā laboratoriskie izmeklējumi 13.52 </w:t>
            </w:r>
            <w:proofErr w:type="spellStart"/>
            <w:r w:rsidRPr="004C2E04">
              <w:rPr>
                <w:lang w:eastAsia="lv-LV"/>
              </w:rPr>
              <w:t>euro</w:t>
            </w:r>
            <w:proofErr w:type="spellEnd"/>
            <w:r w:rsidRPr="004C2E04">
              <w:rPr>
                <w:lang w:eastAsia="lv-LV"/>
              </w:rPr>
              <w:t xml:space="preserve">. Ietekme uz 2016.gadu 197 pacienti x 225.81 </w:t>
            </w:r>
            <w:proofErr w:type="spellStart"/>
            <w:r w:rsidRPr="004C2E04">
              <w:rPr>
                <w:lang w:eastAsia="lv-LV"/>
              </w:rPr>
              <w:t>euro</w:t>
            </w:r>
            <w:proofErr w:type="spellEnd"/>
            <w:r w:rsidRPr="004C2E04">
              <w:rPr>
                <w:lang w:eastAsia="lv-LV"/>
              </w:rPr>
              <w:t xml:space="preserve"> x 30% = 13 345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Nieru vēzis 231 pacients, saskaņā ar Galvenā onkoloģijas speciālista ieteiktajiem izmeklējumiem diagnostikai vidēji vienam pacientam 518.54 </w:t>
            </w:r>
            <w:proofErr w:type="spellStart"/>
            <w:r w:rsidRPr="004C2E04">
              <w:rPr>
                <w:lang w:eastAsia="lv-LV"/>
              </w:rPr>
              <w:t>euro</w:t>
            </w:r>
            <w:proofErr w:type="spellEnd"/>
            <w:r w:rsidRPr="004C2E04">
              <w:rPr>
                <w:lang w:eastAsia="lv-LV"/>
              </w:rPr>
              <w:t xml:space="preserve">, tajā skaitā laboratoriskie izmeklējumi 8.43 </w:t>
            </w:r>
            <w:proofErr w:type="spellStart"/>
            <w:r w:rsidRPr="004C2E04">
              <w:rPr>
                <w:lang w:eastAsia="lv-LV"/>
              </w:rPr>
              <w:t>euro</w:t>
            </w:r>
            <w:proofErr w:type="spellEnd"/>
            <w:r w:rsidRPr="004C2E04">
              <w:rPr>
                <w:lang w:eastAsia="lv-LV"/>
              </w:rPr>
              <w:t xml:space="preserve">. Ietekme uz 2016.gadu 231 pacients x 518.54 </w:t>
            </w:r>
            <w:proofErr w:type="spellStart"/>
            <w:r w:rsidRPr="004C2E04">
              <w:rPr>
                <w:lang w:eastAsia="lv-LV"/>
              </w:rPr>
              <w:t>euro</w:t>
            </w:r>
            <w:proofErr w:type="spellEnd"/>
            <w:r w:rsidRPr="004C2E04">
              <w:rPr>
                <w:lang w:eastAsia="lv-LV"/>
              </w:rPr>
              <w:t xml:space="preserve"> x 30% = 35 935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Olnīcu vēzis 148 pacienti, saskaņā ar Galvenā onkoloģijas speciālista ieteiktajiem izmeklējumiem diagnostikai vidēji vienam pacientam 338.08 </w:t>
            </w:r>
            <w:proofErr w:type="spellStart"/>
            <w:r w:rsidRPr="004C2E04">
              <w:rPr>
                <w:lang w:eastAsia="lv-LV"/>
              </w:rPr>
              <w:t>euro</w:t>
            </w:r>
            <w:proofErr w:type="spellEnd"/>
            <w:r w:rsidRPr="004C2E04">
              <w:rPr>
                <w:lang w:eastAsia="lv-LV"/>
              </w:rPr>
              <w:t xml:space="preserve">, tajā skaitā laboratoriskie izmeklējumi 14.31 </w:t>
            </w:r>
            <w:proofErr w:type="spellStart"/>
            <w:r w:rsidRPr="004C2E04">
              <w:rPr>
                <w:lang w:eastAsia="lv-LV"/>
              </w:rPr>
              <w:t>euro</w:t>
            </w:r>
            <w:proofErr w:type="spellEnd"/>
            <w:r w:rsidRPr="004C2E04">
              <w:rPr>
                <w:lang w:eastAsia="lv-LV"/>
              </w:rPr>
              <w:t xml:space="preserve">. Ietekme uz 2016.gadu 148 pacienti x 338.08 </w:t>
            </w:r>
            <w:proofErr w:type="spellStart"/>
            <w:r w:rsidRPr="004C2E04">
              <w:rPr>
                <w:lang w:eastAsia="lv-LV"/>
              </w:rPr>
              <w:t>euro</w:t>
            </w:r>
            <w:proofErr w:type="spellEnd"/>
            <w:r w:rsidRPr="004C2E04">
              <w:rPr>
                <w:lang w:eastAsia="lv-LV"/>
              </w:rPr>
              <w:t xml:space="preserve"> x 30% = 15 011 </w:t>
            </w:r>
            <w:proofErr w:type="spellStart"/>
            <w:r w:rsidRPr="004C2E04">
              <w:rPr>
                <w:lang w:eastAsia="lv-LV"/>
              </w:rPr>
              <w:t>euro</w:t>
            </w:r>
            <w:proofErr w:type="spellEnd"/>
          </w:p>
          <w:p w:rsidR="00D2680E" w:rsidRPr="004C2E04" w:rsidRDefault="00D2680E" w:rsidP="00D2680E">
            <w:pPr>
              <w:pStyle w:val="NoSpacing"/>
              <w:numPr>
                <w:ilvl w:val="0"/>
                <w:numId w:val="5"/>
              </w:numPr>
              <w:spacing w:after="120"/>
              <w:jc w:val="both"/>
              <w:rPr>
                <w:lang w:eastAsia="lv-LV"/>
              </w:rPr>
            </w:pPr>
            <w:r w:rsidRPr="004C2E04">
              <w:rPr>
                <w:lang w:eastAsia="lv-LV"/>
              </w:rPr>
              <w:t xml:space="preserve"> </w:t>
            </w:r>
            <w:proofErr w:type="spellStart"/>
            <w:r w:rsidRPr="004C2E04">
              <w:rPr>
                <w:lang w:eastAsia="lv-LV"/>
              </w:rPr>
              <w:t>Prostatas</w:t>
            </w:r>
            <w:proofErr w:type="spellEnd"/>
            <w:r w:rsidRPr="004C2E04">
              <w:rPr>
                <w:lang w:eastAsia="lv-LV"/>
              </w:rPr>
              <w:t xml:space="preserve"> vēzis 650 pacienti, saskaņā ar Galvenā onkoloģijas speciālista ieteiktajiem izmeklējumiem diagnostikai vidēji vienam pacientam 233.90 </w:t>
            </w:r>
            <w:proofErr w:type="spellStart"/>
            <w:r w:rsidRPr="004C2E04">
              <w:rPr>
                <w:lang w:eastAsia="lv-LV"/>
              </w:rPr>
              <w:t>euro</w:t>
            </w:r>
            <w:proofErr w:type="spellEnd"/>
            <w:r w:rsidRPr="004C2E04">
              <w:rPr>
                <w:lang w:eastAsia="lv-LV"/>
              </w:rPr>
              <w:t xml:space="preserve">, tajā skaitā laboratoriskie izmeklējumi 4.88 </w:t>
            </w:r>
            <w:proofErr w:type="spellStart"/>
            <w:r w:rsidRPr="004C2E04">
              <w:rPr>
                <w:lang w:eastAsia="lv-LV"/>
              </w:rPr>
              <w:t>euro</w:t>
            </w:r>
            <w:proofErr w:type="spellEnd"/>
            <w:r w:rsidRPr="004C2E04">
              <w:rPr>
                <w:lang w:eastAsia="lv-LV"/>
              </w:rPr>
              <w:t xml:space="preserve">. Ietekme uz 2016.gadu 650 pacienti x 233.90 </w:t>
            </w:r>
            <w:proofErr w:type="spellStart"/>
            <w:r w:rsidRPr="004C2E04">
              <w:rPr>
                <w:lang w:eastAsia="lv-LV"/>
              </w:rPr>
              <w:t>euro</w:t>
            </w:r>
            <w:proofErr w:type="spellEnd"/>
            <w:r w:rsidRPr="004C2E04">
              <w:rPr>
                <w:lang w:eastAsia="lv-LV"/>
              </w:rPr>
              <w:t xml:space="preserve"> x 30% = 45 610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Resnās zarnas vēzis  298 pacienti, saskaņā ar Galvenā onkoloģijas speciālista ieteiktajiem izmeklējumiem diagnostikai vidēji vienam pacientam 328.91 </w:t>
            </w:r>
            <w:proofErr w:type="spellStart"/>
            <w:r w:rsidRPr="004C2E04">
              <w:rPr>
                <w:lang w:eastAsia="lv-LV"/>
              </w:rPr>
              <w:t>euro</w:t>
            </w:r>
            <w:proofErr w:type="spellEnd"/>
            <w:r w:rsidRPr="004C2E04">
              <w:rPr>
                <w:lang w:eastAsia="lv-LV"/>
              </w:rPr>
              <w:t xml:space="preserve">, tajā skaitā laboratoriskie izmeklējumi 14.52 </w:t>
            </w:r>
            <w:proofErr w:type="spellStart"/>
            <w:r w:rsidRPr="004C2E04">
              <w:rPr>
                <w:lang w:eastAsia="lv-LV"/>
              </w:rPr>
              <w:t>euro</w:t>
            </w:r>
            <w:proofErr w:type="spellEnd"/>
            <w:r w:rsidRPr="004C2E04">
              <w:rPr>
                <w:lang w:eastAsia="lv-LV"/>
              </w:rPr>
              <w:t xml:space="preserve">. Ietekme uz 2016.gadu 298 pacienti  x 328.91 </w:t>
            </w:r>
            <w:proofErr w:type="spellStart"/>
            <w:r w:rsidRPr="004C2E04">
              <w:rPr>
                <w:lang w:eastAsia="lv-LV"/>
              </w:rPr>
              <w:t>euro</w:t>
            </w:r>
            <w:proofErr w:type="spellEnd"/>
            <w:r w:rsidRPr="004C2E04">
              <w:rPr>
                <w:lang w:eastAsia="lv-LV"/>
              </w:rPr>
              <w:t xml:space="preserve"> x 30% = 29 404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proofErr w:type="spellStart"/>
            <w:r w:rsidRPr="004C2E04">
              <w:rPr>
                <w:lang w:eastAsia="lv-LV"/>
              </w:rPr>
              <w:t>Sigmveida</w:t>
            </w:r>
            <w:proofErr w:type="spellEnd"/>
            <w:r w:rsidRPr="004C2E04">
              <w:rPr>
                <w:lang w:eastAsia="lv-LV"/>
              </w:rPr>
              <w:t xml:space="preserve"> un taisnās zarnas vēzis 254 pacienti, saskaņā ar Galvenā onkoloģijas speciālista ieteiktajiem izmeklējumiem diagnostikai vidēji vienam pacientam 328.91 </w:t>
            </w:r>
            <w:proofErr w:type="spellStart"/>
            <w:r w:rsidRPr="004C2E04">
              <w:rPr>
                <w:lang w:eastAsia="lv-LV"/>
              </w:rPr>
              <w:t>euro</w:t>
            </w:r>
            <w:proofErr w:type="spellEnd"/>
            <w:r w:rsidRPr="004C2E04">
              <w:rPr>
                <w:lang w:eastAsia="lv-LV"/>
              </w:rPr>
              <w:t xml:space="preserve">, tajā skaitā laboratoriskie izmeklējumi 14.52 </w:t>
            </w:r>
            <w:proofErr w:type="spellStart"/>
            <w:r w:rsidRPr="004C2E04">
              <w:rPr>
                <w:lang w:eastAsia="lv-LV"/>
              </w:rPr>
              <w:t>euro</w:t>
            </w:r>
            <w:proofErr w:type="spellEnd"/>
            <w:r w:rsidRPr="004C2E04">
              <w:rPr>
                <w:lang w:eastAsia="lv-LV"/>
              </w:rPr>
              <w:t xml:space="preserve">. Ietekme uz 2016.gadu 254 pacienti x 328.91 </w:t>
            </w:r>
            <w:proofErr w:type="spellStart"/>
            <w:r w:rsidRPr="004C2E04">
              <w:rPr>
                <w:lang w:eastAsia="lv-LV"/>
              </w:rPr>
              <w:t>euro</w:t>
            </w:r>
            <w:proofErr w:type="spellEnd"/>
            <w:r w:rsidRPr="004C2E04">
              <w:rPr>
                <w:lang w:eastAsia="lv-LV"/>
              </w:rPr>
              <w:t xml:space="preserve"> x 30% =  25 </w:t>
            </w:r>
            <w:r w:rsidRPr="004C2E04">
              <w:rPr>
                <w:lang w:eastAsia="lv-LV"/>
              </w:rPr>
              <w:lastRenderedPageBreak/>
              <w:t xml:space="preserve">063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Tūpļa vēzis 8 pacienti, saskaņā ar Galvenā onkoloģijas speciālista ieteiktajiem izmeklējumiem diagnostikai vidēji vienam pacientam 256.84 </w:t>
            </w:r>
            <w:proofErr w:type="spellStart"/>
            <w:r w:rsidRPr="004C2E04">
              <w:rPr>
                <w:lang w:eastAsia="lv-LV"/>
              </w:rPr>
              <w:t>euro</w:t>
            </w:r>
            <w:proofErr w:type="spellEnd"/>
            <w:r w:rsidRPr="004C2E04">
              <w:rPr>
                <w:lang w:eastAsia="lv-LV"/>
              </w:rPr>
              <w:t xml:space="preserve">, tajā skaitā laboratoriskie izmeklējumi 14.52 </w:t>
            </w:r>
            <w:proofErr w:type="spellStart"/>
            <w:r w:rsidRPr="004C2E04">
              <w:rPr>
                <w:lang w:eastAsia="lv-LV"/>
              </w:rPr>
              <w:t>euro</w:t>
            </w:r>
            <w:proofErr w:type="spellEnd"/>
            <w:r w:rsidRPr="004C2E04">
              <w:rPr>
                <w:lang w:eastAsia="lv-LV"/>
              </w:rPr>
              <w:t xml:space="preserve">. Ietekme uz 2016.gadu 8 pacienti x 256.84 </w:t>
            </w:r>
            <w:proofErr w:type="spellStart"/>
            <w:r w:rsidRPr="004C2E04">
              <w:rPr>
                <w:lang w:eastAsia="lv-LV"/>
              </w:rPr>
              <w:t>euro</w:t>
            </w:r>
            <w:proofErr w:type="spellEnd"/>
            <w:r w:rsidRPr="004C2E04">
              <w:rPr>
                <w:lang w:eastAsia="lv-LV"/>
              </w:rPr>
              <w:t xml:space="preserve"> x 30% =  616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proofErr w:type="spellStart"/>
            <w:r w:rsidRPr="004C2E04">
              <w:rPr>
                <w:lang w:eastAsia="lv-LV"/>
              </w:rPr>
              <w:t>Urīnpušļa</w:t>
            </w:r>
            <w:proofErr w:type="spellEnd"/>
            <w:r w:rsidRPr="004C2E04">
              <w:rPr>
                <w:lang w:eastAsia="lv-LV"/>
              </w:rPr>
              <w:t xml:space="preserve"> vēzis 250 pacienti, saskaņā ar Galvenā onkoloģijas speciālista ieteiktajiem izmeklējumiem diagnostikai vidēji vienam pacientam 532.81 </w:t>
            </w:r>
            <w:proofErr w:type="spellStart"/>
            <w:r w:rsidRPr="004C2E04">
              <w:rPr>
                <w:lang w:eastAsia="lv-LV"/>
              </w:rPr>
              <w:t>euro</w:t>
            </w:r>
            <w:proofErr w:type="spellEnd"/>
            <w:r w:rsidRPr="004C2E04">
              <w:rPr>
                <w:lang w:eastAsia="lv-LV"/>
              </w:rPr>
              <w:t xml:space="preserve">, tajā skaitā laboratoriskie izmeklējumi 16.34 </w:t>
            </w:r>
            <w:proofErr w:type="spellStart"/>
            <w:r w:rsidRPr="004C2E04">
              <w:rPr>
                <w:lang w:eastAsia="lv-LV"/>
              </w:rPr>
              <w:t>euro</w:t>
            </w:r>
            <w:proofErr w:type="spellEnd"/>
            <w:r w:rsidRPr="004C2E04">
              <w:rPr>
                <w:lang w:eastAsia="lv-LV"/>
              </w:rPr>
              <w:t xml:space="preserve">. Ietekme uz 2016.gadu 250 pacienti x 532.81 </w:t>
            </w:r>
            <w:proofErr w:type="spellStart"/>
            <w:r w:rsidRPr="004C2E04">
              <w:rPr>
                <w:lang w:eastAsia="lv-LV"/>
              </w:rPr>
              <w:t>euro</w:t>
            </w:r>
            <w:proofErr w:type="spellEnd"/>
            <w:r w:rsidRPr="004C2E04">
              <w:rPr>
                <w:lang w:eastAsia="lv-LV"/>
              </w:rPr>
              <w:t xml:space="preserve"> x 30% =  39 961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Pārējie, tajā skaitā vairogdziedzera vēzis, ādas </w:t>
            </w:r>
            <w:proofErr w:type="spellStart"/>
            <w:r w:rsidRPr="004C2E04">
              <w:rPr>
                <w:lang w:eastAsia="lv-LV"/>
              </w:rPr>
              <w:t>melanoma</w:t>
            </w:r>
            <w:proofErr w:type="spellEnd"/>
            <w:r w:rsidRPr="004C2E04">
              <w:rPr>
                <w:lang w:eastAsia="lv-LV"/>
              </w:rPr>
              <w:t xml:space="preserve">, u.c. 1 186 pacienti saskaņā ar vidējiem Galvenā onkoloģijas speciālista ieteiktajiem izmeklējumiem diagnostikai vidēji vienam pacientam 154,46 </w:t>
            </w:r>
            <w:proofErr w:type="spellStart"/>
            <w:r w:rsidRPr="004C2E04">
              <w:rPr>
                <w:lang w:eastAsia="lv-LV"/>
              </w:rPr>
              <w:t>euro</w:t>
            </w:r>
            <w:proofErr w:type="spellEnd"/>
            <w:r w:rsidRPr="004C2E04">
              <w:rPr>
                <w:lang w:eastAsia="lv-LV"/>
              </w:rPr>
              <w:t xml:space="preserve">, tajā skaitā laboratoriskie izmeklējumi 10.24 </w:t>
            </w:r>
            <w:proofErr w:type="spellStart"/>
            <w:r w:rsidRPr="004C2E04">
              <w:rPr>
                <w:lang w:eastAsia="lv-LV"/>
              </w:rPr>
              <w:t>euro</w:t>
            </w:r>
            <w:proofErr w:type="spellEnd"/>
            <w:r w:rsidRPr="004C2E04">
              <w:rPr>
                <w:lang w:eastAsia="lv-LV"/>
              </w:rPr>
              <w:t xml:space="preserve">. Ietekme uz 2016.gadu  1 186 pacienti x 154.46 </w:t>
            </w:r>
            <w:proofErr w:type="spellStart"/>
            <w:r w:rsidRPr="004C2E04">
              <w:rPr>
                <w:lang w:eastAsia="lv-LV"/>
              </w:rPr>
              <w:t>euro</w:t>
            </w:r>
            <w:proofErr w:type="spellEnd"/>
            <w:r w:rsidRPr="004C2E04">
              <w:rPr>
                <w:lang w:eastAsia="lv-LV"/>
              </w:rPr>
              <w:t xml:space="preserve"> x 30% =  54 957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spacing w:after="120"/>
              <w:jc w:val="both"/>
              <w:rPr>
                <w:lang w:eastAsia="lv-LV"/>
              </w:rPr>
            </w:pPr>
            <w:r w:rsidRPr="004C2E04">
              <w:rPr>
                <w:lang w:eastAsia="lv-LV"/>
              </w:rPr>
              <w:t xml:space="preserve">Papildus plānots speciālistu konsultāciju izmaksu pieaugums 2016.gada pēdējiem diviem mēnešiem, kas saistīts ar pacientu plūsmu virzīšanu uz noteiktām ārstniecības iestādēm atbilstoši noteiktiem algoritmiem. Plānots 20 % līdz 60 % pieaugums attiecībā uz audzēju lokalizāciju skaitu, ko speciālisti konsultēs. Plānots: </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20 % pieaugums ginekoloģijā. Atbilstoši 2016.gada 1.pusgadā sniegtajam pakalpojumu apjomam, t.i. 116508.27 </w:t>
            </w:r>
            <w:proofErr w:type="spellStart"/>
            <w:r w:rsidRPr="004C2E04">
              <w:rPr>
                <w:lang w:eastAsia="lv-LV"/>
              </w:rPr>
              <w:t>euro</w:t>
            </w:r>
            <w:proofErr w:type="spellEnd"/>
            <w:r w:rsidRPr="004C2E04">
              <w:rPr>
                <w:lang w:eastAsia="lv-LV"/>
              </w:rPr>
              <w:t xml:space="preserve"> x 2 x 20 % = 46 603 </w:t>
            </w:r>
            <w:proofErr w:type="spellStart"/>
            <w:r w:rsidRPr="004C2E04">
              <w:rPr>
                <w:lang w:eastAsia="lv-LV"/>
              </w:rPr>
              <w:t>euro</w:t>
            </w:r>
            <w:proofErr w:type="spellEnd"/>
            <w:r w:rsidRPr="004C2E04">
              <w:rPr>
                <w:lang w:eastAsia="lv-LV"/>
              </w:rPr>
              <w:t xml:space="preserve">/12 x 2 mēneši = 7767 </w:t>
            </w:r>
            <w:proofErr w:type="spellStart"/>
            <w:r w:rsidRPr="004C2E04">
              <w:rPr>
                <w:lang w:eastAsia="lv-LV"/>
              </w:rPr>
              <w:t>euro</w:t>
            </w:r>
            <w:proofErr w:type="spellEnd"/>
            <w:r w:rsidRPr="004C2E04">
              <w:rPr>
                <w:lang w:eastAsia="lv-LV"/>
              </w:rPr>
              <w:t xml:space="preserve">. Turpat ginekoloģijas valsts kompensēto pacientu iemaksu pieaugums atbilstoši 2016.gada 1.pusgadā sniegtajam pakalpojumu apjomam 11909.03 </w:t>
            </w:r>
            <w:proofErr w:type="spellStart"/>
            <w:r w:rsidRPr="004C2E04">
              <w:rPr>
                <w:lang w:eastAsia="lv-LV"/>
              </w:rPr>
              <w:t>euro</w:t>
            </w:r>
            <w:proofErr w:type="spellEnd"/>
            <w:r w:rsidRPr="004C2E04">
              <w:rPr>
                <w:lang w:eastAsia="lv-LV"/>
              </w:rPr>
              <w:t xml:space="preserve"> x 2 x 20 % = 4 764 </w:t>
            </w:r>
            <w:proofErr w:type="spellStart"/>
            <w:r w:rsidRPr="004C2E04">
              <w:rPr>
                <w:lang w:eastAsia="lv-LV"/>
              </w:rPr>
              <w:t>euro</w:t>
            </w:r>
            <w:proofErr w:type="spellEnd"/>
            <w:r w:rsidRPr="004C2E04">
              <w:rPr>
                <w:lang w:eastAsia="lv-LV"/>
              </w:rPr>
              <w:t xml:space="preserve">/12 x 2 mēneši = 794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50 % pieaugums ķirurģijā Daugavpils reģionālajā slimnīcā un </w:t>
            </w:r>
            <w:proofErr w:type="spellStart"/>
            <w:r w:rsidRPr="004C2E04">
              <w:rPr>
                <w:lang w:eastAsia="lv-LV"/>
              </w:rPr>
              <w:t>Liepākas</w:t>
            </w:r>
            <w:proofErr w:type="spellEnd"/>
            <w:r w:rsidRPr="004C2E04">
              <w:rPr>
                <w:lang w:eastAsia="lv-LV"/>
              </w:rPr>
              <w:t xml:space="preserve"> Reģionālajā slimnīcā. Atbilstoši 2016.gada 1.pusgadā sniegtajam pakalpojumu apjomam, t.i. 57112.2 </w:t>
            </w:r>
            <w:proofErr w:type="spellStart"/>
            <w:r w:rsidRPr="004C2E04">
              <w:rPr>
                <w:lang w:eastAsia="lv-LV"/>
              </w:rPr>
              <w:t>euro</w:t>
            </w:r>
            <w:proofErr w:type="spellEnd"/>
            <w:r w:rsidRPr="004C2E04">
              <w:rPr>
                <w:lang w:eastAsia="lv-LV"/>
              </w:rPr>
              <w:t xml:space="preserve"> x 2 x 50 % = 57 112 </w:t>
            </w:r>
            <w:proofErr w:type="spellStart"/>
            <w:r w:rsidRPr="004C2E04">
              <w:rPr>
                <w:lang w:eastAsia="lv-LV"/>
              </w:rPr>
              <w:t>euro</w:t>
            </w:r>
            <w:proofErr w:type="spellEnd"/>
            <w:r w:rsidRPr="004C2E04">
              <w:rPr>
                <w:lang w:eastAsia="lv-LV"/>
              </w:rPr>
              <w:t xml:space="preserve">/12 x 2 mēneši =9 519 </w:t>
            </w:r>
            <w:proofErr w:type="spellStart"/>
            <w:r w:rsidRPr="004C2E04">
              <w:rPr>
                <w:lang w:eastAsia="lv-LV"/>
              </w:rPr>
              <w:t>euro</w:t>
            </w:r>
            <w:proofErr w:type="spellEnd"/>
            <w:r w:rsidRPr="004C2E04">
              <w:rPr>
                <w:lang w:eastAsia="lv-LV"/>
              </w:rPr>
              <w:t xml:space="preserve">. Turpat ķirurģijas valsts kompensēto pacientu iemaksu pieaugums atbilstoši 2016.gada 1.pusgadā sniegtajam pakalpojumu apjomam 8605.46 </w:t>
            </w:r>
            <w:proofErr w:type="spellStart"/>
            <w:r w:rsidRPr="004C2E04">
              <w:rPr>
                <w:lang w:eastAsia="lv-LV"/>
              </w:rPr>
              <w:t>euro</w:t>
            </w:r>
            <w:proofErr w:type="spellEnd"/>
            <w:r w:rsidRPr="004C2E04">
              <w:rPr>
                <w:lang w:eastAsia="lv-LV"/>
              </w:rPr>
              <w:t xml:space="preserve"> x 2 x 50 % = 8 605 </w:t>
            </w:r>
            <w:proofErr w:type="spellStart"/>
            <w:r w:rsidRPr="004C2E04">
              <w:rPr>
                <w:lang w:eastAsia="lv-LV"/>
              </w:rPr>
              <w:t>euro</w:t>
            </w:r>
            <w:proofErr w:type="spellEnd"/>
            <w:r w:rsidRPr="004C2E04">
              <w:rPr>
                <w:lang w:eastAsia="lv-LV"/>
              </w:rPr>
              <w:t xml:space="preserve">/12 x 2 mēneši = 1434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60 % pieaugums ķirurģijā Rīgas Austrumu klīniskā universitātes slimnīcā, Paula Stradiņa klīniskā universitātes slimnīcā. Atbilstoši 2016.gada 1.pusgadā sniegtajam pakalpojumu apjomam, t.i. 225 924.7 </w:t>
            </w:r>
            <w:proofErr w:type="spellStart"/>
            <w:r w:rsidRPr="004C2E04">
              <w:rPr>
                <w:lang w:eastAsia="lv-LV"/>
              </w:rPr>
              <w:t>euro</w:t>
            </w:r>
            <w:proofErr w:type="spellEnd"/>
            <w:r w:rsidRPr="004C2E04">
              <w:rPr>
                <w:lang w:eastAsia="lv-LV"/>
              </w:rPr>
              <w:t xml:space="preserve"> x 2 x 60 % = 271 110 </w:t>
            </w:r>
            <w:proofErr w:type="spellStart"/>
            <w:r w:rsidRPr="004C2E04">
              <w:rPr>
                <w:lang w:eastAsia="lv-LV"/>
              </w:rPr>
              <w:t>euro</w:t>
            </w:r>
            <w:proofErr w:type="spellEnd"/>
            <w:r w:rsidRPr="004C2E04">
              <w:rPr>
                <w:lang w:eastAsia="lv-LV"/>
              </w:rPr>
              <w:t xml:space="preserve">/12 x 2 mēneši =45 185 </w:t>
            </w:r>
            <w:proofErr w:type="spellStart"/>
            <w:r w:rsidRPr="004C2E04">
              <w:rPr>
                <w:lang w:eastAsia="lv-LV"/>
              </w:rPr>
              <w:t>euro</w:t>
            </w:r>
            <w:proofErr w:type="spellEnd"/>
            <w:r w:rsidRPr="004C2E04">
              <w:rPr>
                <w:lang w:eastAsia="lv-LV"/>
              </w:rPr>
              <w:t xml:space="preserve">. Turpat ķirurģijas valsts kompensēto pacientu iemaksu pieaugums atbilstoši 2016.gada 1.pusgadā sniegtajam pakalpojumu apjomam 12 049.73 </w:t>
            </w:r>
            <w:proofErr w:type="spellStart"/>
            <w:r w:rsidRPr="004C2E04">
              <w:rPr>
                <w:lang w:eastAsia="lv-LV"/>
              </w:rPr>
              <w:t>euro</w:t>
            </w:r>
            <w:proofErr w:type="spellEnd"/>
            <w:r w:rsidRPr="004C2E04">
              <w:rPr>
                <w:lang w:eastAsia="lv-LV"/>
              </w:rPr>
              <w:t xml:space="preserve"> x 2 x 60 % = 14 460 </w:t>
            </w:r>
            <w:proofErr w:type="spellStart"/>
            <w:r w:rsidRPr="004C2E04">
              <w:rPr>
                <w:lang w:eastAsia="lv-LV"/>
              </w:rPr>
              <w:t>euro</w:t>
            </w:r>
            <w:proofErr w:type="spellEnd"/>
            <w:r w:rsidRPr="004C2E04">
              <w:rPr>
                <w:lang w:eastAsia="lv-LV"/>
              </w:rPr>
              <w:t xml:space="preserve">/12 x 2 mēneši =2 410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t xml:space="preserve">30 % pieaugums onkoloģijā. Atbilstoši 2016.gada 1.pusgadā sniegtajam pakalpojumu apjomam, t.i. 231355.3 </w:t>
            </w:r>
            <w:proofErr w:type="spellStart"/>
            <w:r w:rsidRPr="004C2E04">
              <w:rPr>
                <w:lang w:eastAsia="lv-LV"/>
              </w:rPr>
              <w:t>euro</w:t>
            </w:r>
            <w:proofErr w:type="spellEnd"/>
            <w:r w:rsidRPr="004C2E04">
              <w:rPr>
                <w:lang w:eastAsia="lv-LV"/>
              </w:rPr>
              <w:t xml:space="preserve"> x 2 x 30 % = 138 813 </w:t>
            </w:r>
            <w:proofErr w:type="spellStart"/>
            <w:r w:rsidRPr="004C2E04">
              <w:rPr>
                <w:lang w:eastAsia="lv-LV"/>
              </w:rPr>
              <w:t>euro</w:t>
            </w:r>
            <w:proofErr w:type="spellEnd"/>
            <w:r w:rsidRPr="004C2E04">
              <w:rPr>
                <w:lang w:eastAsia="lv-LV"/>
              </w:rPr>
              <w:t xml:space="preserve">/12 x 2 mēneši =23 136 </w:t>
            </w:r>
            <w:proofErr w:type="spellStart"/>
            <w:r w:rsidRPr="004C2E04">
              <w:rPr>
                <w:lang w:eastAsia="lv-LV"/>
              </w:rPr>
              <w:t>euro</w:t>
            </w:r>
            <w:proofErr w:type="spellEnd"/>
            <w:r w:rsidRPr="004C2E04">
              <w:rPr>
                <w:lang w:eastAsia="lv-LV"/>
              </w:rPr>
              <w:t xml:space="preserve">. Turpat onkoloģijas valsts kompensēto pacientu iemaksu pieaugums atbilstoši 2016.gada 1.pusgadā sniegtajam pakalpojumu apjomam 9 774.03 </w:t>
            </w:r>
            <w:proofErr w:type="spellStart"/>
            <w:r w:rsidRPr="004C2E04">
              <w:rPr>
                <w:lang w:eastAsia="lv-LV"/>
              </w:rPr>
              <w:t>euro</w:t>
            </w:r>
            <w:proofErr w:type="spellEnd"/>
            <w:r w:rsidRPr="004C2E04">
              <w:rPr>
                <w:lang w:eastAsia="lv-LV"/>
              </w:rPr>
              <w:t xml:space="preserve"> x 2 x 30 % = 5 864 </w:t>
            </w:r>
            <w:proofErr w:type="spellStart"/>
            <w:r w:rsidRPr="004C2E04">
              <w:rPr>
                <w:lang w:eastAsia="lv-LV"/>
              </w:rPr>
              <w:t>euro</w:t>
            </w:r>
            <w:proofErr w:type="spellEnd"/>
            <w:r w:rsidRPr="004C2E04">
              <w:rPr>
                <w:lang w:eastAsia="lv-LV"/>
              </w:rPr>
              <w:t xml:space="preserve">/12 x 2 mēneši =977 </w:t>
            </w:r>
            <w:proofErr w:type="spellStart"/>
            <w:r w:rsidRPr="004C2E04">
              <w:rPr>
                <w:lang w:eastAsia="lv-LV"/>
              </w:rPr>
              <w:t>euro</w:t>
            </w:r>
            <w:proofErr w:type="spellEnd"/>
            <w:r w:rsidRPr="004C2E04">
              <w:rPr>
                <w:lang w:eastAsia="lv-LV"/>
              </w:rPr>
              <w:t>;</w:t>
            </w:r>
          </w:p>
          <w:p w:rsidR="00D2680E" w:rsidRPr="004C2E04" w:rsidRDefault="00D2680E" w:rsidP="00D2680E">
            <w:pPr>
              <w:pStyle w:val="NoSpacing"/>
              <w:numPr>
                <w:ilvl w:val="0"/>
                <w:numId w:val="5"/>
              </w:numPr>
              <w:spacing w:after="120"/>
              <w:jc w:val="both"/>
              <w:rPr>
                <w:lang w:eastAsia="lv-LV"/>
              </w:rPr>
            </w:pPr>
            <w:r w:rsidRPr="004C2E04">
              <w:rPr>
                <w:lang w:eastAsia="lv-LV"/>
              </w:rPr>
              <w:lastRenderedPageBreak/>
              <w:t xml:space="preserve">20 % pieaugums uroloģijā. Atbilstoši 2016.gada 1.pusgadā sniegtajam pakalpojumu apjomam, t.i. 250994.11 </w:t>
            </w:r>
            <w:proofErr w:type="spellStart"/>
            <w:r w:rsidRPr="004C2E04">
              <w:rPr>
                <w:lang w:eastAsia="lv-LV"/>
              </w:rPr>
              <w:t>euro</w:t>
            </w:r>
            <w:proofErr w:type="spellEnd"/>
            <w:r w:rsidRPr="004C2E04">
              <w:rPr>
                <w:lang w:eastAsia="lv-LV"/>
              </w:rPr>
              <w:t xml:space="preserve"> x 2 x 20 % = 100 398 </w:t>
            </w:r>
            <w:proofErr w:type="spellStart"/>
            <w:r w:rsidRPr="004C2E04">
              <w:rPr>
                <w:lang w:eastAsia="lv-LV"/>
              </w:rPr>
              <w:t>euro</w:t>
            </w:r>
            <w:proofErr w:type="spellEnd"/>
            <w:r w:rsidRPr="004C2E04">
              <w:rPr>
                <w:lang w:eastAsia="lv-LV"/>
              </w:rPr>
              <w:t xml:space="preserve">/12 x 2 mēneši =16 733 </w:t>
            </w:r>
            <w:proofErr w:type="spellStart"/>
            <w:r w:rsidRPr="004C2E04">
              <w:rPr>
                <w:lang w:eastAsia="lv-LV"/>
              </w:rPr>
              <w:t>euro</w:t>
            </w:r>
            <w:proofErr w:type="spellEnd"/>
            <w:r w:rsidRPr="004C2E04">
              <w:rPr>
                <w:lang w:eastAsia="lv-LV"/>
              </w:rPr>
              <w:t xml:space="preserve">. Turpat uroloģijas valsts kompensēto pacientu iemaksu pieaugums atbilstoši 2016.gada 1.pusgadā sniegtajam pakalpojumu apjomam 6371.71 </w:t>
            </w:r>
            <w:proofErr w:type="spellStart"/>
            <w:r w:rsidRPr="004C2E04">
              <w:rPr>
                <w:lang w:eastAsia="lv-LV"/>
              </w:rPr>
              <w:t>euro</w:t>
            </w:r>
            <w:proofErr w:type="spellEnd"/>
            <w:r w:rsidRPr="004C2E04">
              <w:rPr>
                <w:lang w:eastAsia="lv-LV"/>
              </w:rPr>
              <w:t xml:space="preserve"> x 2 x 20 % = 2 549 </w:t>
            </w:r>
            <w:proofErr w:type="spellStart"/>
            <w:r w:rsidRPr="004C2E04">
              <w:rPr>
                <w:lang w:eastAsia="lv-LV"/>
              </w:rPr>
              <w:t>euro</w:t>
            </w:r>
            <w:proofErr w:type="spellEnd"/>
            <w:r w:rsidRPr="004C2E04">
              <w:rPr>
                <w:lang w:eastAsia="lv-LV"/>
              </w:rPr>
              <w:t xml:space="preserve">/12 x 2 mēneši =425 </w:t>
            </w:r>
            <w:proofErr w:type="spellStart"/>
            <w:r w:rsidRPr="004C2E04">
              <w:rPr>
                <w:lang w:eastAsia="lv-LV"/>
              </w:rPr>
              <w:t>euro</w:t>
            </w:r>
            <w:proofErr w:type="spellEnd"/>
            <w:r w:rsidRPr="004C2E04">
              <w:rPr>
                <w:lang w:eastAsia="lv-LV"/>
              </w:rPr>
              <w:t>;</w:t>
            </w:r>
          </w:p>
          <w:p w:rsidR="00D2680E" w:rsidRPr="004C2E04" w:rsidRDefault="00D2680E" w:rsidP="00D2680E">
            <w:pPr>
              <w:ind w:left="414" w:right="142" w:hanging="70"/>
              <w:jc w:val="both"/>
              <w:rPr>
                <w:szCs w:val="24"/>
                <w:lang w:eastAsia="lv-LV"/>
              </w:rPr>
            </w:pPr>
          </w:p>
          <w:p w:rsidR="00D2680E" w:rsidRPr="002640C3" w:rsidRDefault="00D2680E" w:rsidP="00D2680E">
            <w:pPr>
              <w:ind w:left="414" w:right="142" w:hanging="70"/>
              <w:jc w:val="both"/>
              <w:rPr>
                <w:szCs w:val="24"/>
                <w:u w:val="single"/>
                <w:lang w:eastAsia="lv-LV"/>
              </w:rPr>
            </w:pPr>
            <w:r w:rsidRPr="004C2E04">
              <w:rPr>
                <w:lang w:eastAsia="lv-LV"/>
              </w:rPr>
              <w:t>Turklāt Noteikumu projekts paredz 2016.gada pēdējo trīs mēnešu</w:t>
            </w:r>
            <w:r w:rsidRPr="002640C3">
              <w:rPr>
                <w:lang w:eastAsia="lv-LV"/>
              </w:rPr>
              <w:t xml:space="preserve"> ģimenes ārstu </w:t>
            </w:r>
            <w:proofErr w:type="spellStart"/>
            <w:r w:rsidRPr="002640C3">
              <w:rPr>
                <w:lang w:eastAsia="lv-LV"/>
              </w:rPr>
              <w:t>kapitācijas</w:t>
            </w:r>
            <w:proofErr w:type="spellEnd"/>
            <w:r w:rsidRPr="002640C3">
              <w:rPr>
                <w:lang w:eastAsia="lv-LV"/>
              </w:rPr>
              <w:t xml:space="preserve"> naudas palielinājumu no 1.182579 uz 1.233728, kas  saistīts ar pārskatītajām ģimenes ārstu praksēm nodrošināmām izmaksām atbilstoši esošajai situācijai</w:t>
            </w:r>
            <w:r>
              <w:rPr>
                <w:lang w:eastAsia="lv-LV"/>
              </w:rPr>
              <w:t>, aprēķinu skat</w:t>
            </w:r>
            <w:r w:rsidRPr="002640C3">
              <w:rPr>
                <w:lang w:eastAsia="lv-LV"/>
              </w:rPr>
              <w:t>.</w:t>
            </w:r>
            <w:r>
              <w:rPr>
                <w:lang w:eastAsia="lv-LV"/>
              </w:rPr>
              <w:t xml:space="preserve"> pie 2017.gada ietekmes. </w:t>
            </w:r>
            <w:r w:rsidRPr="002640C3">
              <w:rPr>
                <w:lang w:eastAsia="lv-LV"/>
              </w:rPr>
              <w:t xml:space="preserve"> </w:t>
            </w:r>
            <w:proofErr w:type="spellStart"/>
            <w:r w:rsidRPr="002640C3">
              <w:rPr>
                <w:lang w:eastAsia="lv-LV"/>
              </w:rPr>
              <w:t>Kapitācijas</w:t>
            </w:r>
            <w:proofErr w:type="spellEnd"/>
            <w:r w:rsidRPr="002640C3">
              <w:rPr>
                <w:lang w:eastAsia="lv-LV"/>
              </w:rPr>
              <w:t xml:space="preserve"> naudas palielinājuma ietekme uz 2016.gada budžetu ir </w:t>
            </w:r>
            <w:proofErr w:type="spellStart"/>
            <w:r w:rsidRPr="002640C3">
              <w:rPr>
                <w:lang w:eastAsia="lv-LV"/>
              </w:rPr>
              <w:t>kapitācijas</w:t>
            </w:r>
            <w:proofErr w:type="spellEnd"/>
            <w:r w:rsidRPr="009104CE">
              <w:rPr>
                <w:lang w:eastAsia="lv-LV"/>
              </w:rPr>
              <w:t xml:space="preserve"> pieaugums  1.233728 – 1.182579 = 0.051149 x reģistrēto pacientu skaits 2 025 394 x Noteikumu 9.pielikumā minētais vidējais ģimenes ārstu koeficients 1.0008637= </w:t>
            </w:r>
            <w:r>
              <w:rPr>
                <w:lang w:eastAsia="lv-LV"/>
              </w:rPr>
              <w:t xml:space="preserve">103 686.35 </w:t>
            </w:r>
            <w:proofErr w:type="spellStart"/>
            <w:r>
              <w:rPr>
                <w:lang w:eastAsia="lv-LV"/>
              </w:rPr>
              <w:t>euro</w:t>
            </w:r>
            <w:proofErr w:type="spellEnd"/>
            <w:r>
              <w:rPr>
                <w:lang w:eastAsia="lv-LV"/>
              </w:rPr>
              <w:t xml:space="preserve"> mēnesī un 311 059 </w:t>
            </w:r>
            <w:proofErr w:type="spellStart"/>
            <w:r>
              <w:rPr>
                <w:lang w:eastAsia="lv-LV"/>
              </w:rPr>
              <w:t>euro</w:t>
            </w:r>
            <w:proofErr w:type="spellEnd"/>
            <w:r>
              <w:rPr>
                <w:lang w:eastAsia="lv-LV"/>
              </w:rPr>
              <w:t xml:space="preserve"> gadā (pēdējos trīs mēnešos). Turpat p</w:t>
            </w:r>
            <w:r w:rsidRPr="009104CE">
              <w:rPr>
                <w:lang w:eastAsia="lv-LV"/>
              </w:rPr>
              <w:t>a</w:t>
            </w:r>
            <w:r>
              <w:rPr>
                <w:lang w:eastAsia="lv-LV"/>
              </w:rPr>
              <w:t>pildus nepieciešams</w:t>
            </w:r>
            <w:r w:rsidRPr="009104CE">
              <w:rPr>
                <w:lang w:eastAsia="lv-LV"/>
              </w:rPr>
              <w:t xml:space="preserve"> finansējums </w:t>
            </w:r>
            <w:r>
              <w:rPr>
                <w:lang w:eastAsia="lv-LV"/>
              </w:rPr>
              <w:t xml:space="preserve">šobrīd atreģistrētiem pacientiem saistībā ar līgumus pārtraukušām ģimenes ārstu praksēm, kas 6 mēnešu laikā piereģistrēsies pie jauniem ģimenes ārstiem. Šobrīd apzināti 5000 pacienti x 1.233728 = 6169 </w:t>
            </w:r>
            <w:proofErr w:type="spellStart"/>
            <w:r>
              <w:rPr>
                <w:lang w:eastAsia="lv-LV"/>
              </w:rPr>
              <w:t>euro</w:t>
            </w:r>
            <w:proofErr w:type="spellEnd"/>
            <w:r>
              <w:rPr>
                <w:lang w:eastAsia="lv-LV"/>
              </w:rPr>
              <w:t xml:space="preserve">, pieļautā ietekme uz 2016gadu attiecīgi 6169 </w:t>
            </w:r>
            <w:proofErr w:type="spellStart"/>
            <w:r>
              <w:rPr>
                <w:lang w:eastAsia="lv-LV"/>
              </w:rPr>
              <w:t>euro</w:t>
            </w:r>
            <w:proofErr w:type="spellEnd"/>
            <w:r>
              <w:rPr>
                <w:lang w:eastAsia="lv-LV"/>
              </w:rPr>
              <w:t xml:space="preserve">/12 mēnešiem x 3 mēnešiem = 1542 </w:t>
            </w:r>
            <w:proofErr w:type="spellStart"/>
            <w:r>
              <w:rPr>
                <w:lang w:eastAsia="lv-LV"/>
              </w:rPr>
              <w:t>euro</w:t>
            </w:r>
            <w:proofErr w:type="spellEnd"/>
            <w:r>
              <w:rPr>
                <w:lang w:eastAsia="lv-LV"/>
              </w:rPr>
              <w:t xml:space="preserve">. Kopumā </w:t>
            </w:r>
            <w:proofErr w:type="spellStart"/>
            <w:r>
              <w:rPr>
                <w:lang w:eastAsia="lv-LV"/>
              </w:rPr>
              <w:t>kapitācijas</w:t>
            </w:r>
            <w:proofErr w:type="spellEnd"/>
            <w:r>
              <w:rPr>
                <w:lang w:eastAsia="lv-LV"/>
              </w:rPr>
              <w:t xml:space="preserve"> naudas pieaugumam radot ietekmi uz gada budžetu 312 601 </w:t>
            </w:r>
            <w:proofErr w:type="spellStart"/>
            <w:r>
              <w:rPr>
                <w:lang w:eastAsia="lv-LV"/>
              </w:rPr>
              <w:t>euro</w:t>
            </w:r>
            <w:proofErr w:type="spellEnd"/>
            <w:r>
              <w:rPr>
                <w:lang w:eastAsia="lv-LV"/>
              </w:rPr>
              <w:t xml:space="preserve">. </w:t>
            </w:r>
          </w:p>
          <w:p w:rsidR="00D2680E" w:rsidRDefault="00D2680E" w:rsidP="00D2680E">
            <w:pPr>
              <w:ind w:left="414" w:right="142" w:hanging="70"/>
              <w:jc w:val="both"/>
              <w:rPr>
                <w:lang w:eastAsia="lv-LV"/>
              </w:rPr>
            </w:pPr>
            <w:r>
              <w:rPr>
                <w:lang w:eastAsia="lv-LV"/>
              </w:rPr>
              <w:t xml:space="preserve">Papildus tam Noteikumu projekts paredz ģimenes ārstu fiksētā maksājuma pieaugumu, fiksētā maksājumā ietverot nemainīgās ģimenes ārstu prakses izmaksas atbilstoši esošajai situācijai (skat. aprēķinu pie 2017.gada ietekmes), kas ģimenes ārstam sedzamas neskatoties uz pacientu skaitu. Ģimenes ārsta fiksētā maksājuma pieaugums mēnesī ir 480.73-424.39= 56.34 </w:t>
            </w:r>
            <w:proofErr w:type="spellStart"/>
            <w:r>
              <w:rPr>
                <w:lang w:eastAsia="lv-LV"/>
              </w:rPr>
              <w:t>euro</w:t>
            </w:r>
            <w:proofErr w:type="spellEnd"/>
            <w:r>
              <w:rPr>
                <w:lang w:eastAsia="lv-LV"/>
              </w:rPr>
              <w:t xml:space="preserve">. Apzinot šobrīd reģistrētās ģimenes ārstu prakses 1312, mēneša ietekme noteikta 73 918,08 </w:t>
            </w:r>
            <w:proofErr w:type="spellStart"/>
            <w:r>
              <w:rPr>
                <w:lang w:eastAsia="lv-LV"/>
              </w:rPr>
              <w:t>euro</w:t>
            </w:r>
            <w:proofErr w:type="spellEnd"/>
            <w:r>
              <w:rPr>
                <w:lang w:eastAsia="lv-LV"/>
              </w:rPr>
              <w:t xml:space="preserve">, kas gadā veido ietekmi 221 754 </w:t>
            </w:r>
            <w:proofErr w:type="spellStart"/>
            <w:r>
              <w:rPr>
                <w:lang w:eastAsia="lv-LV"/>
              </w:rPr>
              <w:t>euro</w:t>
            </w:r>
            <w:proofErr w:type="spellEnd"/>
            <w:r>
              <w:rPr>
                <w:lang w:eastAsia="lv-LV"/>
              </w:rPr>
              <w:t xml:space="preserve"> (pēdējie trīs mēneši). Turpat nepieciešams</w:t>
            </w:r>
            <w:r w:rsidRPr="00D21315">
              <w:rPr>
                <w:lang w:eastAsia="lv-LV"/>
              </w:rPr>
              <w:t xml:space="preserve"> papildus finansējums jaunatvērtajām praksēm (praksēm, kas nesaņem </w:t>
            </w:r>
            <w:proofErr w:type="spellStart"/>
            <w:r w:rsidRPr="00D21315">
              <w:rPr>
                <w:lang w:eastAsia="lv-LV"/>
              </w:rPr>
              <w:t>kapitācijas</w:t>
            </w:r>
            <w:proofErr w:type="spellEnd"/>
            <w:r w:rsidRPr="00D21315">
              <w:rPr>
                <w:lang w:eastAsia="lv-LV"/>
              </w:rPr>
              <w:t xml:space="preserve"> naudu, bet fiksēto maksājumu)</w:t>
            </w:r>
            <w:r>
              <w:rPr>
                <w:lang w:eastAsia="lv-LV"/>
              </w:rPr>
              <w:t xml:space="preserve">. Šādu prakšu plānotais skaits 25 gadā un to finansēšanas ilgums 6 mēneši, kas kopumā veido 150 prakses mēnešus. Provizoriskā ietekme uz 2016.gada budžetu aprēķināta 150 mēneši x 56.34 </w:t>
            </w:r>
            <w:proofErr w:type="spellStart"/>
            <w:r>
              <w:rPr>
                <w:lang w:eastAsia="lv-LV"/>
              </w:rPr>
              <w:t>euro</w:t>
            </w:r>
            <w:proofErr w:type="spellEnd"/>
            <w:r>
              <w:rPr>
                <w:lang w:eastAsia="lv-LV"/>
              </w:rPr>
              <w:t xml:space="preserve"> = 8 451 </w:t>
            </w:r>
            <w:proofErr w:type="spellStart"/>
            <w:r>
              <w:rPr>
                <w:lang w:eastAsia="lv-LV"/>
              </w:rPr>
              <w:t>euro</w:t>
            </w:r>
            <w:proofErr w:type="spellEnd"/>
            <w:r w:rsidRPr="00D21315">
              <w:rPr>
                <w:lang w:eastAsia="lv-LV"/>
              </w:rPr>
              <w:t xml:space="preserve"> gadā</w:t>
            </w:r>
            <w:r>
              <w:rPr>
                <w:lang w:eastAsia="lv-LV"/>
              </w:rPr>
              <w:t xml:space="preserve">/12 x 3 mēneši = 2113 </w:t>
            </w:r>
            <w:proofErr w:type="spellStart"/>
            <w:r>
              <w:rPr>
                <w:lang w:eastAsia="lv-LV"/>
              </w:rPr>
              <w:t>euro</w:t>
            </w:r>
            <w:proofErr w:type="spellEnd"/>
            <w:r>
              <w:rPr>
                <w:lang w:eastAsia="lv-LV"/>
              </w:rPr>
              <w:t xml:space="preserve">. Kopumā ģimenes ārstu fiksētā maksājuma pieaugumam radot ietekmi uz gada budžetu 223 867 </w:t>
            </w:r>
            <w:proofErr w:type="spellStart"/>
            <w:r>
              <w:rPr>
                <w:lang w:eastAsia="lv-LV"/>
              </w:rPr>
              <w:t>euro</w:t>
            </w:r>
            <w:proofErr w:type="spellEnd"/>
            <w:r>
              <w:rPr>
                <w:lang w:eastAsia="lv-LV"/>
              </w:rPr>
              <w:t>.</w:t>
            </w:r>
          </w:p>
          <w:p w:rsidR="00D2680E" w:rsidRDefault="00D2680E" w:rsidP="00D2680E">
            <w:pPr>
              <w:ind w:left="414" w:right="142" w:hanging="70"/>
              <w:jc w:val="both"/>
              <w:rPr>
                <w:szCs w:val="24"/>
                <w:u w:val="single"/>
                <w:lang w:eastAsia="lv-LV"/>
              </w:rPr>
            </w:pPr>
          </w:p>
          <w:p w:rsidR="00D2680E" w:rsidRDefault="00D2680E" w:rsidP="00D2680E">
            <w:pPr>
              <w:ind w:left="414" w:right="142" w:hanging="70"/>
              <w:jc w:val="both"/>
              <w:rPr>
                <w:szCs w:val="24"/>
                <w:u w:val="single"/>
                <w:lang w:eastAsia="lv-LV"/>
              </w:rPr>
            </w:pPr>
            <w:r w:rsidRPr="00DC6460">
              <w:rPr>
                <w:szCs w:val="24"/>
                <w:lang w:eastAsia="lv-LV"/>
              </w:rPr>
              <w:t xml:space="preserve">Minētās Noteikumu projekta izmaiņas </w:t>
            </w:r>
            <w:r w:rsidRPr="00DC6460">
              <w:rPr>
                <w:lang w:eastAsia="lv-LV"/>
              </w:rPr>
              <w:t>tiks finansētas</w:t>
            </w:r>
            <w:r w:rsidRPr="00515B24">
              <w:rPr>
                <w:lang w:eastAsia="lv-LV"/>
              </w:rPr>
              <w:t xml:space="preserve"> esošo valsts budžeta līdzekļu ietvaros, rodot ietaupījumu no laboratorisko izmeklējumu finansēšanai paredzētajiem līdzekļiem 1 645 659 </w:t>
            </w:r>
            <w:proofErr w:type="spellStart"/>
            <w:r w:rsidRPr="00515B24">
              <w:rPr>
                <w:lang w:eastAsia="lv-LV"/>
              </w:rPr>
              <w:t>euro</w:t>
            </w:r>
            <w:proofErr w:type="spellEnd"/>
            <w:r w:rsidRPr="00515B24">
              <w:rPr>
                <w:lang w:eastAsia="lv-LV"/>
              </w:rPr>
              <w:t xml:space="preserve"> apmērā. Minētais ietaupījums tika rasts, nodrošinot valsts ambulatori apmaksājamo laboratorisko izmeklējumu racionālu pielietošanu, 2015.gadā pārskatot laboratorisko pakalpojumu apmaksas nosacījumus sadarbībā ar Latvijas Laboratorijas speciālistu biedrību, ģimenes ārstu un citām ārstu profesionālām asociācijām, kuras izteica viedokli un ierosinājumus par apmaksas nosacījumu ierobežojumiem. Jaunie laboratorisko pakalpojumu apmaksas nosacījumi stājās spēkā ar 2016.gada 1.janvāri. Ministru kabineta 2013.gada 17.decembra noteikumos Nr.1529 "Veselības aprūpes </w:t>
            </w:r>
            <w:r w:rsidRPr="00515B24">
              <w:rPr>
                <w:lang w:eastAsia="lv-LV"/>
              </w:rPr>
              <w:lastRenderedPageBreak/>
              <w:t xml:space="preserve">organizēšanas un finansēšanas kārtība" tika precizēta nosūtīšanas kārtība uz izmeklējumiem ar nolūku, lai tiktu veikti tikai pacientam nepieciešamie izmeklējumi, kuru rezultāti būtu kompetenti izvērtēti. Tika iekļauti nosacījumi, lai ierobežotu dublējošus izmeklējumus, kuri dod vienu un to pašu rezultātu, precizējošie izmeklējumi jāveic tikai tajos gadījumos, kad pamata izmeklējumos ir konstatētas novirzes no normas. Kā arī </w:t>
            </w:r>
            <w:r w:rsidRPr="00D74959">
              <w:rPr>
                <w:lang w:eastAsia="lv-LV"/>
              </w:rPr>
              <w:t>tika ierobežoti atkārtotie izmeklējumi, ja tam nav klīniska pamatojuma. Atlikusī ietaupījuma daļa tiks novirzīta citu veselības nozares prioritāšu finansēšanai, kas šobrīd tiek izvērtētas, tādējādi par precīzu finansējuma pārdali katrai prioritātei tiks lemts turpmāk.</w:t>
            </w:r>
          </w:p>
          <w:p w:rsidR="00D2680E" w:rsidRPr="00101A66" w:rsidRDefault="00D2680E" w:rsidP="00D2680E">
            <w:pPr>
              <w:ind w:left="414" w:right="142" w:hanging="70"/>
              <w:jc w:val="both"/>
              <w:rPr>
                <w:szCs w:val="24"/>
                <w:lang w:eastAsia="lv-LV"/>
              </w:rPr>
            </w:pPr>
          </w:p>
          <w:p w:rsidR="00D2680E" w:rsidRPr="00101A66" w:rsidRDefault="00D2680E" w:rsidP="00D2680E">
            <w:pPr>
              <w:pStyle w:val="NoSpacing"/>
              <w:spacing w:after="120"/>
              <w:jc w:val="both"/>
              <w:rPr>
                <w:lang w:eastAsia="lv-LV"/>
              </w:rPr>
            </w:pPr>
            <w:r w:rsidRPr="00101A66">
              <w:rPr>
                <w:u w:val="single"/>
                <w:lang w:eastAsia="lv-LV"/>
              </w:rPr>
              <w:t>Ietekme uz 2017.gadu un turpmāko budžetu</w:t>
            </w:r>
            <w:r w:rsidRPr="00101A66">
              <w:rPr>
                <w:lang w:eastAsia="lv-LV"/>
              </w:rPr>
              <w:t xml:space="preserve"> plānota atbilstoši onkoloģisko slimību primārās diagnostikas algoritmu ieviešanai izmeklējumiem. Viena pacienta vidējās izmaksas primārajā diagnostikā 68,16 </w:t>
            </w:r>
            <w:proofErr w:type="spellStart"/>
            <w:r w:rsidRPr="00101A66">
              <w:rPr>
                <w:lang w:eastAsia="lv-LV"/>
              </w:rPr>
              <w:t>euro</w:t>
            </w:r>
            <w:proofErr w:type="spellEnd"/>
            <w:r w:rsidRPr="00101A66">
              <w:rPr>
                <w:lang w:eastAsia="lv-LV"/>
              </w:rPr>
              <w:t xml:space="preserve"> ar pieņēmumu, ka primārajā diagnostikā nepieciešami 30 % no kopīgām diagnostikas izmaksām. Primārajā diagnostikā plānots pacientu skaita pieaugums 22 tūkst. šādās onkoloģiskās slimības </w:t>
            </w:r>
            <w:proofErr w:type="spellStart"/>
            <w:r w:rsidRPr="00101A66">
              <w:rPr>
                <w:lang w:eastAsia="lv-LV"/>
              </w:rPr>
              <w:t>lokalizācijās</w:t>
            </w:r>
            <w:proofErr w:type="spellEnd"/>
            <w:r w:rsidRPr="00101A66">
              <w:rPr>
                <w:lang w:eastAsia="lv-LV"/>
              </w:rPr>
              <w:t xml:space="preserve">: </w:t>
            </w:r>
          </w:p>
          <w:p w:rsidR="00D2680E" w:rsidRDefault="00D2680E" w:rsidP="00D2680E">
            <w:pPr>
              <w:pStyle w:val="NoSpacing"/>
              <w:numPr>
                <w:ilvl w:val="0"/>
                <w:numId w:val="7"/>
              </w:numPr>
              <w:spacing w:after="120"/>
              <w:jc w:val="both"/>
              <w:rPr>
                <w:u w:val="single"/>
                <w:lang w:eastAsia="lv-LV"/>
              </w:rPr>
            </w:pPr>
            <w:r w:rsidRPr="000C4D2F">
              <w:rPr>
                <w:u w:val="single"/>
                <w:lang w:eastAsia="lv-LV"/>
              </w:rPr>
              <w:t>aizkuņģa dzied</w:t>
            </w:r>
            <w:r>
              <w:rPr>
                <w:u w:val="single"/>
                <w:lang w:eastAsia="lv-LV"/>
              </w:rPr>
              <w:t>z</w:t>
            </w:r>
            <w:r w:rsidRPr="000C4D2F">
              <w:rPr>
                <w:u w:val="single"/>
                <w:lang w:eastAsia="lv-LV"/>
              </w:rPr>
              <w:t>era vēzis</w:t>
            </w:r>
            <w:r>
              <w:rPr>
                <w:u w:val="single"/>
                <w:lang w:eastAsia="lv-LV"/>
              </w:rPr>
              <w:t xml:space="preserve"> 360 pacienti, saskaņā ar </w:t>
            </w:r>
            <w:r w:rsidRPr="000C4D2F">
              <w:rPr>
                <w:u w:val="single"/>
                <w:lang w:eastAsia="lv-LV"/>
              </w:rPr>
              <w:t>Galvenā on</w:t>
            </w:r>
            <w:r>
              <w:rPr>
                <w:u w:val="single"/>
                <w:lang w:eastAsia="lv-LV"/>
              </w:rPr>
              <w:t>koloģijas speciālista ieteiktajiem</w:t>
            </w:r>
            <w:r w:rsidRPr="000C4D2F">
              <w:rPr>
                <w:u w:val="single"/>
                <w:lang w:eastAsia="lv-LV"/>
              </w:rPr>
              <w:t xml:space="preserve"> izmeklējumi</w:t>
            </w:r>
            <w:r>
              <w:rPr>
                <w:u w:val="single"/>
                <w:lang w:eastAsia="lv-LV"/>
              </w:rPr>
              <w:t>em</w:t>
            </w:r>
            <w:r w:rsidRPr="000C4D2F">
              <w:rPr>
                <w:u w:val="single"/>
                <w:lang w:eastAsia="lv-LV"/>
              </w:rPr>
              <w:t xml:space="preserve"> diagnostikai</w:t>
            </w:r>
            <w:r>
              <w:rPr>
                <w:u w:val="single"/>
                <w:lang w:eastAsia="lv-LV"/>
              </w:rPr>
              <w:t xml:space="preserve"> vidēji vienam pacientam 523.55 </w:t>
            </w:r>
            <w:proofErr w:type="spellStart"/>
            <w:r>
              <w:rPr>
                <w:u w:val="single"/>
                <w:lang w:eastAsia="lv-LV"/>
              </w:rPr>
              <w:t>euro</w:t>
            </w:r>
            <w:proofErr w:type="spellEnd"/>
            <w:r w:rsidRPr="00F56522">
              <w:rPr>
                <w:u w:val="single"/>
                <w:lang w:eastAsia="lv-LV"/>
              </w:rPr>
              <w:t xml:space="preserve">, tajā skaitā laboratoriskie izmeklējumi 12.17 </w:t>
            </w:r>
            <w:proofErr w:type="spellStart"/>
            <w:r w:rsidRPr="00F56522">
              <w:rPr>
                <w:u w:val="single"/>
                <w:lang w:eastAsia="lv-LV"/>
              </w:rPr>
              <w:t>euro</w:t>
            </w:r>
            <w:proofErr w:type="spellEnd"/>
            <w:r w:rsidRPr="00F56522">
              <w:rPr>
                <w:u w:val="single"/>
                <w:lang w:eastAsia="lv-LV"/>
              </w:rPr>
              <w:t>. Ietekme uz 2017.gadu 360 pacienti x 523</w:t>
            </w:r>
            <w:r>
              <w:rPr>
                <w:u w:val="single"/>
                <w:lang w:eastAsia="lv-LV"/>
              </w:rPr>
              <w:t xml:space="preserve">.55 </w:t>
            </w:r>
            <w:proofErr w:type="spellStart"/>
            <w:r>
              <w:rPr>
                <w:u w:val="single"/>
                <w:lang w:eastAsia="lv-LV"/>
              </w:rPr>
              <w:t>euro</w:t>
            </w:r>
            <w:proofErr w:type="spellEnd"/>
            <w:r>
              <w:rPr>
                <w:u w:val="single"/>
                <w:lang w:eastAsia="lv-LV"/>
              </w:rPr>
              <w:t xml:space="preserve"> x 30% = 56 543 </w:t>
            </w:r>
            <w:proofErr w:type="spellStart"/>
            <w:r>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sidRPr="00316029">
              <w:rPr>
                <w:u w:val="single"/>
                <w:lang w:eastAsia="lv-LV"/>
              </w:rPr>
              <w:t>bronhu un plaušu vēzis</w:t>
            </w:r>
            <w:r w:rsidRPr="000C4D2F">
              <w:rPr>
                <w:u w:val="single"/>
                <w:lang w:eastAsia="lv-LV"/>
              </w:rPr>
              <w:t xml:space="preserve"> </w:t>
            </w:r>
            <w:r>
              <w:rPr>
                <w:u w:val="single"/>
                <w:lang w:eastAsia="lv-LV"/>
              </w:rPr>
              <w:t xml:space="preserve">1 416 pacienti, saskaņā ar </w:t>
            </w:r>
            <w:r w:rsidRPr="000C4D2F">
              <w:rPr>
                <w:u w:val="single"/>
                <w:lang w:eastAsia="lv-LV"/>
              </w:rPr>
              <w:t>Galvenā on</w:t>
            </w:r>
            <w:r>
              <w:rPr>
                <w:u w:val="single"/>
                <w:lang w:eastAsia="lv-LV"/>
              </w:rPr>
              <w:t>koloģijas speciālista ieteiktajiem</w:t>
            </w:r>
            <w:r w:rsidRPr="000C4D2F">
              <w:rPr>
                <w:u w:val="single"/>
                <w:lang w:eastAsia="lv-LV"/>
              </w:rPr>
              <w:t xml:space="preserve"> </w:t>
            </w:r>
            <w:r w:rsidRPr="00F56522">
              <w:rPr>
                <w:u w:val="single"/>
                <w:lang w:eastAsia="lv-LV"/>
              </w:rPr>
              <w:t xml:space="preserve">izmeklējumiem diagnostikai vidēji vienam pacientam 211.54 </w:t>
            </w:r>
            <w:proofErr w:type="spellStart"/>
            <w:r w:rsidRPr="00F56522">
              <w:rPr>
                <w:u w:val="single"/>
                <w:lang w:eastAsia="lv-LV"/>
              </w:rPr>
              <w:t>euro</w:t>
            </w:r>
            <w:proofErr w:type="spellEnd"/>
            <w:r w:rsidRPr="00F56522">
              <w:rPr>
                <w:u w:val="single"/>
                <w:lang w:eastAsia="lv-LV"/>
              </w:rPr>
              <w:t xml:space="preserve">, tajā skaitā laboratoriskie izmeklējumi 7.57 </w:t>
            </w:r>
            <w:proofErr w:type="spellStart"/>
            <w:r w:rsidRPr="00F56522">
              <w:rPr>
                <w:u w:val="single"/>
                <w:lang w:eastAsia="lv-LV"/>
              </w:rPr>
              <w:t>euro</w:t>
            </w:r>
            <w:proofErr w:type="spellEnd"/>
            <w:r w:rsidRPr="00F56522">
              <w:rPr>
                <w:u w:val="single"/>
                <w:lang w:eastAsia="lv-LV"/>
              </w:rPr>
              <w:t xml:space="preserve">. Ietekme uz 2017.gadu 1 416 pacienti x 211.54 </w:t>
            </w:r>
            <w:proofErr w:type="spellStart"/>
            <w:r w:rsidRPr="00F56522">
              <w:rPr>
                <w:u w:val="single"/>
                <w:lang w:eastAsia="lv-LV"/>
              </w:rPr>
              <w:t>euro</w:t>
            </w:r>
            <w:proofErr w:type="spellEnd"/>
            <w:r w:rsidRPr="00F56522">
              <w:rPr>
                <w:u w:val="single"/>
                <w:lang w:eastAsia="lv-LV"/>
              </w:rPr>
              <w:t xml:space="preserve"> x 30</w:t>
            </w:r>
            <w:r>
              <w:rPr>
                <w:u w:val="single"/>
                <w:lang w:eastAsia="lv-LV"/>
              </w:rPr>
              <w:t xml:space="preserve">% = 89 862 </w:t>
            </w:r>
            <w:proofErr w:type="spellStart"/>
            <w:r>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sidRPr="00316029">
              <w:rPr>
                <w:u w:val="single"/>
                <w:lang w:eastAsia="lv-LV"/>
              </w:rPr>
              <w:t>Citi ļaundabīgie ādas audzēji</w:t>
            </w:r>
            <w:r>
              <w:rPr>
                <w:u w:val="single"/>
                <w:lang w:eastAsia="lv-LV"/>
              </w:rPr>
              <w:t xml:space="preserve"> 3 072 pacienti, saskaņā ar </w:t>
            </w:r>
            <w:r w:rsidRPr="000C4D2F">
              <w:rPr>
                <w:u w:val="single"/>
                <w:lang w:eastAsia="lv-LV"/>
              </w:rPr>
              <w:t xml:space="preserve">Galvenā </w:t>
            </w:r>
            <w:r w:rsidRPr="00F56522">
              <w:rPr>
                <w:u w:val="single"/>
                <w:lang w:eastAsia="lv-LV"/>
              </w:rPr>
              <w:t xml:space="preserve">onkoloģijas speciālista ieteiktajiem izmeklējumiem diagnostikai vidēji vienam pacientam 72.67 </w:t>
            </w:r>
            <w:proofErr w:type="spellStart"/>
            <w:r w:rsidRPr="00F56522">
              <w:rPr>
                <w:u w:val="single"/>
                <w:lang w:eastAsia="lv-LV"/>
              </w:rPr>
              <w:t>euro</w:t>
            </w:r>
            <w:proofErr w:type="spellEnd"/>
            <w:r w:rsidRPr="00F56522">
              <w:rPr>
                <w:u w:val="single"/>
                <w:lang w:eastAsia="lv-LV"/>
              </w:rPr>
              <w:t xml:space="preserve">, tajā skaitā laboratoriskie izmeklējumi 5.31 </w:t>
            </w:r>
            <w:proofErr w:type="spellStart"/>
            <w:r w:rsidRPr="00F56522">
              <w:rPr>
                <w:u w:val="single"/>
                <w:lang w:eastAsia="lv-LV"/>
              </w:rPr>
              <w:t>euro</w:t>
            </w:r>
            <w:proofErr w:type="spellEnd"/>
            <w:r w:rsidRPr="00F56522">
              <w:rPr>
                <w:u w:val="single"/>
                <w:lang w:eastAsia="lv-LV"/>
              </w:rPr>
              <w:t xml:space="preserve">. Ietekme uz 2017.gadu 3 072 pacienti x 72.67  </w:t>
            </w:r>
            <w:proofErr w:type="spellStart"/>
            <w:r w:rsidRPr="00F56522">
              <w:rPr>
                <w:u w:val="single"/>
                <w:lang w:eastAsia="lv-LV"/>
              </w:rPr>
              <w:t>euro</w:t>
            </w:r>
            <w:proofErr w:type="spellEnd"/>
            <w:r w:rsidRPr="00F56522">
              <w:rPr>
                <w:u w:val="single"/>
                <w:lang w:eastAsia="lv-LV"/>
              </w:rPr>
              <w:t xml:space="preserve"> x 30% = 66 973 </w:t>
            </w:r>
            <w:proofErr w:type="spellStart"/>
            <w:r w:rsidRPr="00F56522">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sidRPr="00316029">
              <w:rPr>
                <w:u w:val="single"/>
                <w:lang w:eastAsia="lv-LV"/>
              </w:rPr>
              <w:t xml:space="preserve">Dzemdes ķermeņa </w:t>
            </w:r>
            <w:r>
              <w:rPr>
                <w:u w:val="single"/>
                <w:lang w:eastAsia="lv-LV"/>
              </w:rPr>
              <w:t xml:space="preserve">un dzemdes kakla </w:t>
            </w:r>
            <w:r w:rsidRPr="00316029">
              <w:rPr>
                <w:u w:val="single"/>
                <w:lang w:eastAsia="lv-LV"/>
              </w:rPr>
              <w:t>vēzis</w:t>
            </w:r>
            <w:r>
              <w:rPr>
                <w:u w:val="single"/>
                <w:lang w:eastAsia="lv-LV"/>
              </w:rPr>
              <w:t xml:space="preserve"> 1476 pacienti, saskaņā ar </w:t>
            </w:r>
            <w:r w:rsidRPr="000C4D2F">
              <w:rPr>
                <w:u w:val="single"/>
                <w:lang w:eastAsia="lv-LV"/>
              </w:rPr>
              <w:t>Galvenā on</w:t>
            </w:r>
            <w:r>
              <w:rPr>
                <w:u w:val="single"/>
                <w:lang w:eastAsia="lv-LV"/>
              </w:rPr>
              <w:t>koloģijas speciālista ieteiktajiem</w:t>
            </w:r>
            <w:r w:rsidRPr="000C4D2F">
              <w:rPr>
                <w:u w:val="single"/>
                <w:lang w:eastAsia="lv-LV"/>
              </w:rPr>
              <w:t xml:space="preserve"> </w:t>
            </w:r>
            <w:r w:rsidRPr="00740026">
              <w:rPr>
                <w:u w:val="single"/>
                <w:lang w:eastAsia="lv-LV"/>
              </w:rPr>
              <w:t>izmeklējumiem diagnostika</w:t>
            </w:r>
            <w:r>
              <w:rPr>
                <w:u w:val="single"/>
                <w:lang w:eastAsia="lv-LV"/>
              </w:rPr>
              <w:t>i vidēji vienam pacientam 219.21</w:t>
            </w:r>
            <w:r w:rsidRPr="00740026">
              <w:rPr>
                <w:u w:val="single"/>
                <w:lang w:eastAsia="lv-LV"/>
              </w:rPr>
              <w:t xml:space="preserve"> </w:t>
            </w:r>
            <w:proofErr w:type="spellStart"/>
            <w:r w:rsidRPr="00740026">
              <w:rPr>
                <w:u w:val="single"/>
                <w:lang w:eastAsia="lv-LV"/>
              </w:rPr>
              <w:t>euro</w:t>
            </w:r>
            <w:proofErr w:type="spellEnd"/>
            <w:r w:rsidRPr="00740026">
              <w:rPr>
                <w:u w:val="single"/>
                <w:lang w:eastAsia="lv-LV"/>
              </w:rPr>
              <w:t>, tajā skaitā laboratoriskie izmeklējumi 7.09</w:t>
            </w:r>
            <w:r>
              <w:rPr>
                <w:u w:val="single"/>
                <w:lang w:eastAsia="lv-LV"/>
              </w:rPr>
              <w:t xml:space="preserve"> </w:t>
            </w:r>
            <w:proofErr w:type="spellStart"/>
            <w:r>
              <w:rPr>
                <w:u w:val="single"/>
                <w:lang w:eastAsia="lv-LV"/>
              </w:rPr>
              <w:t>euro</w:t>
            </w:r>
            <w:proofErr w:type="spellEnd"/>
            <w:r>
              <w:rPr>
                <w:u w:val="single"/>
                <w:lang w:eastAsia="lv-LV"/>
              </w:rPr>
              <w:t>. Ietekme uz 2017.gadu 1476</w:t>
            </w:r>
            <w:r w:rsidRPr="00740026">
              <w:rPr>
                <w:u w:val="single"/>
                <w:lang w:eastAsia="lv-LV"/>
              </w:rPr>
              <w:t xml:space="preserve"> pacienti x </w:t>
            </w:r>
            <w:r>
              <w:rPr>
                <w:u w:val="single"/>
                <w:lang w:eastAsia="lv-LV"/>
              </w:rPr>
              <w:t xml:space="preserve">219.21 </w:t>
            </w:r>
            <w:proofErr w:type="spellStart"/>
            <w:r>
              <w:rPr>
                <w:u w:val="single"/>
                <w:lang w:eastAsia="lv-LV"/>
              </w:rPr>
              <w:t>euro</w:t>
            </w:r>
            <w:proofErr w:type="spellEnd"/>
            <w:r>
              <w:rPr>
                <w:u w:val="single"/>
                <w:lang w:eastAsia="lv-LV"/>
              </w:rPr>
              <w:t xml:space="preserve"> x 30% = 97 066</w:t>
            </w:r>
            <w:r w:rsidRPr="00740026">
              <w:rPr>
                <w:u w:val="single"/>
                <w:lang w:eastAsia="lv-LV"/>
              </w:rPr>
              <w:t xml:space="preserve"> </w:t>
            </w:r>
            <w:proofErr w:type="spellStart"/>
            <w:r w:rsidRPr="00740026">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sidRPr="00316029">
              <w:rPr>
                <w:u w:val="single"/>
                <w:lang w:eastAsia="lv-LV"/>
              </w:rPr>
              <w:t>Krūts vēzis</w:t>
            </w:r>
            <w:r>
              <w:rPr>
                <w:u w:val="single"/>
                <w:lang w:eastAsia="lv-LV"/>
              </w:rPr>
              <w:t xml:space="preserve"> 2 790 pacienti, saskaņā ar </w:t>
            </w:r>
            <w:r w:rsidRPr="000C4D2F">
              <w:rPr>
                <w:u w:val="single"/>
                <w:lang w:eastAsia="lv-LV"/>
              </w:rPr>
              <w:t>Galvenā on</w:t>
            </w:r>
            <w:r>
              <w:rPr>
                <w:u w:val="single"/>
                <w:lang w:eastAsia="lv-LV"/>
              </w:rPr>
              <w:t xml:space="preserve">koloģijas speciālista </w:t>
            </w:r>
            <w:r w:rsidRPr="00740026">
              <w:rPr>
                <w:u w:val="single"/>
                <w:lang w:eastAsia="lv-LV"/>
              </w:rPr>
              <w:t xml:space="preserve">ieteiktajiem izmeklējumiem diagnostikai vidēji vienam pacientam 178.89 </w:t>
            </w:r>
            <w:proofErr w:type="spellStart"/>
            <w:r w:rsidRPr="00740026">
              <w:rPr>
                <w:u w:val="single"/>
                <w:lang w:eastAsia="lv-LV"/>
              </w:rPr>
              <w:t>euro</w:t>
            </w:r>
            <w:proofErr w:type="spellEnd"/>
            <w:r w:rsidRPr="00740026">
              <w:rPr>
                <w:u w:val="single"/>
                <w:lang w:eastAsia="lv-LV"/>
              </w:rPr>
              <w:t xml:space="preserve">, laboratoriskie izmeklējumi nav nepieciešami. Ietekme uz 2017.gadu 2790 pacienti x 178.89 </w:t>
            </w:r>
            <w:proofErr w:type="spellStart"/>
            <w:r w:rsidRPr="00740026">
              <w:rPr>
                <w:u w:val="single"/>
                <w:lang w:eastAsia="lv-LV"/>
              </w:rPr>
              <w:t>euro</w:t>
            </w:r>
            <w:proofErr w:type="spellEnd"/>
            <w:r w:rsidRPr="00740026">
              <w:rPr>
                <w:u w:val="single"/>
                <w:lang w:eastAsia="lv-LV"/>
              </w:rPr>
              <w:t xml:space="preserve"> x 30% = 149 731 </w:t>
            </w:r>
            <w:proofErr w:type="spellStart"/>
            <w:r w:rsidRPr="00740026">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proofErr w:type="spellStart"/>
            <w:r>
              <w:rPr>
                <w:u w:val="single"/>
                <w:lang w:eastAsia="lv-LV"/>
              </w:rPr>
              <w:t>Kunģis</w:t>
            </w:r>
            <w:proofErr w:type="spellEnd"/>
            <w:r>
              <w:rPr>
                <w:u w:val="single"/>
                <w:lang w:eastAsia="lv-LV"/>
              </w:rPr>
              <w:t xml:space="preserve"> 789 pacienti, saskaņā ar </w:t>
            </w:r>
            <w:r w:rsidRPr="000C4D2F">
              <w:rPr>
                <w:u w:val="single"/>
                <w:lang w:eastAsia="lv-LV"/>
              </w:rPr>
              <w:t>Galvenā on</w:t>
            </w:r>
            <w:r>
              <w:rPr>
                <w:u w:val="single"/>
                <w:lang w:eastAsia="lv-LV"/>
              </w:rPr>
              <w:t>koloģijas speciālista ieteiktajiem</w:t>
            </w:r>
            <w:r w:rsidRPr="000C4D2F">
              <w:rPr>
                <w:u w:val="single"/>
                <w:lang w:eastAsia="lv-LV"/>
              </w:rPr>
              <w:t xml:space="preserve"> izmeklējumi</w:t>
            </w:r>
            <w:r>
              <w:rPr>
                <w:u w:val="single"/>
                <w:lang w:eastAsia="lv-LV"/>
              </w:rPr>
              <w:t>em</w:t>
            </w:r>
            <w:r w:rsidRPr="000C4D2F">
              <w:rPr>
                <w:u w:val="single"/>
                <w:lang w:eastAsia="lv-LV"/>
              </w:rPr>
              <w:t xml:space="preserve"> diagnostikai</w:t>
            </w:r>
            <w:r>
              <w:rPr>
                <w:u w:val="single"/>
                <w:lang w:eastAsia="lv-LV"/>
              </w:rPr>
              <w:t xml:space="preserve"> vidēji vienam pacientam 225.81 </w:t>
            </w:r>
            <w:proofErr w:type="spellStart"/>
            <w:r>
              <w:rPr>
                <w:u w:val="single"/>
                <w:lang w:eastAsia="lv-LV"/>
              </w:rPr>
              <w:t>euro</w:t>
            </w:r>
            <w:proofErr w:type="spellEnd"/>
            <w:r>
              <w:rPr>
                <w:u w:val="single"/>
                <w:lang w:eastAsia="lv-LV"/>
              </w:rPr>
              <w:t xml:space="preserve">, </w:t>
            </w:r>
            <w:r w:rsidRPr="00740026">
              <w:rPr>
                <w:u w:val="single"/>
                <w:lang w:eastAsia="lv-LV"/>
              </w:rPr>
              <w:t xml:space="preserve">tajā skaitā laboratoriskie izmeklējumi 13.52 </w:t>
            </w:r>
            <w:proofErr w:type="spellStart"/>
            <w:r w:rsidRPr="00740026">
              <w:rPr>
                <w:u w:val="single"/>
                <w:lang w:eastAsia="lv-LV"/>
              </w:rPr>
              <w:t>euro</w:t>
            </w:r>
            <w:proofErr w:type="spellEnd"/>
            <w:r w:rsidRPr="00740026">
              <w:rPr>
                <w:u w:val="single"/>
                <w:lang w:eastAsia="lv-LV"/>
              </w:rPr>
              <w:t>.</w:t>
            </w:r>
            <w:r>
              <w:rPr>
                <w:u w:val="single"/>
                <w:lang w:eastAsia="lv-LV"/>
              </w:rPr>
              <w:t xml:space="preserve"> Ietekme uz 2017.gadu 789 pacienti x 225.81 </w:t>
            </w:r>
            <w:proofErr w:type="spellStart"/>
            <w:r>
              <w:rPr>
                <w:u w:val="single"/>
                <w:lang w:eastAsia="lv-LV"/>
              </w:rPr>
              <w:t>euro</w:t>
            </w:r>
            <w:proofErr w:type="spellEnd"/>
            <w:r>
              <w:rPr>
                <w:u w:val="single"/>
                <w:lang w:eastAsia="lv-LV"/>
              </w:rPr>
              <w:t xml:space="preserve"> x 30% = 53 449 </w:t>
            </w:r>
            <w:proofErr w:type="spellStart"/>
            <w:r>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Pr>
                <w:u w:val="single"/>
                <w:lang w:eastAsia="lv-LV"/>
              </w:rPr>
              <w:t xml:space="preserve">Nieru vēzis 924 pacienti, saskaņā ar </w:t>
            </w:r>
            <w:r w:rsidRPr="000C4D2F">
              <w:rPr>
                <w:u w:val="single"/>
                <w:lang w:eastAsia="lv-LV"/>
              </w:rPr>
              <w:t>Galvenā on</w:t>
            </w:r>
            <w:r>
              <w:rPr>
                <w:u w:val="single"/>
                <w:lang w:eastAsia="lv-LV"/>
              </w:rPr>
              <w:t xml:space="preserve">koloģijas speciālista </w:t>
            </w:r>
            <w:r w:rsidRPr="00740026">
              <w:rPr>
                <w:u w:val="single"/>
                <w:lang w:eastAsia="lv-LV"/>
              </w:rPr>
              <w:t xml:space="preserve">ieteiktajiem izmeklējumiem diagnostikai vidēji vienam pacientam 518.54 </w:t>
            </w:r>
            <w:proofErr w:type="spellStart"/>
            <w:r w:rsidRPr="00740026">
              <w:rPr>
                <w:u w:val="single"/>
                <w:lang w:eastAsia="lv-LV"/>
              </w:rPr>
              <w:lastRenderedPageBreak/>
              <w:t>euro</w:t>
            </w:r>
            <w:proofErr w:type="spellEnd"/>
            <w:r w:rsidRPr="00740026">
              <w:rPr>
                <w:u w:val="single"/>
                <w:lang w:eastAsia="lv-LV"/>
              </w:rPr>
              <w:t xml:space="preserve">, tajā skaitā laboratoriskie izmeklējumi 8.43 </w:t>
            </w:r>
            <w:proofErr w:type="spellStart"/>
            <w:r w:rsidRPr="00740026">
              <w:rPr>
                <w:u w:val="single"/>
                <w:lang w:eastAsia="lv-LV"/>
              </w:rPr>
              <w:t>euro</w:t>
            </w:r>
            <w:proofErr w:type="spellEnd"/>
            <w:r w:rsidRPr="00740026">
              <w:rPr>
                <w:u w:val="single"/>
                <w:lang w:eastAsia="lv-LV"/>
              </w:rPr>
              <w:t xml:space="preserve">. Ietekme uz 2017.gadu 924 pacienti x 518.54 </w:t>
            </w:r>
            <w:proofErr w:type="spellStart"/>
            <w:r w:rsidRPr="00740026">
              <w:rPr>
                <w:u w:val="single"/>
                <w:lang w:eastAsia="lv-LV"/>
              </w:rPr>
              <w:t>euro</w:t>
            </w:r>
            <w:proofErr w:type="spellEnd"/>
            <w:r w:rsidRPr="00740026">
              <w:rPr>
                <w:u w:val="single"/>
                <w:lang w:eastAsia="lv-LV"/>
              </w:rPr>
              <w:t xml:space="preserve"> x 30% = 143 739 </w:t>
            </w:r>
            <w:proofErr w:type="spellStart"/>
            <w:r w:rsidRPr="00740026">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Pr>
                <w:u w:val="single"/>
                <w:lang w:eastAsia="lv-LV"/>
              </w:rPr>
              <w:t xml:space="preserve">Olnīcu vēzis 591 pacients, saskaņā ar </w:t>
            </w:r>
            <w:r w:rsidRPr="000C4D2F">
              <w:rPr>
                <w:u w:val="single"/>
                <w:lang w:eastAsia="lv-LV"/>
              </w:rPr>
              <w:t>Galvenā on</w:t>
            </w:r>
            <w:r>
              <w:rPr>
                <w:u w:val="single"/>
                <w:lang w:eastAsia="lv-LV"/>
              </w:rPr>
              <w:t xml:space="preserve">koloģijas speciālista </w:t>
            </w:r>
            <w:r w:rsidRPr="00740026">
              <w:rPr>
                <w:u w:val="single"/>
                <w:lang w:eastAsia="lv-LV"/>
              </w:rPr>
              <w:t xml:space="preserve">ieteiktajiem izmeklējumiem diagnostikai vidēji vienam pacientam 338.08 </w:t>
            </w:r>
            <w:proofErr w:type="spellStart"/>
            <w:r w:rsidRPr="00740026">
              <w:rPr>
                <w:u w:val="single"/>
                <w:lang w:eastAsia="lv-LV"/>
              </w:rPr>
              <w:t>euro</w:t>
            </w:r>
            <w:proofErr w:type="spellEnd"/>
            <w:r w:rsidRPr="00740026">
              <w:rPr>
                <w:u w:val="single"/>
                <w:lang w:eastAsia="lv-LV"/>
              </w:rPr>
              <w:t xml:space="preserve">, tajā skaitā laboratoriskie izmeklējumi 14.31 </w:t>
            </w:r>
            <w:proofErr w:type="spellStart"/>
            <w:r w:rsidRPr="00740026">
              <w:rPr>
                <w:u w:val="single"/>
                <w:lang w:eastAsia="lv-LV"/>
              </w:rPr>
              <w:t>euro</w:t>
            </w:r>
            <w:proofErr w:type="spellEnd"/>
            <w:r w:rsidRPr="00740026">
              <w:rPr>
                <w:u w:val="single"/>
                <w:lang w:eastAsia="lv-LV"/>
              </w:rPr>
              <w:t>.</w:t>
            </w:r>
            <w:r>
              <w:rPr>
                <w:u w:val="single"/>
                <w:lang w:eastAsia="lv-LV"/>
              </w:rPr>
              <w:t xml:space="preserve"> Ietekme uz 2017.gadu 591 pacients x 338.08 </w:t>
            </w:r>
            <w:proofErr w:type="spellStart"/>
            <w:r>
              <w:rPr>
                <w:u w:val="single"/>
                <w:lang w:eastAsia="lv-LV"/>
              </w:rPr>
              <w:t>euro</w:t>
            </w:r>
            <w:proofErr w:type="spellEnd"/>
            <w:r>
              <w:rPr>
                <w:u w:val="single"/>
                <w:lang w:eastAsia="lv-LV"/>
              </w:rPr>
              <w:t xml:space="preserve"> x 30% = 59 942 </w:t>
            </w:r>
            <w:proofErr w:type="spellStart"/>
            <w:r>
              <w:rPr>
                <w:u w:val="single"/>
                <w:lang w:eastAsia="lv-LV"/>
              </w:rPr>
              <w:t>euro</w:t>
            </w:r>
            <w:proofErr w:type="spellEnd"/>
          </w:p>
          <w:p w:rsidR="00D2680E" w:rsidRDefault="00D2680E" w:rsidP="00D2680E">
            <w:pPr>
              <w:pStyle w:val="NoSpacing"/>
              <w:numPr>
                <w:ilvl w:val="0"/>
                <w:numId w:val="7"/>
              </w:numPr>
              <w:spacing w:after="120"/>
              <w:jc w:val="both"/>
              <w:rPr>
                <w:u w:val="single"/>
                <w:lang w:eastAsia="lv-LV"/>
              </w:rPr>
            </w:pPr>
            <w:r>
              <w:rPr>
                <w:u w:val="single"/>
                <w:lang w:eastAsia="lv-LV"/>
              </w:rPr>
              <w:t xml:space="preserve"> </w:t>
            </w:r>
            <w:proofErr w:type="spellStart"/>
            <w:r w:rsidRPr="00C1586B">
              <w:rPr>
                <w:u w:val="single"/>
                <w:lang w:eastAsia="lv-LV"/>
              </w:rPr>
              <w:t>Prostatas</w:t>
            </w:r>
            <w:proofErr w:type="spellEnd"/>
            <w:r w:rsidRPr="00C1586B">
              <w:rPr>
                <w:u w:val="single"/>
                <w:lang w:eastAsia="lv-LV"/>
              </w:rPr>
              <w:t xml:space="preserve"> vēzis</w:t>
            </w:r>
            <w:r>
              <w:rPr>
                <w:u w:val="single"/>
                <w:lang w:eastAsia="lv-LV"/>
              </w:rPr>
              <w:t xml:space="preserve">  2 601 pacients, saskaņā ar </w:t>
            </w:r>
            <w:r w:rsidRPr="000C4D2F">
              <w:rPr>
                <w:u w:val="single"/>
                <w:lang w:eastAsia="lv-LV"/>
              </w:rPr>
              <w:t>Galvenā on</w:t>
            </w:r>
            <w:r>
              <w:rPr>
                <w:u w:val="single"/>
                <w:lang w:eastAsia="lv-LV"/>
              </w:rPr>
              <w:t>koloģijas speciālista ieteiktajiem</w:t>
            </w:r>
            <w:r w:rsidRPr="000C4D2F">
              <w:rPr>
                <w:u w:val="single"/>
                <w:lang w:eastAsia="lv-LV"/>
              </w:rPr>
              <w:t xml:space="preserve"> izmeklējumi</w:t>
            </w:r>
            <w:r>
              <w:rPr>
                <w:u w:val="single"/>
                <w:lang w:eastAsia="lv-LV"/>
              </w:rPr>
              <w:t>em</w:t>
            </w:r>
            <w:r w:rsidRPr="000C4D2F">
              <w:rPr>
                <w:u w:val="single"/>
                <w:lang w:eastAsia="lv-LV"/>
              </w:rPr>
              <w:t xml:space="preserve"> diagnostikai</w:t>
            </w:r>
            <w:r>
              <w:rPr>
                <w:u w:val="single"/>
                <w:lang w:eastAsia="lv-LV"/>
              </w:rPr>
              <w:t xml:space="preserve"> vidēji vienam pacientam 233.90 </w:t>
            </w:r>
            <w:proofErr w:type="spellStart"/>
            <w:r w:rsidRPr="00740026">
              <w:rPr>
                <w:u w:val="single"/>
                <w:lang w:eastAsia="lv-LV"/>
              </w:rPr>
              <w:t>euro</w:t>
            </w:r>
            <w:proofErr w:type="spellEnd"/>
            <w:r w:rsidRPr="00740026">
              <w:rPr>
                <w:u w:val="single"/>
                <w:lang w:eastAsia="lv-LV"/>
              </w:rPr>
              <w:t xml:space="preserve">, tajā skaitā laboratoriskie izmeklējumi 4.88 </w:t>
            </w:r>
            <w:proofErr w:type="spellStart"/>
            <w:r w:rsidRPr="00740026">
              <w:rPr>
                <w:u w:val="single"/>
                <w:lang w:eastAsia="lv-LV"/>
              </w:rPr>
              <w:t>euro</w:t>
            </w:r>
            <w:proofErr w:type="spellEnd"/>
            <w:r w:rsidRPr="00740026">
              <w:rPr>
                <w:u w:val="single"/>
                <w:lang w:eastAsia="lv-LV"/>
              </w:rPr>
              <w:t>. Ietekme uz 2017.gadu 2 601 pacients x 233.90</w:t>
            </w:r>
            <w:r>
              <w:rPr>
                <w:u w:val="single"/>
                <w:lang w:eastAsia="lv-LV"/>
              </w:rPr>
              <w:t xml:space="preserve"> </w:t>
            </w:r>
            <w:proofErr w:type="spellStart"/>
            <w:r>
              <w:rPr>
                <w:u w:val="single"/>
                <w:lang w:eastAsia="lv-LV"/>
              </w:rPr>
              <w:t>euro</w:t>
            </w:r>
            <w:proofErr w:type="spellEnd"/>
            <w:r>
              <w:rPr>
                <w:u w:val="single"/>
                <w:lang w:eastAsia="lv-LV"/>
              </w:rPr>
              <w:t xml:space="preserve"> x 30% = 182 512 </w:t>
            </w:r>
            <w:proofErr w:type="spellStart"/>
            <w:r>
              <w:rPr>
                <w:u w:val="single"/>
                <w:lang w:eastAsia="lv-LV"/>
              </w:rPr>
              <w:t>euro</w:t>
            </w:r>
            <w:proofErr w:type="spellEnd"/>
            <w:r>
              <w:rPr>
                <w:u w:val="single"/>
                <w:lang w:eastAsia="lv-LV"/>
              </w:rPr>
              <w:t>;</w:t>
            </w:r>
          </w:p>
          <w:p w:rsidR="00D2680E" w:rsidRPr="00740026" w:rsidRDefault="00D2680E" w:rsidP="00D2680E">
            <w:pPr>
              <w:pStyle w:val="NoSpacing"/>
              <w:numPr>
                <w:ilvl w:val="0"/>
                <w:numId w:val="7"/>
              </w:numPr>
              <w:spacing w:after="120"/>
              <w:jc w:val="both"/>
              <w:rPr>
                <w:u w:val="single"/>
                <w:lang w:eastAsia="lv-LV"/>
              </w:rPr>
            </w:pPr>
            <w:r>
              <w:rPr>
                <w:u w:val="single"/>
                <w:lang w:eastAsia="lv-LV"/>
              </w:rPr>
              <w:t>R</w:t>
            </w:r>
            <w:r w:rsidRPr="00C1586B">
              <w:rPr>
                <w:u w:val="single"/>
                <w:lang w:eastAsia="lv-LV"/>
              </w:rPr>
              <w:t>esnās zarnas vēzis</w:t>
            </w:r>
            <w:r>
              <w:rPr>
                <w:u w:val="single"/>
                <w:lang w:eastAsia="lv-LV"/>
              </w:rPr>
              <w:t xml:space="preserve">  1 191 pacients, saskaņā ar </w:t>
            </w:r>
            <w:r w:rsidRPr="000C4D2F">
              <w:rPr>
                <w:u w:val="single"/>
                <w:lang w:eastAsia="lv-LV"/>
              </w:rPr>
              <w:t>Galvenā on</w:t>
            </w:r>
            <w:r>
              <w:rPr>
                <w:u w:val="single"/>
                <w:lang w:eastAsia="lv-LV"/>
              </w:rPr>
              <w:t>koloģijas speciālista ieteiktajiem</w:t>
            </w:r>
            <w:r w:rsidRPr="000C4D2F">
              <w:rPr>
                <w:u w:val="single"/>
                <w:lang w:eastAsia="lv-LV"/>
              </w:rPr>
              <w:t xml:space="preserve"> izmeklējumi</w:t>
            </w:r>
            <w:r>
              <w:rPr>
                <w:u w:val="single"/>
                <w:lang w:eastAsia="lv-LV"/>
              </w:rPr>
              <w:t>em</w:t>
            </w:r>
            <w:r w:rsidRPr="000C4D2F">
              <w:rPr>
                <w:u w:val="single"/>
                <w:lang w:eastAsia="lv-LV"/>
              </w:rPr>
              <w:t xml:space="preserve"> diagnostikai</w:t>
            </w:r>
            <w:r>
              <w:rPr>
                <w:u w:val="single"/>
                <w:lang w:eastAsia="lv-LV"/>
              </w:rPr>
              <w:t xml:space="preserve"> vidēji vienam pacientam 328.91 </w:t>
            </w:r>
            <w:proofErr w:type="spellStart"/>
            <w:r w:rsidRPr="00740026">
              <w:rPr>
                <w:u w:val="single"/>
                <w:lang w:eastAsia="lv-LV"/>
              </w:rPr>
              <w:t>euro</w:t>
            </w:r>
            <w:proofErr w:type="spellEnd"/>
            <w:r w:rsidRPr="00740026">
              <w:rPr>
                <w:u w:val="single"/>
                <w:lang w:eastAsia="lv-LV"/>
              </w:rPr>
              <w:t xml:space="preserve">, tajā skaitā laboratoriskie izmeklējumi 14.52 </w:t>
            </w:r>
            <w:proofErr w:type="spellStart"/>
            <w:r w:rsidRPr="00740026">
              <w:rPr>
                <w:u w:val="single"/>
                <w:lang w:eastAsia="lv-LV"/>
              </w:rPr>
              <w:t>euro</w:t>
            </w:r>
            <w:proofErr w:type="spellEnd"/>
            <w:r w:rsidRPr="00740026">
              <w:rPr>
                <w:u w:val="single"/>
                <w:lang w:eastAsia="lv-LV"/>
              </w:rPr>
              <w:t xml:space="preserve">. Ietekme uz 2017.gadu 1 191 pacients x 328.91 </w:t>
            </w:r>
            <w:proofErr w:type="spellStart"/>
            <w:r w:rsidRPr="00740026">
              <w:rPr>
                <w:u w:val="single"/>
                <w:lang w:eastAsia="lv-LV"/>
              </w:rPr>
              <w:t>euro</w:t>
            </w:r>
            <w:proofErr w:type="spellEnd"/>
            <w:r w:rsidRPr="00740026">
              <w:rPr>
                <w:u w:val="single"/>
                <w:lang w:eastAsia="lv-LV"/>
              </w:rPr>
              <w:t xml:space="preserve"> x 30% = 117 520 </w:t>
            </w:r>
            <w:proofErr w:type="spellStart"/>
            <w:r w:rsidRPr="00740026">
              <w:rPr>
                <w:u w:val="single"/>
                <w:lang w:eastAsia="lv-LV"/>
              </w:rPr>
              <w:t>euro</w:t>
            </w:r>
            <w:proofErr w:type="spellEnd"/>
            <w:r w:rsidRPr="00740026">
              <w:rPr>
                <w:u w:val="single"/>
                <w:lang w:eastAsia="lv-LV"/>
              </w:rPr>
              <w:t>;</w:t>
            </w:r>
          </w:p>
          <w:p w:rsidR="00D2680E" w:rsidRPr="00740026" w:rsidRDefault="00D2680E" w:rsidP="00D2680E">
            <w:pPr>
              <w:pStyle w:val="NoSpacing"/>
              <w:numPr>
                <w:ilvl w:val="0"/>
                <w:numId w:val="7"/>
              </w:numPr>
              <w:spacing w:after="120"/>
              <w:jc w:val="both"/>
              <w:rPr>
                <w:u w:val="single"/>
                <w:lang w:eastAsia="lv-LV"/>
              </w:rPr>
            </w:pPr>
            <w:proofErr w:type="spellStart"/>
            <w:r w:rsidRPr="00740026">
              <w:rPr>
                <w:u w:val="single"/>
                <w:lang w:eastAsia="lv-LV"/>
              </w:rPr>
              <w:t>Sigmveida</w:t>
            </w:r>
            <w:proofErr w:type="spellEnd"/>
            <w:r w:rsidRPr="00740026">
              <w:rPr>
                <w:u w:val="single"/>
                <w:lang w:eastAsia="lv-LV"/>
              </w:rPr>
              <w:t xml:space="preserve"> un taisnās zarnas vēzis 1 017 pacienti, saskaņā ar Galvenā onkoloģijas speciālista ieteiktajiem izmeklējumiem diagnostikai vidēji vienam pacientam 328.91 </w:t>
            </w:r>
            <w:proofErr w:type="spellStart"/>
            <w:r w:rsidRPr="00740026">
              <w:rPr>
                <w:u w:val="single"/>
                <w:lang w:eastAsia="lv-LV"/>
              </w:rPr>
              <w:t>euro</w:t>
            </w:r>
            <w:proofErr w:type="spellEnd"/>
            <w:r w:rsidRPr="00740026">
              <w:rPr>
                <w:u w:val="single"/>
                <w:lang w:eastAsia="lv-LV"/>
              </w:rPr>
              <w:t xml:space="preserve">, tajā skaitā laboratoriskie izmeklējumi 14.52 </w:t>
            </w:r>
            <w:proofErr w:type="spellStart"/>
            <w:r w:rsidRPr="00740026">
              <w:rPr>
                <w:u w:val="single"/>
                <w:lang w:eastAsia="lv-LV"/>
              </w:rPr>
              <w:t>euro</w:t>
            </w:r>
            <w:proofErr w:type="spellEnd"/>
            <w:r w:rsidRPr="00740026">
              <w:rPr>
                <w:u w:val="single"/>
                <w:lang w:eastAsia="lv-LV"/>
              </w:rPr>
              <w:t xml:space="preserve">. Ietekme uz 2017.gadu 1 017 pacienti x 328.91 </w:t>
            </w:r>
            <w:proofErr w:type="spellStart"/>
            <w:r w:rsidRPr="00740026">
              <w:rPr>
                <w:u w:val="single"/>
                <w:lang w:eastAsia="lv-LV"/>
              </w:rPr>
              <w:t>euro</w:t>
            </w:r>
            <w:proofErr w:type="spellEnd"/>
            <w:r w:rsidRPr="00740026">
              <w:rPr>
                <w:u w:val="single"/>
                <w:lang w:eastAsia="lv-LV"/>
              </w:rPr>
              <w:t xml:space="preserve"> x 30% =  100 350 </w:t>
            </w:r>
            <w:proofErr w:type="spellStart"/>
            <w:r w:rsidRPr="00740026">
              <w:rPr>
                <w:u w:val="single"/>
                <w:lang w:eastAsia="lv-LV"/>
              </w:rPr>
              <w:t>euro</w:t>
            </w:r>
            <w:proofErr w:type="spellEnd"/>
            <w:r w:rsidRPr="00740026">
              <w:rPr>
                <w:u w:val="single"/>
                <w:lang w:eastAsia="lv-LV"/>
              </w:rPr>
              <w:t>;</w:t>
            </w:r>
          </w:p>
          <w:p w:rsidR="00D2680E" w:rsidRDefault="00D2680E" w:rsidP="00D2680E">
            <w:pPr>
              <w:pStyle w:val="NoSpacing"/>
              <w:numPr>
                <w:ilvl w:val="0"/>
                <w:numId w:val="7"/>
              </w:numPr>
              <w:spacing w:after="120"/>
              <w:jc w:val="both"/>
              <w:rPr>
                <w:u w:val="single"/>
                <w:lang w:eastAsia="lv-LV"/>
              </w:rPr>
            </w:pPr>
            <w:r>
              <w:rPr>
                <w:u w:val="single"/>
                <w:lang w:eastAsia="lv-LV"/>
              </w:rPr>
              <w:t>T</w:t>
            </w:r>
            <w:r w:rsidRPr="00C1586B">
              <w:rPr>
                <w:u w:val="single"/>
                <w:lang w:eastAsia="lv-LV"/>
              </w:rPr>
              <w:t>ūpļa vēzis</w:t>
            </w:r>
            <w:r>
              <w:rPr>
                <w:u w:val="single"/>
                <w:lang w:eastAsia="lv-LV"/>
              </w:rPr>
              <w:t xml:space="preserve"> 30 pacienti, saskaņā ar </w:t>
            </w:r>
            <w:r w:rsidRPr="000C4D2F">
              <w:rPr>
                <w:u w:val="single"/>
                <w:lang w:eastAsia="lv-LV"/>
              </w:rPr>
              <w:t>Galvenā on</w:t>
            </w:r>
            <w:r>
              <w:rPr>
                <w:u w:val="single"/>
                <w:lang w:eastAsia="lv-LV"/>
              </w:rPr>
              <w:t xml:space="preserve">koloģijas speciālista </w:t>
            </w:r>
            <w:r w:rsidRPr="00740026">
              <w:rPr>
                <w:u w:val="single"/>
                <w:lang w:eastAsia="lv-LV"/>
              </w:rPr>
              <w:t xml:space="preserve">ieteiktajiem izmeklējumiem diagnostikai vidēji vienam pacientam 256.84 </w:t>
            </w:r>
            <w:proofErr w:type="spellStart"/>
            <w:r w:rsidRPr="00740026">
              <w:rPr>
                <w:u w:val="single"/>
                <w:lang w:eastAsia="lv-LV"/>
              </w:rPr>
              <w:t>euro</w:t>
            </w:r>
            <w:proofErr w:type="spellEnd"/>
            <w:r w:rsidRPr="00740026">
              <w:rPr>
                <w:u w:val="single"/>
                <w:lang w:eastAsia="lv-LV"/>
              </w:rPr>
              <w:t xml:space="preserve">, tajā skaitā laboratoriskie izmeklējumi 14.52 </w:t>
            </w:r>
            <w:proofErr w:type="spellStart"/>
            <w:r w:rsidRPr="00740026">
              <w:rPr>
                <w:u w:val="single"/>
                <w:lang w:eastAsia="lv-LV"/>
              </w:rPr>
              <w:t>euro</w:t>
            </w:r>
            <w:proofErr w:type="spellEnd"/>
            <w:r w:rsidRPr="00740026">
              <w:rPr>
                <w:u w:val="single"/>
                <w:lang w:eastAsia="lv-LV"/>
              </w:rPr>
              <w:t xml:space="preserve">. Ietekme uz 2017.gadu 30 pacienti x 256.84 </w:t>
            </w:r>
            <w:proofErr w:type="spellStart"/>
            <w:r w:rsidRPr="00740026">
              <w:rPr>
                <w:u w:val="single"/>
                <w:lang w:eastAsia="lv-LV"/>
              </w:rPr>
              <w:t>euro</w:t>
            </w:r>
            <w:proofErr w:type="spellEnd"/>
            <w:r w:rsidRPr="00740026">
              <w:rPr>
                <w:u w:val="single"/>
                <w:lang w:eastAsia="lv-LV"/>
              </w:rPr>
              <w:t xml:space="preserve"> x 30% =  </w:t>
            </w:r>
            <w:r>
              <w:rPr>
                <w:u w:val="single"/>
                <w:lang w:eastAsia="lv-LV"/>
              </w:rPr>
              <w:t>2 311</w:t>
            </w:r>
            <w:r w:rsidRPr="00740026">
              <w:rPr>
                <w:u w:val="single"/>
                <w:lang w:eastAsia="lv-LV"/>
              </w:rPr>
              <w:t xml:space="preserve"> </w:t>
            </w:r>
            <w:proofErr w:type="spellStart"/>
            <w:r w:rsidRPr="00740026">
              <w:rPr>
                <w:u w:val="single"/>
                <w:lang w:eastAsia="lv-LV"/>
              </w:rPr>
              <w:t>euro</w:t>
            </w:r>
            <w:proofErr w:type="spellEnd"/>
            <w:r w:rsidRPr="00740026">
              <w:rPr>
                <w:u w:val="single"/>
                <w:lang w:eastAsia="lv-LV"/>
              </w:rPr>
              <w:t>;</w:t>
            </w:r>
          </w:p>
          <w:p w:rsidR="00D2680E" w:rsidRDefault="00D2680E" w:rsidP="00D2680E">
            <w:pPr>
              <w:pStyle w:val="NoSpacing"/>
              <w:numPr>
                <w:ilvl w:val="0"/>
                <w:numId w:val="7"/>
              </w:numPr>
              <w:spacing w:after="120"/>
              <w:jc w:val="both"/>
              <w:rPr>
                <w:u w:val="single"/>
                <w:lang w:eastAsia="lv-LV"/>
              </w:rPr>
            </w:pPr>
            <w:proofErr w:type="spellStart"/>
            <w:r w:rsidRPr="00F56522">
              <w:rPr>
                <w:u w:val="single"/>
                <w:lang w:eastAsia="lv-LV"/>
              </w:rPr>
              <w:t>Urīnpušļa</w:t>
            </w:r>
            <w:proofErr w:type="spellEnd"/>
            <w:r w:rsidRPr="00F56522">
              <w:rPr>
                <w:u w:val="single"/>
                <w:lang w:eastAsia="lv-LV"/>
              </w:rPr>
              <w:t xml:space="preserve"> vēzis</w:t>
            </w:r>
            <w:r>
              <w:rPr>
                <w:u w:val="single"/>
                <w:lang w:eastAsia="lv-LV"/>
              </w:rPr>
              <w:t xml:space="preserve"> 999 pacienti, saskaņā ar </w:t>
            </w:r>
            <w:r w:rsidRPr="000C4D2F">
              <w:rPr>
                <w:u w:val="single"/>
                <w:lang w:eastAsia="lv-LV"/>
              </w:rPr>
              <w:t>Galvenā on</w:t>
            </w:r>
            <w:r>
              <w:rPr>
                <w:u w:val="single"/>
                <w:lang w:eastAsia="lv-LV"/>
              </w:rPr>
              <w:t xml:space="preserve">koloģijas speciālista </w:t>
            </w:r>
            <w:r w:rsidRPr="00740026">
              <w:rPr>
                <w:u w:val="single"/>
                <w:lang w:eastAsia="lv-LV"/>
              </w:rPr>
              <w:t xml:space="preserve">ieteiktajiem izmeklējumiem diagnostikai vidēji vienam pacientam 532.81 </w:t>
            </w:r>
            <w:proofErr w:type="spellStart"/>
            <w:r w:rsidRPr="00740026">
              <w:rPr>
                <w:u w:val="single"/>
                <w:lang w:eastAsia="lv-LV"/>
              </w:rPr>
              <w:t>euro</w:t>
            </w:r>
            <w:proofErr w:type="spellEnd"/>
            <w:r w:rsidRPr="00740026">
              <w:rPr>
                <w:u w:val="single"/>
                <w:lang w:eastAsia="lv-LV"/>
              </w:rPr>
              <w:t xml:space="preserve">, tajā skaitā laboratoriskie izmeklējumi 16.34 </w:t>
            </w:r>
            <w:proofErr w:type="spellStart"/>
            <w:r w:rsidRPr="00740026">
              <w:rPr>
                <w:u w:val="single"/>
                <w:lang w:eastAsia="lv-LV"/>
              </w:rPr>
              <w:t>euro</w:t>
            </w:r>
            <w:proofErr w:type="spellEnd"/>
            <w:r w:rsidRPr="00740026">
              <w:rPr>
                <w:u w:val="single"/>
                <w:lang w:eastAsia="lv-LV"/>
              </w:rPr>
              <w:t>. Ietekme uz 2017.gadu 999 pacient</w:t>
            </w:r>
            <w:r>
              <w:rPr>
                <w:u w:val="single"/>
                <w:lang w:eastAsia="lv-LV"/>
              </w:rPr>
              <w:t xml:space="preserve">i x 532.81 </w:t>
            </w:r>
            <w:proofErr w:type="spellStart"/>
            <w:r>
              <w:rPr>
                <w:u w:val="single"/>
                <w:lang w:eastAsia="lv-LV"/>
              </w:rPr>
              <w:t>euro</w:t>
            </w:r>
            <w:proofErr w:type="spellEnd"/>
            <w:r>
              <w:rPr>
                <w:u w:val="single"/>
                <w:lang w:eastAsia="lv-LV"/>
              </w:rPr>
              <w:t xml:space="preserve"> x 30% =  159 682</w:t>
            </w:r>
            <w:r w:rsidRPr="00740026">
              <w:rPr>
                <w:u w:val="single"/>
                <w:lang w:eastAsia="lv-LV"/>
              </w:rPr>
              <w:t xml:space="preserve"> </w:t>
            </w:r>
            <w:proofErr w:type="spellStart"/>
            <w:r w:rsidRPr="00740026">
              <w:rPr>
                <w:u w:val="single"/>
                <w:lang w:eastAsia="lv-LV"/>
              </w:rPr>
              <w:t>euro</w:t>
            </w:r>
            <w:proofErr w:type="spellEnd"/>
            <w:r w:rsidRPr="00740026">
              <w:rPr>
                <w:u w:val="single"/>
                <w:lang w:eastAsia="lv-LV"/>
              </w:rPr>
              <w:t>;</w:t>
            </w:r>
          </w:p>
          <w:p w:rsidR="00D2680E" w:rsidRDefault="00D2680E" w:rsidP="00D2680E">
            <w:pPr>
              <w:pStyle w:val="NoSpacing"/>
              <w:numPr>
                <w:ilvl w:val="0"/>
                <w:numId w:val="7"/>
              </w:numPr>
              <w:spacing w:after="120"/>
              <w:jc w:val="both"/>
              <w:rPr>
                <w:u w:val="single"/>
                <w:lang w:eastAsia="lv-LV"/>
              </w:rPr>
            </w:pPr>
            <w:r>
              <w:rPr>
                <w:u w:val="single"/>
                <w:lang w:eastAsia="lv-LV"/>
              </w:rPr>
              <w:t xml:space="preserve">Pārējie, tajā skaitā </w:t>
            </w:r>
            <w:r w:rsidRPr="00F56522">
              <w:rPr>
                <w:u w:val="single"/>
                <w:lang w:eastAsia="lv-LV"/>
              </w:rPr>
              <w:t xml:space="preserve">vairogdziedzera vēzis, ādas </w:t>
            </w:r>
            <w:proofErr w:type="spellStart"/>
            <w:r w:rsidRPr="00F56522">
              <w:rPr>
                <w:u w:val="single"/>
                <w:lang w:eastAsia="lv-LV"/>
              </w:rPr>
              <w:t>melanoma</w:t>
            </w:r>
            <w:proofErr w:type="spellEnd"/>
            <w:r w:rsidRPr="00F56522">
              <w:rPr>
                <w:u w:val="single"/>
                <w:lang w:eastAsia="lv-LV"/>
              </w:rPr>
              <w:t>, u.c.</w:t>
            </w:r>
            <w:r>
              <w:rPr>
                <w:u w:val="single"/>
                <w:lang w:eastAsia="lv-LV"/>
              </w:rPr>
              <w:t xml:space="preserve"> 4 744 pacienti </w:t>
            </w:r>
            <w:r w:rsidRPr="00740026">
              <w:rPr>
                <w:u w:val="single"/>
                <w:lang w:eastAsia="lv-LV"/>
              </w:rPr>
              <w:t xml:space="preserve">saskaņā ar vidējiem Galvenā onkoloģijas speciālista ieteiktajiem izmeklējumiem diagnostikai vidēji vienam pacientam 154,46 </w:t>
            </w:r>
            <w:proofErr w:type="spellStart"/>
            <w:r w:rsidRPr="00740026">
              <w:rPr>
                <w:u w:val="single"/>
                <w:lang w:eastAsia="lv-LV"/>
              </w:rPr>
              <w:t>euro</w:t>
            </w:r>
            <w:proofErr w:type="spellEnd"/>
            <w:r w:rsidRPr="00740026">
              <w:rPr>
                <w:u w:val="single"/>
                <w:lang w:eastAsia="lv-LV"/>
              </w:rPr>
              <w:t xml:space="preserve">, tajā skaitā laboratoriskie izmeklējumi 10.24 </w:t>
            </w:r>
            <w:proofErr w:type="spellStart"/>
            <w:r w:rsidRPr="00740026">
              <w:rPr>
                <w:u w:val="single"/>
                <w:lang w:eastAsia="lv-LV"/>
              </w:rPr>
              <w:t>euro</w:t>
            </w:r>
            <w:proofErr w:type="spellEnd"/>
            <w:r w:rsidRPr="00740026">
              <w:rPr>
                <w:u w:val="single"/>
                <w:lang w:eastAsia="lv-LV"/>
              </w:rPr>
              <w:t xml:space="preserve">. Ietekme uz 2017.gadu  4 744 pacienti x 154.46 </w:t>
            </w:r>
            <w:proofErr w:type="spellStart"/>
            <w:r w:rsidRPr="00740026">
              <w:rPr>
                <w:u w:val="single"/>
                <w:lang w:eastAsia="lv-LV"/>
              </w:rPr>
              <w:t>euro</w:t>
            </w:r>
            <w:proofErr w:type="spellEnd"/>
            <w:r w:rsidRPr="00740026">
              <w:rPr>
                <w:u w:val="single"/>
                <w:lang w:eastAsia="lv-LV"/>
              </w:rPr>
              <w:t xml:space="preserve"> x 30% =  219 826 </w:t>
            </w:r>
            <w:proofErr w:type="spellStart"/>
            <w:r w:rsidRPr="00740026">
              <w:rPr>
                <w:u w:val="single"/>
                <w:lang w:eastAsia="lv-LV"/>
              </w:rPr>
              <w:t>euro</w:t>
            </w:r>
            <w:proofErr w:type="spellEnd"/>
            <w:r w:rsidRPr="00740026">
              <w:rPr>
                <w:u w:val="single"/>
                <w:lang w:eastAsia="lv-LV"/>
              </w:rPr>
              <w:t>;</w:t>
            </w:r>
          </w:p>
          <w:p w:rsidR="00D2680E" w:rsidRDefault="00D2680E" w:rsidP="00D2680E">
            <w:pPr>
              <w:pStyle w:val="NoSpacing"/>
              <w:spacing w:after="120"/>
              <w:jc w:val="both"/>
              <w:rPr>
                <w:u w:val="single"/>
                <w:lang w:eastAsia="lv-LV"/>
              </w:rPr>
            </w:pPr>
            <w:r>
              <w:rPr>
                <w:u w:val="single"/>
                <w:lang w:eastAsia="lv-LV"/>
              </w:rPr>
              <w:t xml:space="preserve">Papildus plānots speciālistu konsultāciju izmaksu pieaugums, </w:t>
            </w:r>
            <w:r w:rsidRPr="005F46EC">
              <w:rPr>
                <w:u w:val="single"/>
                <w:lang w:eastAsia="lv-LV"/>
              </w:rPr>
              <w:t>kas saistīts ar pacientu plūsmu virzīšanu uz noteiktām ārstniecības iestādēm atbilstoši noteiktiem algoritmiem</w:t>
            </w:r>
            <w:r>
              <w:rPr>
                <w:u w:val="single"/>
                <w:lang w:eastAsia="lv-LV"/>
              </w:rPr>
              <w:t>. Plānots 20 % līdz 60 % p</w:t>
            </w:r>
            <w:r w:rsidRPr="00F91E97">
              <w:rPr>
                <w:u w:val="single"/>
                <w:lang w:eastAsia="lv-LV"/>
              </w:rPr>
              <w:t>ieaugums attiecībā uz audzēju lokalizāciju skaitu, ko speciālisti konsultēs</w:t>
            </w:r>
            <w:r>
              <w:rPr>
                <w:u w:val="single"/>
                <w:lang w:eastAsia="lv-LV"/>
              </w:rPr>
              <w:t xml:space="preserve">. Plānots: </w:t>
            </w:r>
          </w:p>
          <w:p w:rsidR="00D2680E" w:rsidRDefault="00D2680E" w:rsidP="00D2680E">
            <w:pPr>
              <w:pStyle w:val="NoSpacing"/>
              <w:numPr>
                <w:ilvl w:val="0"/>
                <w:numId w:val="7"/>
              </w:numPr>
              <w:spacing w:after="120"/>
              <w:jc w:val="both"/>
              <w:rPr>
                <w:u w:val="single"/>
                <w:lang w:eastAsia="lv-LV"/>
              </w:rPr>
            </w:pPr>
            <w:r>
              <w:rPr>
                <w:u w:val="single"/>
                <w:lang w:eastAsia="lv-LV"/>
              </w:rPr>
              <w:t xml:space="preserve">20 % pieaugums ginekoloģijā. Atbilstoši 2016.gada 1.pusgadā sniegtajam pakalpojumu apjomam, t.i. </w:t>
            </w:r>
            <w:r w:rsidRPr="00F91E97">
              <w:rPr>
                <w:u w:val="single"/>
                <w:lang w:eastAsia="lv-LV"/>
              </w:rPr>
              <w:t>116508.27</w:t>
            </w:r>
            <w:r>
              <w:rPr>
                <w:u w:val="single"/>
                <w:lang w:eastAsia="lv-LV"/>
              </w:rPr>
              <w:t xml:space="preserve"> </w:t>
            </w:r>
            <w:proofErr w:type="spellStart"/>
            <w:r>
              <w:rPr>
                <w:u w:val="single"/>
                <w:lang w:eastAsia="lv-LV"/>
              </w:rPr>
              <w:t>euro</w:t>
            </w:r>
            <w:proofErr w:type="spellEnd"/>
            <w:r>
              <w:rPr>
                <w:u w:val="single"/>
                <w:lang w:eastAsia="lv-LV"/>
              </w:rPr>
              <w:t xml:space="preserve"> x 2 x 20 % = 46 603 </w:t>
            </w:r>
            <w:proofErr w:type="spellStart"/>
            <w:r>
              <w:rPr>
                <w:u w:val="single"/>
                <w:lang w:eastAsia="lv-LV"/>
              </w:rPr>
              <w:t>euro</w:t>
            </w:r>
            <w:proofErr w:type="spellEnd"/>
            <w:r>
              <w:rPr>
                <w:u w:val="single"/>
                <w:lang w:eastAsia="lv-LV"/>
              </w:rPr>
              <w:t>. Turpat g</w:t>
            </w:r>
            <w:r w:rsidRPr="00F91E97">
              <w:rPr>
                <w:u w:val="single"/>
                <w:lang w:eastAsia="lv-LV"/>
              </w:rPr>
              <w:t>inekoloģija</w:t>
            </w:r>
            <w:r>
              <w:rPr>
                <w:u w:val="single"/>
                <w:lang w:eastAsia="lv-LV"/>
              </w:rPr>
              <w:t xml:space="preserve">s valsts kompensēto pacientu iemaksu pieaugums atbilstoši 2016.gada 1.pusgadā sniegtajam pakalpojumu apjomam </w:t>
            </w:r>
            <w:r w:rsidRPr="00F91E97">
              <w:rPr>
                <w:u w:val="single"/>
                <w:lang w:eastAsia="lv-LV"/>
              </w:rPr>
              <w:t>11909.03</w:t>
            </w:r>
            <w:r>
              <w:rPr>
                <w:u w:val="single"/>
                <w:lang w:eastAsia="lv-LV"/>
              </w:rPr>
              <w:t xml:space="preserve"> </w:t>
            </w:r>
            <w:proofErr w:type="spellStart"/>
            <w:r>
              <w:rPr>
                <w:u w:val="single"/>
                <w:lang w:eastAsia="lv-LV"/>
              </w:rPr>
              <w:t>euro</w:t>
            </w:r>
            <w:proofErr w:type="spellEnd"/>
            <w:r>
              <w:rPr>
                <w:u w:val="single"/>
                <w:lang w:eastAsia="lv-LV"/>
              </w:rPr>
              <w:t xml:space="preserve"> x 2 x 20 % = 4 764 </w:t>
            </w:r>
            <w:proofErr w:type="spellStart"/>
            <w:r>
              <w:rPr>
                <w:u w:val="single"/>
                <w:lang w:eastAsia="lv-LV"/>
              </w:rPr>
              <w:t>euro</w:t>
            </w:r>
            <w:proofErr w:type="spellEnd"/>
            <w:r>
              <w:rPr>
                <w:u w:val="single"/>
                <w:lang w:eastAsia="lv-LV"/>
              </w:rPr>
              <w:t>;</w:t>
            </w:r>
          </w:p>
          <w:p w:rsidR="00D2680E" w:rsidRDefault="00D2680E" w:rsidP="00D2680E">
            <w:pPr>
              <w:pStyle w:val="NoSpacing"/>
              <w:numPr>
                <w:ilvl w:val="0"/>
                <w:numId w:val="7"/>
              </w:numPr>
              <w:spacing w:after="120"/>
              <w:jc w:val="both"/>
              <w:rPr>
                <w:u w:val="single"/>
                <w:lang w:eastAsia="lv-LV"/>
              </w:rPr>
            </w:pPr>
            <w:r>
              <w:rPr>
                <w:u w:val="single"/>
                <w:lang w:eastAsia="lv-LV"/>
              </w:rPr>
              <w:t xml:space="preserve">50 % pieaugums ķirurģijā Daugavpils reģionālajā slimnīcā un </w:t>
            </w:r>
            <w:proofErr w:type="spellStart"/>
            <w:r w:rsidRPr="00F91E97">
              <w:rPr>
                <w:u w:val="single"/>
                <w:lang w:eastAsia="lv-LV"/>
              </w:rPr>
              <w:t>L</w:t>
            </w:r>
            <w:r>
              <w:rPr>
                <w:u w:val="single"/>
                <w:lang w:eastAsia="lv-LV"/>
              </w:rPr>
              <w:t>iepākas</w:t>
            </w:r>
            <w:proofErr w:type="spellEnd"/>
            <w:r>
              <w:rPr>
                <w:u w:val="single"/>
                <w:lang w:eastAsia="lv-LV"/>
              </w:rPr>
              <w:t xml:space="preserve"> Reģionālajā slimnīcā. Atbilstoši 2016.gada 1.pusgadā sniegtajam </w:t>
            </w:r>
            <w:r>
              <w:rPr>
                <w:u w:val="single"/>
                <w:lang w:eastAsia="lv-LV"/>
              </w:rPr>
              <w:lastRenderedPageBreak/>
              <w:t xml:space="preserve">pakalpojumu apjomam, t.i. </w:t>
            </w:r>
            <w:r w:rsidRPr="00F91E97">
              <w:rPr>
                <w:u w:val="single"/>
                <w:lang w:eastAsia="lv-LV"/>
              </w:rPr>
              <w:t>57112.2</w:t>
            </w:r>
            <w:r>
              <w:rPr>
                <w:u w:val="single"/>
                <w:lang w:eastAsia="lv-LV"/>
              </w:rPr>
              <w:t xml:space="preserve"> </w:t>
            </w:r>
            <w:proofErr w:type="spellStart"/>
            <w:r>
              <w:rPr>
                <w:u w:val="single"/>
                <w:lang w:eastAsia="lv-LV"/>
              </w:rPr>
              <w:t>euro</w:t>
            </w:r>
            <w:proofErr w:type="spellEnd"/>
            <w:r>
              <w:rPr>
                <w:u w:val="single"/>
                <w:lang w:eastAsia="lv-LV"/>
              </w:rPr>
              <w:t xml:space="preserve"> x 2 x 50 % = 57 112 </w:t>
            </w:r>
            <w:proofErr w:type="spellStart"/>
            <w:r>
              <w:rPr>
                <w:u w:val="single"/>
                <w:lang w:eastAsia="lv-LV"/>
              </w:rPr>
              <w:t>euro</w:t>
            </w:r>
            <w:proofErr w:type="spellEnd"/>
            <w:r>
              <w:rPr>
                <w:u w:val="single"/>
                <w:lang w:eastAsia="lv-LV"/>
              </w:rPr>
              <w:t>. Turpat ķ</w:t>
            </w:r>
            <w:r w:rsidRPr="00F91E97">
              <w:rPr>
                <w:u w:val="single"/>
                <w:lang w:eastAsia="lv-LV"/>
              </w:rPr>
              <w:t>irurģija</w:t>
            </w:r>
            <w:r>
              <w:rPr>
                <w:u w:val="single"/>
                <w:lang w:eastAsia="lv-LV"/>
              </w:rPr>
              <w:t xml:space="preserve">s valsts kompensēto pacientu iemaksu pieaugums atbilstoši 2016.gada 1.pusgadā sniegtajam pakalpojumu apjomam </w:t>
            </w:r>
            <w:r w:rsidRPr="00F91E97">
              <w:rPr>
                <w:u w:val="single"/>
                <w:lang w:eastAsia="lv-LV"/>
              </w:rPr>
              <w:t>8605.46</w:t>
            </w:r>
            <w:r>
              <w:rPr>
                <w:u w:val="single"/>
                <w:lang w:eastAsia="lv-LV"/>
              </w:rPr>
              <w:t xml:space="preserve"> </w:t>
            </w:r>
            <w:proofErr w:type="spellStart"/>
            <w:r>
              <w:rPr>
                <w:u w:val="single"/>
                <w:lang w:eastAsia="lv-LV"/>
              </w:rPr>
              <w:t>euro</w:t>
            </w:r>
            <w:proofErr w:type="spellEnd"/>
            <w:r>
              <w:rPr>
                <w:u w:val="single"/>
                <w:lang w:eastAsia="lv-LV"/>
              </w:rPr>
              <w:t xml:space="preserve"> x 2 x 50 % = 8 605 </w:t>
            </w:r>
            <w:proofErr w:type="spellStart"/>
            <w:r>
              <w:rPr>
                <w:u w:val="single"/>
                <w:lang w:eastAsia="lv-LV"/>
              </w:rPr>
              <w:t>euro</w:t>
            </w:r>
            <w:proofErr w:type="spellEnd"/>
            <w:r>
              <w:rPr>
                <w:u w:val="single"/>
                <w:lang w:eastAsia="lv-LV"/>
              </w:rPr>
              <w:t>;</w:t>
            </w:r>
          </w:p>
          <w:p w:rsidR="00D2680E" w:rsidRDefault="00D2680E" w:rsidP="00D2680E">
            <w:pPr>
              <w:pStyle w:val="NoSpacing"/>
              <w:numPr>
                <w:ilvl w:val="0"/>
                <w:numId w:val="7"/>
              </w:numPr>
              <w:spacing w:after="120"/>
              <w:jc w:val="both"/>
              <w:rPr>
                <w:u w:val="single"/>
                <w:lang w:eastAsia="lv-LV"/>
              </w:rPr>
            </w:pPr>
            <w:r>
              <w:rPr>
                <w:u w:val="single"/>
                <w:lang w:eastAsia="lv-LV"/>
              </w:rPr>
              <w:t xml:space="preserve">60 % pieaugums ķirurģijā </w:t>
            </w:r>
            <w:r w:rsidRPr="008E7E8F">
              <w:rPr>
                <w:u w:val="single"/>
                <w:lang w:eastAsia="lv-LV"/>
              </w:rPr>
              <w:t>Rīgas Austrumu</w:t>
            </w:r>
            <w:r>
              <w:rPr>
                <w:u w:val="single"/>
                <w:lang w:eastAsia="lv-LV"/>
              </w:rPr>
              <w:t xml:space="preserve"> klīniskā universitātes slimnīcā</w:t>
            </w:r>
            <w:r w:rsidRPr="008E7E8F">
              <w:rPr>
                <w:u w:val="single"/>
                <w:lang w:eastAsia="lv-LV"/>
              </w:rPr>
              <w:t xml:space="preserve">, Paula Stradiņa </w:t>
            </w:r>
            <w:r>
              <w:rPr>
                <w:u w:val="single"/>
                <w:lang w:eastAsia="lv-LV"/>
              </w:rPr>
              <w:t xml:space="preserve">klīniskā universitātes slimnīcā. Atbilstoši 2016.gada 1.pusgadā sniegtajam pakalpojumu apjomam, t.i. </w:t>
            </w:r>
            <w:r w:rsidRPr="008E7E8F">
              <w:rPr>
                <w:u w:val="single"/>
                <w:lang w:eastAsia="lv-LV"/>
              </w:rPr>
              <w:t>225</w:t>
            </w:r>
            <w:r>
              <w:rPr>
                <w:u w:val="single"/>
                <w:lang w:eastAsia="lv-LV"/>
              </w:rPr>
              <w:t xml:space="preserve"> </w:t>
            </w:r>
            <w:r w:rsidRPr="008E7E8F">
              <w:rPr>
                <w:u w:val="single"/>
                <w:lang w:eastAsia="lv-LV"/>
              </w:rPr>
              <w:t>924.7</w:t>
            </w:r>
            <w:r>
              <w:rPr>
                <w:u w:val="single"/>
                <w:lang w:eastAsia="lv-LV"/>
              </w:rPr>
              <w:t xml:space="preserve"> </w:t>
            </w:r>
            <w:proofErr w:type="spellStart"/>
            <w:r>
              <w:rPr>
                <w:u w:val="single"/>
                <w:lang w:eastAsia="lv-LV"/>
              </w:rPr>
              <w:t>euro</w:t>
            </w:r>
            <w:proofErr w:type="spellEnd"/>
            <w:r>
              <w:rPr>
                <w:u w:val="single"/>
                <w:lang w:eastAsia="lv-LV"/>
              </w:rPr>
              <w:t xml:space="preserve"> x 2 x 60 % = 271 110 </w:t>
            </w:r>
            <w:proofErr w:type="spellStart"/>
            <w:r>
              <w:rPr>
                <w:u w:val="single"/>
                <w:lang w:eastAsia="lv-LV"/>
              </w:rPr>
              <w:t>euro</w:t>
            </w:r>
            <w:proofErr w:type="spellEnd"/>
            <w:r>
              <w:rPr>
                <w:u w:val="single"/>
                <w:lang w:eastAsia="lv-LV"/>
              </w:rPr>
              <w:t>. Turpat ķ</w:t>
            </w:r>
            <w:r w:rsidRPr="00F91E97">
              <w:rPr>
                <w:u w:val="single"/>
                <w:lang w:eastAsia="lv-LV"/>
              </w:rPr>
              <w:t>irurģija</w:t>
            </w:r>
            <w:r>
              <w:rPr>
                <w:u w:val="single"/>
                <w:lang w:eastAsia="lv-LV"/>
              </w:rPr>
              <w:t xml:space="preserve">s valsts kompensēto pacientu iemaksu pieaugums atbilstoši 2016.gada 1.pusgadā sniegtajam pakalpojumu apjomam </w:t>
            </w:r>
            <w:r w:rsidRPr="008E7E8F">
              <w:rPr>
                <w:u w:val="single"/>
                <w:lang w:eastAsia="lv-LV"/>
              </w:rPr>
              <w:t>12</w:t>
            </w:r>
            <w:r>
              <w:rPr>
                <w:u w:val="single"/>
                <w:lang w:eastAsia="lv-LV"/>
              </w:rPr>
              <w:t xml:space="preserve"> </w:t>
            </w:r>
            <w:r w:rsidRPr="008E7E8F">
              <w:rPr>
                <w:u w:val="single"/>
                <w:lang w:eastAsia="lv-LV"/>
              </w:rPr>
              <w:t>049.73</w:t>
            </w:r>
            <w:r>
              <w:rPr>
                <w:u w:val="single"/>
                <w:lang w:eastAsia="lv-LV"/>
              </w:rPr>
              <w:t xml:space="preserve"> </w:t>
            </w:r>
            <w:proofErr w:type="spellStart"/>
            <w:r>
              <w:rPr>
                <w:u w:val="single"/>
                <w:lang w:eastAsia="lv-LV"/>
              </w:rPr>
              <w:t>euro</w:t>
            </w:r>
            <w:proofErr w:type="spellEnd"/>
            <w:r>
              <w:rPr>
                <w:u w:val="single"/>
                <w:lang w:eastAsia="lv-LV"/>
              </w:rPr>
              <w:t xml:space="preserve"> x 2 x 60 % = 14 460 </w:t>
            </w:r>
            <w:proofErr w:type="spellStart"/>
            <w:r>
              <w:rPr>
                <w:u w:val="single"/>
                <w:lang w:eastAsia="lv-LV"/>
              </w:rPr>
              <w:t>euro</w:t>
            </w:r>
            <w:proofErr w:type="spellEnd"/>
            <w:r>
              <w:rPr>
                <w:u w:val="single"/>
                <w:lang w:eastAsia="lv-LV"/>
              </w:rPr>
              <w:t>;</w:t>
            </w:r>
          </w:p>
          <w:p w:rsidR="00D2680E" w:rsidRDefault="00D2680E" w:rsidP="00D2680E">
            <w:pPr>
              <w:pStyle w:val="NoSpacing"/>
              <w:numPr>
                <w:ilvl w:val="0"/>
                <w:numId w:val="7"/>
              </w:numPr>
              <w:spacing w:after="120"/>
              <w:jc w:val="both"/>
              <w:rPr>
                <w:u w:val="single"/>
                <w:lang w:eastAsia="lv-LV"/>
              </w:rPr>
            </w:pPr>
            <w:r>
              <w:rPr>
                <w:u w:val="single"/>
                <w:lang w:eastAsia="lv-LV"/>
              </w:rPr>
              <w:t xml:space="preserve">30 % pieaugums onkoloģijā. Atbilstoši 2016.gada 1.pusgadā sniegtajam pakalpojumu apjomam, t.i. </w:t>
            </w:r>
            <w:r w:rsidRPr="008E7E8F">
              <w:rPr>
                <w:u w:val="single"/>
                <w:lang w:eastAsia="lv-LV"/>
              </w:rPr>
              <w:t>231355.3</w:t>
            </w:r>
            <w:r>
              <w:rPr>
                <w:u w:val="single"/>
                <w:lang w:eastAsia="lv-LV"/>
              </w:rPr>
              <w:t xml:space="preserve"> </w:t>
            </w:r>
            <w:proofErr w:type="spellStart"/>
            <w:r>
              <w:rPr>
                <w:u w:val="single"/>
                <w:lang w:eastAsia="lv-LV"/>
              </w:rPr>
              <w:t>euro</w:t>
            </w:r>
            <w:proofErr w:type="spellEnd"/>
            <w:r>
              <w:rPr>
                <w:u w:val="single"/>
                <w:lang w:eastAsia="lv-LV"/>
              </w:rPr>
              <w:t xml:space="preserve"> x 2 x 30 % = 138 813 </w:t>
            </w:r>
            <w:proofErr w:type="spellStart"/>
            <w:r>
              <w:rPr>
                <w:u w:val="single"/>
                <w:lang w:eastAsia="lv-LV"/>
              </w:rPr>
              <w:t>euro</w:t>
            </w:r>
            <w:proofErr w:type="spellEnd"/>
            <w:r>
              <w:rPr>
                <w:u w:val="single"/>
                <w:lang w:eastAsia="lv-LV"/>
              </w:rPr>
              <w:t xml:space="preserve">. Turpat onkoloģijas valsts kompensēto pacientu iemaksu pieaugums atbilstoši 2016.gada 1.pusgadā sniegtajam pakalpojumu apjomam </w:t>
            </w:r>
            <w:r w:rsidRPr="008E7E8F">
              <w:rPr>
                <w:u w:val="single"/>
                <w:lang w:eastAsia="lv-LV"/>
              </w:rPr>
              <w:t>9</w:t>
            </w:r>
            <w:r>
              <w:rPr>
                <w:u w:val="single"/>
                <w:lang w:eastAsia="lv-LV"/>
              </w:rPr>
              <w:t xml:space="preserve"> </w:t>
            </w:r>
            <w:r w:rsidRPr="008E7E8F">
              <w:rPr>
                <w:u w:val="single"/>
                <w:lang w:eastAsia="lv-LV"/>
              </w:rPr>
              <w:t>774.03</w:t>
            </w:r>
            <w:r>
              <w:rPr>
                <w:u w:val="single"/>
                <w:lang w:eastAsia="lv-LV"/>
              </w:rPr>
              <w:t xml:space="preserve"> </w:t>
            </w:r>
            <w:proofErr w:type="spellStart"/>
            <w:r>
              <w:rPr>
                <w:u w:val="single"/>
                <w:lang w:eastAsia="lv-LV"/>
              </w:rPr>
              <w:t>euro</w:t>
            </w:r>
            <w:proofErr w:type="spellEnd"/>
            <w:r>
              <w:rPr>
                <w:u w:val="single"/>
                <w:lang w:eastAsia="lv-LV"/>
              </w:rPr>
              <w:t xml:space="preserve"> x 2 x 30 % = 5 864 </w:t>
            </w:r>
            <w:proofErr w:type="spellStart"/>
            <w:r>
              <w:rPr>
                <w:u w:val="single"/>
                <w:lang w:eastAsia="lv-LV"/>
              </w:rPr>
              <w:t>euro</w:t>
            </w:r>
            <w:proofErr w:type="spellEnd"/>
            <w:r>
              <w:rPr>
                <w:u w:val="single"/>
                <w:lang w:eastAsia="lv-LV"/>
              </w:rPr>
              <w:t>;</w:t>
            </w:r>
          </w:p>
          <w:p w:rsidR="00D2680E" w:rsidRDefault="00D2680E" w:rsidP="00D2680E">
            <w:pPr>
              <w:pStyle w:val="NoSpacing"/>
              <w:numPr>
                <w:ilvl w:val="0"/>
                <w:numId w:val="7"/>
              </w:numPr>
              <w:spacing w:after="120"/>
              <w:jc w:val="both"/>
              <w:rPr>
                <w:u w:val="single"/>
                <w:lang w:eastAsia="lv-LV"/>
              </w:rPr>
            </w:pPr>
            <w:r>
              <w:rPr>
                <w:u w:val="single"/>
                <w:lang w:eastAsia="lv-LV"/>
              </w:rPr>
              <w:t xml:space="preserve">20 % pieaugums uroloģijā. Atbilstoši 2016.gada 1.pusgadā sniegtajam pakalpojumu apjomam, t.i. </w:t>
            </w:r>
            <w:r w:rsidRPr="008E7E8F">
              <w:rPr>
                <w:u w:val="single"/>
                <w:lang w:eastAsia="lv-LV"/>
              </w:rPr>
              <w:t>250994.11</w:t>
            </w:r>
            <w:r>
              <w:rPr>
                <w:u w:val="single"/>
                <w:lang w:eastAsia="lv-LV"/>
              </w:rPr>
              <w:t xml:space="preserve"> </w:t>
            </w:r>
            <w:proofErr w:type="spellStart"/>
            <w:r>
              <w:rPr>
                <w:u w:val="single"/>
                <w:lang w:eastAsia="lv-LV"/>
              </w:rPr>
              <w:t>euro</w:t>
            </w:r>
            <w:proofErr w:type="spellEnd"/>
            <w:r>
              <w:rPr>
                <w:u w:val="single"/>
                <w:lang w:eastAsia="lv-LV"/>
              </w:rPr>
              <w:t xml:space="preserve"> x 2 x 20 % = 100 398 </w:t>
            </w:r>
            <w:proofErr w:type="spellStart"/>
            <w:r>
              <w:rPr>
                <w:u w:val="single"/>
                <w:lang w:eastAsia="lv-LV"/>
              </w:rPr>
              <w:t>euro</w:t>
            </w:r>
            <w:proofErr w:type="spellEnd"/>
            <w:r>
              <w:rPr>
                <w:u w:val="single"/>
                <w:lang w:eastAsia="lv-LV"/>
              </w:rPr>
              <w:t xml:space="preserve">. Turpat uroloģijas valsts kompensēto pacientu iemaksu pieaugums atbilstoši 2016.gada 1.pusgadā sniegtajam pakalpojumu apjomam </w:t>
            </w:r>
            <w:r w:rsidRPr="008E7E8F">
              <w:rPr>
                <w:u w:val="single"/>
                <w:lang w:eastAsia="lv-LV"/>
              </w:rPr>
              <w:t>6371.71</w:t>
            </w:r>
            <w:r>
              <w:rPr>
                <w:u w:val="single"/>
                <w:lang w:eastAsia="lv-LV"/>
              </w:rPr>
              <w:t xml:space="preserve"> </w:t>
            </w:r>
            <w:proofErr w:type="spellStart"/>
            <w:r>
              <w:rPr>
                <w:u w:val="single"/>
                <w:lang w:eastAsia="lv-LV"/>
              </w:rPr>
              <w:t>euro</w:t>
            </w:r>
            <w:proofErr w:type="spellEnd"/>
            <w:r>
              <w:rPr>
                <w:u w:val="single"/>
                <w:lang w:eastAsia="lv-LV"/>
              </w:rPr>
              <w:t xml:space="preserve"> x 2 x 20 % = 2 549 </w:t>
            </w:r>
            <w:proofErr w:type="spellStart"/>
            <w:r>
              <w:rPr>
                <w:u w:val="single"/>
                <w:lang w:eastAsia="lv-LV"/>
              </w:rPr>
              <w:t>euro</w:t>
            </w:r>
            <w:proofErr w:type="spellEnd"/>
            <w:r>
              <w:rPr>
                <w:u w:val="single"/>
                <w:lang w:eastAsia="lv-LV"/>
              </w:rPr>
              <w:t>;</w:t>
            </w:r>
          </w:p>
          <w:p w:rsidR="00D2680E" w:rsidRDefault="00D2680E" w:rsidP="00D2680E">
            <w:pPr>
              <w:pStyle w:val="NoSpacing"/>
              <w:spacing w:after="120"/>
              <w:jc w:val="both"/>
              <w:rPr>
                <w:u w:val="single"/>
                <w:lang w:eastAsia="lv-LV"/>
              </w:rPr>
            </w:pPr>
            <w:r>
              <w:rPr>
                <w:u w:val="single"/>
                <w:lang w:eastAsia="lv-LV"/>
              </w:rPr>
              <w:t xml:space="preserve">Turklāt Noteikumu projekts paredz ģimenes ārstu </w:t>
            </w:r>
            <w:proofErr w:type="spellStart"/>
            <w:r>
              <w:rPr>
                <w:u w:val="single"/>
                <w:lang w:eastAsia="lv-LV"/>
              </w:rPr>
              <w:t>kapitācijas</w:t>
            </w:r>
            <w:proofErr w:type="spellEnd"/>
            <w:r>
              <w:rPr>
                <w:u w:val="single"/>
                <w:lang w:eastAsia="lv-LV"/>
              </w:rPr>
              <w:t xml:space="preserve"> naudas palielinājumu no 1.182579 uz 1.233728. </w:t>
            </w:r>
            <w:proofErr w:type="spellStart"/>
            <w:r>
              <w:rPr>
                <w:u w:val="single"/>
                <w:lang w:eastAsia="lv-LV"/>
              </w:rPr>
              <w:t>Kapitācijas</w:t>
            </w:r>
            <w:proofErr w:type="spellEnd"/>
            <w:r>
              <w:rPr>
                <w:u w:val="single"/>
                <w:lang w:eastAsia="lv-LV"/>
              </w:rPr>
              <w:t xml:space="preserve"> naudas palielinājums saistīts ar pārskatītajām ģimenes ārstu praksēm nodrošināmām izmaksām atbilstoši esošajai situācijai. </w:t>
            </w:r>
          </w:p>
          <w:tbl>
            <w:tblPr>
              <w:tblW w:w="7840" w:type="dxa"/>
              <w:tblLook w:val="04A0"/>
            </w:tblPr>
            <w:tblGrid>
              <w:gridCol w:w="1100"/>
              <w:gridCol w:w="3900"/>
              <w:gridCol w:w="1300"/>
              <w:gridCol w:w="1540"/>
            </w:tblGrid>
            <w:tr w:rsidR="00D2680E" w:rsidRPr="006C006F" w:rsidTr="00D2680E">
              <w:trPr>
                <w:trHeight w:val="390"/>
              </w:trPr>
              <w:tc>
                <w:tcPr>
                  <w:tcW w:w="7840" w:type="dxa"/>
                  <w:gridSpan w:val="4"/>
                  <w:tcBorders>
                    <w:top w:val="nil"/>
                    <w:left w:val="nil"/>
                    <w:bottom w:val="nil"/>
                    <w:right w:val="nil"/>
                  </w:tcBorders>
                  <w:shd w:val="clear" w:color="auto" w:fill="auto"/>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xml:space="preserve">Ģimenes ārstu </w:t>
                  </w:r>
                  <w:proofErr w:type="spellStart"/>
                  <w:r w:rsidRPr="006C006F">
                    <w:rPr>
                      <w:rFonts w:eastAsia="Times New Roman" w:cs="Times New Roman"/>
                      <w:b/>
                      <w:bCs/>
                      <w:color w:val="000000"/>
                      <w:sz w:val="20"/>
                      <w:szCs w:val="20"/>
                      <w:lang w:eastAsia="lv-LV"/>
                    </w:rPr>
                    <w:t>kapitācijas</w:t>
                  </w:r>
                  <w:proofErr w:type="spellEnd"/>
                  <w:r w:rsidRPr="006C006F">
                    <w:rPr>
                      <w:rFonts w:eastAsia="Times New Roman" w:cs="Times New Roman"/>
                      <w:b/>
                      <w:bCs/>
                      <w:color w:val="000000"/>
                      <w:sz w:val="20"/>
                      <w:szCs w:val="20"/>
                      <w:lang w:eastAsia="lv-LV"/>
                    </w:rPr>
                    <w:t xml:space="preserve"> naudas aprēķins</w:t>
                  </w:r>
                </w:p>
              </w:tc>
            </w:tr>
            <w:tr w:rsidR="00D2680E" w:rsidRPr="006C006F" w:rsidTr="00D2680E">
              <w:trPr>
                <w:trHeight w:val="525"/>
              </w:trPr>
              <w:tc>
                <w:tcPr>
                  <w:tcW w:w="110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proofErr w:type="spellStart"/>
                  <w:r w:rsidRPr="006C006F">
                    <w:rPr>
                      <w:rFonts w:eastAsia="Times New Roman" w:cs="Times New Roman"/>
                      <w:b/>
                      <w:bCs/>
                      <w:color w:val="000000"/>
                      <w:sz w:val="20"/>
                      <w:szCs w:val="20"/>
                      <w:lang w:eastAsia="lv-LV"/>
                    </w:rPr>
                    <w:t>Nr.p.k</w:t>
                  </w:r>
                  <w:proofErr w:type="spellEnd"/>
                  <w:r w:rsidRPr="006C006F">
                    <w:rPr>
                      <w:rFonts w:eastAsia="Times New Roman" w:cs="Times New Roman"/>
                      <w:b/>
                      <w:bCs/>
                      <w:color w:val="000000"/>
                      <w:sz w:val="20"/>
                      <w:szCs w:val="20"/>
                      <w:lang w:eastAsia="lv-LV"/>
                    </w:rPr>
                    <w:t>.</w:t>
                  </w:r>
                </w:p>
              </w:tc>
              <w:tc>
                <w:tcPr>
                  <w:tcW w:w="3900" w:type="dxa"/>
                  <w:tcBorders>
                    <w:top w:val="single" w:sz="8" w:space="0" w:color="auto"/>
                    <w:left w:val="nil"/>
                    <w:bottom w:val="single" w:sz="8" w:space="0" w:color="auto"/>
                    <w:right w:val="single" w:sz="8"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Medicīnas instrumenti un iekārtas</w:t>
                  </w:r>
                </w:p>
              </w:tc>
              <w:tc>
                <w:tcPr>
                  <w:tcW w:w="1300" w:type="dxa"/>
                  <w:tcBorders>
                    <w:top w:val="single" w:sz="8" w:space="0" w:color="auto"/>
                    <w:left w:val="nil"/>
                    <w:bottom w:val="single" w:sz="8" w:space="0" w:color="auto"/>
                    <w:right w:val="single" w:sz="8"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Vērtība, EUR</w:t>
                  </w:r>
                </w:p>
              </w:tc>
              <w:tc>
                <w:tcPr>
                  <w:tcW w:w="1540" w:type="dxa"/>
                  <w:tcBorders>
                    <w:top w:val="single" w:sz="8" w:space="0" w:color="auto"/>
                    <w:left w:val="nil"/>
                    <w:bottom w:val="single" w:sz="8" w:space="0" w:color="auto"/>
                    <w:right w:val="single" w:sz="8"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Izmaksas 1 mēnesī</w:t>
                  </w:r>
                </w:p>
              </w:tc>
            </w:tr>
            <w:tr w:rsidR="00D2680E" w:rsidRPr="006C006F" w:rsidTr="00D2680E">
              <w:trPr>
                <w:trHeight w:val="315"/>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w:t>
                  </w:r>
                </w:p>
              </w:tc>
              <w:tc>
                <w:tcPr>
                  <w:tcW w:w="3900" w:type="dxa"/>
                  <w:tcBorders>
                    <w:top w:val="nil"/>
                    <w:left w:val="nil"/>
                    <w:bottom w:val="single" w:sz="8" w:space="0" w:color="auto"/>
                    <w:right w:val="single" w:sz="8" w:space="0" w:color="auto"/>
                  </w:tcBorders>
                  <w:shd w:val="clear" w:color="auto" w:fill="auto"/>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w:t>
                  </w:r>
                </w:p>
              </w:tc>
              <w:tc>
                <w:tcPr>
                  <w:tcW w:w="1300" w:type="dxa"/>
                  <w:tcBorders>
                    <w:top w:val="nil"/>
                    <w:left w:val="nil"/>
                    <w:bottom w:val="single" w:sz="8" w:space="0" w:color="auto"/>
                    <w:right w:val="single" w:sz="8" w:space="0" w:color="auto"/>
                  </w:tcBorders>
                  <w:shd w:val="clear" w:color="auto" w:fill="auto"/>
                  <w:noWrap/>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w:t>
                  </w:r>
                </w:p>
              </w:tc>
              <w:tc>
                <w:tcPr>
                  <w:tcW w:w="1540" w:type="dxa"/>
                  <w:tcBorders>
                    <w:top w:val="nil"/>
                    <w:left w:val="nil"/>
                    <w:bottom w:val="single" w:sz="8" w:space="0" w:color="auto"/>
                    <w:right w:val="single" w:sz="8" w:space="0" w:color="auto"/>
                  </w:tcBorders>
                  <w:shd w:val="clear" w:color="auto" w:fill="auto"/>
                  <w:noWrap/>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Ierīce redzes asuma pārbaudei (apgaismota tabula)</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205.70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1.71</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proofErr w:type="spellStart"/>
                  <w:r w:rsidRPr="006C006F">
                    <w:rPr>
                      <w:rFonts w:eastAsia="Times New Roman" w:cs="Times New Roman"/>
                      <w:sz w:val="20"/>
                      <w:szCs w:val="20"/>
                      <w:lang w:eastAsia="lv-LV"/>
                    </w:rPr>
                    <w:t>Otoskops</w:t>
                  </w:r>
                  <w:proofErr w:type="spellEnd"/>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165.05</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1.38</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proofErr w:type="spellStart"/>
                  <w:r w:rsidRPr="006C006F">
                    <w:rPr>
                      <w:rFonts w:eastAsia="Times New Roman" w:cs="Times New Roman"/>
                      <w:sz w:val="20"/>
                      <w:szCs w:val="20"/>
                      <w:lang w:eastAsia="lv-LV"/>
                    </w:rPr>
                    <w:t>Oftalmoskops</w:t>
                  </w:r>
                  <w:proofErr w:type="spellEnd"/>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119.79</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1.00</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Inhalators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67.76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0.56</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Ierīce rentgenogrammu apskatei (</w:t>
                  </w:r>
                  <w:proofErr w:type="spellStart"/>
                  <w:r w:rsidRPr="006C006F">
                    <w:rPr>
                      <w:rFonts w:eastAsia="Times New Roman" w:cs="Times New Roman"/>
                      <w:sz w:val="20"/>
                      <w:szCs w:val="20"/>
                      <w:lang w:eastAsia="lv-LV"/>
                    </w:rPr>
                    <w:t>negatoskops</w:t>
                  </w:r>
                  <w:proofErr w:type="spellEnd"/>
                  <w:r w:rsidRPr="006C006F">
                    <w:rPr>
                      <w:rFonts w:eastAsia="Times New Roman" w:cs="Times New Roman"/>
                      <w:sz w:val="20"/>
                      <w:szCs w:val="20"/>
                      <w:lang w:eastAsia="lv-LV"/>
                    </w:rPr>
                    <w:t>) 88.33</w:t>
                  </w:r>
                </w:p>
              </w:tc>
              <w:tc>
                <w:tcPr>
                  <w:tcW w:w="1300" w:type="dxa"/>
                  <w:tcBorders>
                    <w:top w:val="nil"/>
                    <w:left w:val="nil"/>
                    <w:bottom w:val="single" w:sz="4" w:space="0" w:color="auto"/>
                    <w:right w:val="single" w:sz="4" w:space="0" w:color="auto"/>
                  </w:tcBorders>
                  <w:shd w:val="clear" w:color="auto" w:fill="auto"/>
                  <w:noWrap/>
                  <w:vAlign w:val="bottom"/>
                  <w:hideMark/>
                </w:tcPr>
                <w:p w:rsidR="00D2680E" w:rsidRPr="006C006F" w:rsidRDefault="00D2680E" w:rsidP="00D2680E">
                  <w:pPr>
                    <w:jc w:val="right"/>
                    <w:rPr>
                      <w:rFonts w:ascii="Calibri" w:eastAsia="Times New Roman" w:hAnsi="Calibri" w:cs="Times New Roman"/>
                      <w:sz w:val="20"/>
                      <w:szCs w:val="20"/>
                      <w:lang w:eastAsia="lv-LV"/>
                    </w:rPr>
                  </w:pPr>
                  <w:r w:rsidRPr="006C006F">
                    <w:rPr>
                      <w:rFonts w:ascii="Calibri" w:eastAsia="Times New Roman" w:hAnsi="Calibri" w:cs="Times New Roman"/>
                      <w:sz w:val="20"/>
                      <w:szCs w:val="20"/>
                      <w:lang w:eastAsia="lv-LV"/>
                    </w:rPr>
                    <w:t>88.33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0.74</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NMP komplekts</w:t>
                  </w:r>
                </w:p>
              </w:tc>
              <w:tc>
                <w:tcPr>
                  <w:tcW w:w="1300" w:type="dxa"/>
                  <w:tcBorders>
                    <w:top w:val="nil"/>
                    <w:left w:val="nil"/>
                    <w:bottom w:val="single" w:sz="4" w:space="0" w:color="auto"/>
                    <w:right w:val="single" w:sz="4" w:space="0" w:color="auto"/>
                  </w:tcBorders>
                  <w:shd w:val="clear" w:color="auto" w:fill="auto"/>
                  <w:noWrap/>
                  <w:vAlign w:val="bottom"/>
                  <w:hideMark/>
                </w:tcPr>
                <w:p w:rsidR="00D2680E" w:rsidRPr="006C006F" w:rsidRDefault="00D2680E" w:rsidP="00D2680E">
                  <w:pPr>
                    <w:jc w:val="right"/>
                    <w:rPr>
                      <w:rFonts w:ascii="Calibri" w:eastAsia="Times New Roman" w:hAnsi="Calibri" w:cs="Times New Roman"/>
                      <w:sz w:val="20"/>
                      <w:szCs w:val="20"/>
                      <w:lang w:eastAsia="lv-LV"/>
                    </w:rPr>
                  </w:pPr>
                  <w:r w:rsidRPr="006C006F">
                    <w:rPr>
                      <w:rFonts w:ascii="Calibri" w:eastAsia="Times New Roman" w:hAnsi="Calibri" w:cs="Times New Roman"/>
                      <w:sz w:val="20"/>
                      <w:szCs w:val="20"/>
                      <w:lang w:eastAsia="lv-LV"/>
                    </w:rPr>
                    <w:t>33.88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0.28</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Fonendoskops (ārstam) pieaugušajiem</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227.06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1.89</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8</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Fonendoskops (ārstam) bērniem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94.74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0.79</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9</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Ierīce netiešai asins spiediena mērīšanai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101.34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0.84</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10</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Medicīniskie svari un auguma mērītājs (pieaugušajiem)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466.26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3.89</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11</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Medicīniskie svari (zīdaiņiem) (piemēram, KERN – MBC 15K2DM)</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339.80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2.83</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12</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Auguma mērītājs (zīdaiņiem)</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69.26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0.58</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13</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Medicīniskā lampa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500.00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4.17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lastRenderedPageBreak/>
                    <w:t>14</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Nokomplektētā ārsta soma</w:t>
                  </w:r>
                </w:p>
              </w:tc>
              <w:tc>
                <w:tcPr>
                  <w:tcW w:w="1300" w:type="dxa"/>
                  <w:tcBorders>
                    <w:top w:val="nil"/>
                    <w:left w:val="nil"/>
                    <w:bottom w:val="single" w:sz="4" w:space="0" w:color="auto"/>
                    <w:right w:val="single" w:sz="4" w:space="0" w:color="auto"/>
                  </w:tcBorders>
                  <w:shd w:val="clear" w:color="auto" w:fill="auto"/>
                  <w:noWrap/>
                  <w:vAlign w:val="bottom"/>
                  <w:hideMark/>
                </w:tcPr>
                <w:p w:rsidR="00D2680E" w:rsidRPr="006C006F" w:rsidRDefault="00D2680E" w:rsidP="00D2680E">
                  <w:pPr>
                    <w:jc w:val="right"/>
                    <w:rPr>
                      <w:rFonts w:ascii="Calibri" w:eastAsia="Times New Roman" w:hAnsi="Calibri" w:cs="Times New Roman"/>
                      <w:sz w:val="20"/>
                      <w:szCs w:val="20"/>
                      <w:lang w:eastAsia="lv-LV"/>
                    </w:rPr>
                  </w:pPr>
                  <w:r w:rsidRPr="006C006F">
                    <w:rPr>
                      <w:rFonts w:ascii="Calibri" w:eastAsia="Times New Roman" w:hAnsi="Calibri" w:cs="Times New Roman"/>
                      <w:sz w:val="20"/>
                      <w:szCs w:val="20"/>
                      <w:lang w:eastAsia="lv-LV"/>
                    </w:rPr>
                    <w:t>156.09</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1.30</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15</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Medicīniskā kušete</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290.40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2.42</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16</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Instrumentu galds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272.25</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2.27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17</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Bērnu izmeklēšanas galds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365.78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3.05</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18</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Ledusskapis vakcīnu glabāšanai (ar saldētavu) </w:t>
                  </w:r>
                </w:p>
              </w:tc>
              <w:tc>
                <w:tcPr>
                  <w:tcW w:w="1300" w:type="dxa"/>
                  <w:tcBorders>
                    <w:top w:val="nil"/>
                    <w:left w:val="nil"/>
                    <w:bottom w:val="single" w:sz="4" w:space="0" w:color="auto"/>
                    <w:right w:val="single" w:sz="4" w:space="0" w:color="auto"/>
                  </w:tcBorders>
                  <w:shd w:val="clear" w:color="auto" w:fill="auto"/>
                  <w:noWrap/>
                  <w:vAlign w:val="bottom"/>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444.98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3.71</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19</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Medikamentu skapis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155.00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1.29</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20</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Aizslietnis pārvietojams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232.43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1.94</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21</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Medicīniskais termometrs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3.38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0.09</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22</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Lupa</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3.90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0.11</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23</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Venozais žņaugs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6.03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0.17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24</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Refleksu āmuriņš</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19.87</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0.55</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25</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Anatomiskās un ķirurģiskās pincetes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14.25</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0.40</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26</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Medicīniskās grieznes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3.33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0.09</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27</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proofErr w:type="spellStart"/>
                  <w:r w:rsidRPr="006C006F">
                    <w:rPr>
                      <w:rFonts w:eastAsia="Times New Roman" w:cs="Times New Roman"/>
                      <w:sz w:val="20"/>
                      <w:szCs w:val="20"/>
                      <w:lang w:eastAsia="lv-LV"/>
                    </w:rPr>
                    <w:t>Adatturi</w:t>
                  </w:r>
                  <w:proofErr w:type="spellEnd"/>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2.95</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0.08</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28</w:t>
                  </w:r>
                </w:p>
              </w:tc>
              <w:tc>
                <w:tcPr>
                  <w:tcW w:w="3900" w:type="dxa"/>
                  <w:tcBorders>
                    <w:top w:val="nil"/>
                    <w:left w:val="nil"/>
                    <w:bottom w:val="single" w:sz="4" w:space="0" w:color="auto"/>
                    <w:right w:val="single" w:sz="4" w:space="0" w:color="auto"/>
                  </w:tcBorders>
                  <w:shd w:val="clear" w:color="auto" w:fill="auto"/>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Garās pincetes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2.24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0.06</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29</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Difūziju statīvs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70.42</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1.17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30</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 xml:space="preserve">Ierīce augļa </w:t>
                  </w:r>
                  <w:proofErr w:type="spellStart"/>
                  <w:r w:rsidRPr="006C006F">
                    <w:rPr>
                      <w:rFonts w:eastAsia="Times New Roman" w:cs="Times New Roman"/>
                      <w:sz w:val="20"/>
                      <w:szCs w:val="20"/>
                      <w:lang w:eastAsia="lv-LV"/>
                    </w:rPr>
                    <w:t>sirdstoņu</w:t>
                  </w:r>
                  <w:proofErr w:type="spellEnd"/>
                  <w:r w:rsidRPr="006C006F">
                    <w:rPr>
                      <w:rFonts w:eastAsia="Times New Roman" w:cs="Times New Roman"/>
                      <w:sz w:val="20"/>
                      <w:szCs w:val="20"/>
                      <w:lang w:eastAsia="lv-LV"/>
                    </w:rPr>
                    <w:t xml:space="preserve"> izklausīšanai</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25.00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0.42</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31</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Lampiņa ar homogēnu gaismu</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10.84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0.30</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32</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Pulsometrs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30.00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0.50</w:t>
                  </w:r>
                </w:p>
              </w:tc>
            </w:tr>
            <w:tr w:rsidR="00D2680E" w:rsidRPr="006C006F" w:rsidTr="00D2680E">
              <w:trPr>
                <w:trHeight w:val="31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33</w:t>
                  </w:r>
                </w:p>
              </w:tc>
              <w:tc>
                <w:tcPr>
                  <w:tcW w:w="3900" w:type="dxa"/>
                  <w:tcBorders>
                    <w:top w:val="nil"/>
                    <w:left w:val="nil"/>
                    <w:bottom w:val="single" w:sz="8"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Mērlente</w:t>
                  </w:r>
                </w:p>
              </w:tc>
              <w:tc>
                <w:tcPr>
                  <w:tcW w:w="1300" w:type="dxa"/>
                  <w:tcBorders>
                    <w:top w:val="nil"/>
                    <w:left w:val="nil"/>
                    <w:bottom w:val="single" w:sz="8"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0.55</w:t>
                  </w:r>
                </w:p>
              </w:tc>
              <w:tc>
                <w:tcPr>
                  <w:tcW w:w="1540" w:type="dxa"/>
                  <w:tcBorders>
                    <w:top w:val="nil"/>
                    <w:left w:val="nil"/>
                    <w:bottom w:val="single" w:sz="8"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0.01</w:t>
                  </w:r>
                </w:p>
              </w:tc>
            </w:tr>
            <w:tr w:rsidR="00D2680E" w:rsidRPr="006C006F" w:rsidTr="00D2680E">
              <w:trPr>
                <w:trHeight w:val="315"/>
              </w:trPr>
              <w:tc>
                <w:tcPr>
                  <w:tcW w:w="1100"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Kopā Medicīnas instrumenti un iekārtas</w:t>
                  </w:r>
                </w:p>
              </w:tc>
              <w:tc>
                <w:tcPr>
                  <w:tcW w:w="1300" w:type="dxa"/>
                  <w:tcBorders>
                    <w:top w:val="nil"/>
                    <w:left w:val="nil"/>
                    <w:bottom w:val="single" w:sz="8" w:space="0" w:color="auto"/>
                    <w:right w:val="single" w:sz="4"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4 588.66</w:t>
                  </w:r>
                </w:p>
              </w:tc>
              <w:tc>
                <w:tcPr>
                  <w:tcW w:w="1540" w:type="dxa"/>
                  <w:tcBorders>
                    <w:top w:val="nil"/>
                    <w:left w:val="nil"/>
                    <w:bottom w:val="single" w:sz="8" w:space="0" w:color="auto"/>
                    <w:right w:val="single" w:sz="8"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40.59</w:t>
                  </w:r>
                </w:p>
              </w:tc>
            </w:tr>
            <w:tr w:rsidR="00D2680E" w:rsidRPr="006C006F" w:rsidTr="00D2680E">
              <w:trPr>
                <w:trHeight w:val="315"/>
              </w:trPr>
              <w:tc>
                <w:tcPr>
                  <w:tcW w:w="1100" w:type="dxa"/>
                  <w:tcBorders>
                    <w:top w:val="nil"/>
                    <w:left w:val="single" w:sz="8" w:space="0" w:color="auto"/>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Medikamenti un materiāli</w:t>
                  </w:r>
                </w:p>
              </w:tc>
              <w:tc>
                <w:tcPr>
                  <w:tcW w:w="1300" w:type="dxa"/>
                  <w:tcBorders>
                    <w:top w:val="nil"/>
                    <w:left w:val="nil"/>
                    <w:bottom w:val="single" w:sz="8" w:space="0" w:color="auto"/>
                    <w:right w:val="single" w:sz="4" w:space="0" w:color="auto"/>
                  </w:tcBorders>
                  <w:shd w:val="clear" w:color="000000" w:fill="92D050"/>
                  <w:noWrap/>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w:t>
                  </w:r>
                </w:p>
              </w:tc>
              <w:tc>
                <w:tcPr>
                  <w:tcW w:w="1540" w:type="dxa"/>
                  <w:tcBorders>
                    <w:top w:val="nil"/>
                    <w:left w:val="nil"/>
                    <w:bottom w:val="single" w:sz="8" w:space="0" w:color="auto"/>
                    <w:right w:val="single" w:sz="8" w:space="0" w:color="auto"/>
                  </w:tcBorders>
                  <w:shd w:val="clear" w:color="000000" w:fill="92D050"/>
                  <w:noWrap/>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34</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xml:space="preserve">Nenarkotiskām </w:t>
                  </w:r>
                  <w:proofErr w:type="spellStart"/>
                  <w:r w:rsidRPr="006C006F">
                    <w:rPr>
                      <w:rFonts w:eastAsia="Times New Roman" w:cs="Times New Roman"/>
                      <w:color w:val="000000"/>
                      <w:sz w:val="20"/>
                      <w:szCs w:val="20"/>
                      <w:lang w:eastAsia="lv-LV"/>
                    </w:rPr>
                    <w:t>analģētiķa</w:t>
                  </w:r>
                  <w:proofErr w:type="spellEnd"/>
                  <w:r w:rsidRPr="006C006F">
                    <w:rPr>
                      <w:rFonts w:eastAsia="Times New Roman" w:cs="Times New Roman"/>
                      <w:color w:val="000000"/>
                      <w:sz w:val="20"/>
                      <w:szCs w:val="20"/>
                      <w:lang w:eastAsia="lv-LV"/>
                    </w:rPr>
                    <w:t xml:space="preserve"> šķīdums injekcijām (</w:t>
                  </w:r>
                  <w:proofErr w:type="spellStart"/>
                  <w:r w:rsidRPr="006C006F">
                    <w:rPr>
                      <w:rFonts w:eastAsia="Times New Roman" w:cs="Times New Roman"/>
                      <w:color w:val="000000"/>
                      <w:sz w:val="20"/>
                      <w:szCs w:val="20"/>
                      <w:lang w:eastAsia="lv-LV"/>
                    </w:rPr>
                    <w:t>Sol.Diclofenaci</w:t>
                  </w:r>
                  <w:proofErr w:type="spellEnd"/>
                  <w:r w:rsidRPr="006C006F">
                    <w:rPr>
                      <w:rFonts w:eastAsia="Times New Roman" w:cs="Times New Roman"/>
                      <w:color w:val="000000"/>
                      <w:sz w:val="20"/>
                      <w:szCs w:val="20"/>
                      <w:lang w:eastAsia="lv-LV"/>
                    </w:rPr>
                    <w:t xml:space="preserve"> 75 mg/ml - 5 ampulas)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5.99</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0.50</w:t>
                  </w:r>
                </w:p>
              </w:tc>
            </w:tr>
            <w:tr w:rsidR="00D2680E" w:rsidRPr="006C006F" w:rsidTr="00D2680E">
              <w:trPr>
                <w:trHeight w:val="76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35</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Nestreroīdā</w:t>
                  </w:r>
                  <w:proofErr w:type="spellEnd"/>
                  <w:r w:rsidRPr="006C006F">
                    <w:rPr>
                      <w:rFonts w:eastAsia="Times New Roman" w:cs="Times New Roman"/>
                      <w:color w:val="000000"/>
                      <w:sz w:val="20"/>
                      <w:szCs w:val="20"/>
                      <w:lang w:eastAsia="lv-LV"/>
                    </w:rPr>
                    <w:t xml:space="preserve"> pretiekaisuma līdzekļa tabletes (</w:t>
                  </w:r>
                  <w:proofErr w:type="spellStart"/>
                  <w:r w:rsidRPr="006C006F">
                    <w:rPr>
                      <w:rFonts w:eastAsia="Times New Roman" w:cs="Times New Roman"/>
                      <w:color w:val="000000"/>
                      <w:sz w:val="20"/>
                      <w:szCs w:val="20"/>
                      <w:lang w:eastAsia="lv-LV"/>
                    </w:rPr>
                    <w:t>Tab.Paracetamoli</w:t>
                  </w:r>
                  <w:proofErr w:type="spellEnd"/>
                  <w:r w:rsidRPr="006C006F">
                    <w:rPr>
                      <w:rFonts w:eastAsia="Times New Roman" w:cs="Times New Roman"/>
                      <w:color w:val="000000"/>
                      <w:sz w:val="20"/>
                      <w:szCs w:val="20"/>
                      <w:lang w:eastAsia="lv-LV"/>
                    </w:rPr>
                    <w:t xml:space="preserve"> 500mg 10 tabletes vai </w:t>
                  </w:r>
                  <w:proofErr w:type="spellStart"/>
                  <w:r w:rsidRPr="006C006F">
                    <w:rPr>
                      <w:rFonts w:eastAsia="Times New Roman" w:cs="Times New Roman"/>
                      <w:color w:val="000000"/>
                      <w:sz w:val="20"/>
                      <w:szCs w:val="20"/>
                      <w:lang w:eastAsia="lv-LV"/>
                    </w:rPr>
                    <w:t>Tab</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Ibuprofeni</w:t>
                  </w:r>
                  <w:proofErr w:type="spellEnd"/>
                  <w:r w:rsidRPr="006C006F">
                    <w:rPr>
                      <w:rFonts w:eastAsia="Times New Roman" w:cs="Times New Roman"/>
                      <w:color w:val="000000"/>
                      <w:sz w:val="20"/>
                      <w:szCs w:val="20"/>
                      <w:lang w:eastAsia="lv-LV"/>
                    </w:rPr>
                    <w:t xml:space="preserve"> 200 mg 10 </w:t>
                  </w:r>
                  <w:proofErr w:type="spellStart"/>
                  <w:r w:rsidRPr="006C006F">
                    <w:rPr>
                      <w:rFonts w:eastAsia="Times New Roman" w:cs="Times New Roman"/>
                      <w:color w:val="000000"/>
                      <w:sz w:val="20"/>
                      <w:szCs w:val="20"/>
                      <w:lang w:eastAsia="lv-LV"/>
                    </w:rPr>
                    <w:t>tbl</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0.84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0.07</w:t>
                  </w:r>
                </w:p>
              </w:tc>
            </w:tr>
            <w:tr w:rsidR="00D2680E" w:rsidRPr="006C006F" w:rsidTr="00D2680E">
              <w:trPr>
                <w:trHeight w:val="76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36</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xml:space="preserve">M </w:t>
                  </w:r>
                  <w:proofErr w:type="spellStart"/>
                  <w:r w:rsidRPr="006C006F">
                    <w:rPr>
                      <w:rFonts w:eastAsia="Times New Roman" w:cs="Times New Roman"/>
                      <w:color w:val="000000"/>
                      <w:sz w:val="20"/>
                      <w:szCs w:val="20"/>
                      <w:lang w:eastAsia="lv-LV"/>
                    </w:rPr>
                    <w:t>holinoblokatora</w:t>
                  </w:r>
                  <w:proofErr w:type="spellEnd"/>
                  <w:r w:rsidRPr="006C006F">
                    <w:rPr>
                      <w:rFonts w:eastAsia="Times New Roman" w:cs="Times New Roman"/>
                      <w:color w:val="000000"/>
                      <w:sz w:val="20"/>
                      <w:szCs w:val="20"/>
                      <w:lang w:eastAsia="lv-LV"/>
                    </w:rPr>
                    <w:t xml:space="preserve"> šķīdums injekcijām (</w:t>
                  </w:r>
                  <w:proofErr w:type="spellStart"/>
                  <w:r w:rsidRPr="006C006F">
                    <w:rPr>
                      <w:rFonts w:eastAsia="Times New Roman" w:cs="Times New Roman"/>
                      <w:color w:val="000000"/>
                      <w:sz w:val="20"/>
                      <w:szCs w:val="20"/>
                      <w:lang w:eastAsia="lv-LV"/>
                    </w:rPr>
                    <w:t>Atropini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sulphate</w:t>
                  </w:r>
                  <w:proofErr w:type="spellEnd"/>
                  <w:r w:rsidRPr="006C006F">
                    <w:rPr>
                      <w:rFonts w:eastAsia="Times New Roman" w:cs="Times New Roman"/>
                      <w:color w:val="000000"/>
                      <w:sz w:val="20"/>
                      <w:szCs w:val="20"/>
                      <w:lang w:eastAsia="lv-LV"/>
                    </w:rPr>
                    <w:t xml:space="preserve"> 10 mg/ml 1ml ampulas -  5gab.)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3.96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0.33</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37</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Adrenomimētiskā</w:t>
                  </w:r>
                  <w:proofErr w:type="spellEnd"/>
                  <w:r w:rsidRPr="006C006F">
                    <w:rPr>
                      <w:rFonts w:eastAsia="Times New Roman" w:cs="Times New Roman"/>
                      <w:color w:val="000000"/>
                      <w:sz w:val="20"/>
                      <w:szCs w:val="20"/>
                      <w:lang w:eastAsia="lv-LV"/>
                    </w:rPr>
                    <w:t xml:space="preserve">  līdzekļa šķīdums  injekcijām (</w:t>
                  </w:r>
                  <w:proofErr w:type="spellStart"/>
                  <w:r w:rsidRPr="006C006F">
                    <w:rPr>
                      <w:rFonts w:eastAsia="Times New Roman" w:cs="Times New Roman"/>
                      <w:color w:val="000000"/>
                      <w:sz w:val="20"/>
                      <w:szCs w:val="20"/>
                      <w:lang w:eastAsia="lv-LV"/>
                    </w:rPr>
                    <w:t>Adrenalini</w:t>
                  </w:r>
                  <w:proofErr w:type="spellEnd"/>
                  <w:r w:rsidRPr="006C006F">
                    <w:rPr>
                      <w:rFonts w:eastAsia="Times New Roman" w:cs="Times New Roman"/>
                      <w:color w:val="000000"/>
                      <w:sz w:val="20"/>
                      <w:szCs w:val="20"/>
                      <w:lang w:eastAsia="lv-LV"/>
                    </w:rPr>
                    <w:t xml:space="preserve"> 1 mg/ml,  1ml ampulas - 5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4.24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0.35</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38</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Sirds glikozīda šķīdums injekcijām (</w:t>
                  </w:r>
                  <w:proofErr w:type="spellStart"/>
                  <w:r w:rsidRPr="006C006F">
                    <w:rPr>
                      <w:rFonts w:eastAsia="Times New Roman" w:cs="Times New Roman"/>
                      <w:color w:val="000000"/>
                      <w:sz w:val="20"/>
                      <w:szCs w:val="20"/>
                      <w:lang w:eastAsia="lv-LV"/>
                    </w:rPr>
                    <w:t>Digoxini</w:t>
                  </w:r>
                  <w:proofErr w:type="spellEnd"/>
                  <w:r w:rsidRPr="006C006F">
                    <w:rPr>
                      <w:rFonts w:eastAsia="Times New Roman" w:cs="Times New Roman"/>
                      <w:color w:val="000000"/>
                      <w:sz w:val="20"/>
                      <w:szCs w:val="20"/>
                      <w:lang w:eastAsia="lv-LV"/>
                    </w:rPr>
                    <w:t xml:space="preserve"> 250 </w:t>
                  </w:r>
                  <w:proofErr w:type="spellStart"/>
                  <w:r w:rsidRPr="006C006F">
                    <w:rPr>
                      <w:rFonts w:eastAsia="Times New Roman" w:cs="Times New Roman"/>
                      <w:color w:val="000000"/>
                      <w:sz w:val="20"/>
                      <w:szCs w:val="20"/>
                      <w:lang w:eastAsia="lv-LV"/>
                    </w:rPr>
                    <w:t>qg</w:t>
                  </w:r>
                  <w:proofErr w:type="spellEnd"/>
                  <w:r w:rsidRPr="006C006F">
                    <w:rPr>
                      <w:rFonts w:eastAsia="Times New Roman" w:cs="Times New Roman"/>
                      <w:color w:val="000000"/>
                      <w:sz w:val="20"/>
                      <w:szCs w:val="20"/>
                      <w:lang w:eastAsia="lv-LV"/>
                    </w:rPr>
                    <w:t xml:space="preserve">/ml - 5 </w:t>
                  </w:r>
                  <w:proofErr w:type="spellStart"/>
                  <w:r w:rsidRPr="006C006F">
                    <w:rPr>
                      <w:rFonts w:eastAsia="Times New Roman" w:cs="Times New Roman"/>
                      <w:color w:val="000000"/>
                      <w:sz w:val="20"/>
                      <w:szCs w:val="20"/>
                      <w:lang w:eastAsia="lv-LV"/>
                    </w:rPr>
                    <w:t>gab</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4.30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0.36</w:t>
                  </w:r>
                </w:p>
              </w:tc>
            </w:tr>
            <w:tr w:rsidR="00D2680E" w:rsidRPr="006C006F" w:rsidTr="00D2680E">
              <w:trPr>
                <w:trHeight w:val="76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39</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Neglikozīdā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kardiotoniskā</w:t>
                  </w:r>
                  <w:proofErr w:type="spellEnd"/>
                  <w:r w:rsidRPr="006C006F">
                    <w:rPr>
                      <w:rFonts w:eastAsia="Times New Roman" w:cs="Times New Roman"/>
                      <w:color w:val="000000"/>
                      <w:sz w:val="20"/>
                      <w:szCs w:val="20"/>
                      <w:lang w:eastAsia="lv-LV"/>
                    </w:rPr>
                    <w:t xml:space="preserve"> līdzekļa šķīdums infūzijām (</w:t>
                  </w:r>
                  <w:proofErr w:type="spellStart"/>
                  <w:r w:rsidRPr="006C006F">
                    <w:rPr>
                      <w:rFonts w:eastAsia="Times New Roman" w:cs="Times New Roman"/>
                      <w:color w:val="000000"/>
                      <w:sz w:val="20"/>
                      <w:szCs w:val="20"/>
                      <w:lang w:eastAsia="lv-LV"/>
                    </w:rPr>
                    <w:t>Intropais</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simpatomimētiķis</w:t>
                  </w:r>
                  <w:proofErr w:type="spellEnd"/>
                  <w:r w:rsidRPr="006C006F">
                    <w:rPr>
                      <w:rFonts w:eastAsia="Times New Roman" w:cs="Times New Roman"/>
                      <w:color w:val="000000"/>
                      <w:sz w:val="20"/>
                      <w:szCs w:val="20"/>
                      <w:lang w:eastAsia="lv-LV"/>
                    </w:rPr>
                    <w:t xml:space="preserve">) ( </w:t>
                  </w:r>
                  <w:proofErr w:type="spellStart"/>
                  <w:r w:rsidRPr="006C006F">
                    <w:rPr>
                      <w:rFonts w:eastAsia="Times New Roman" w:cs="Times New Roman"/>
                      <w:color w:val="000000"/>
                      <w:sz w:val="20"/>
                      <w:szCs w:val="20"/>
                      <w:lang w:eastAsia="lv-LV"/>
                    </w:rPr>
                    <w:t>Dobutamine</w:t>
                  </w:r>
                  <w:proofErr w:type="spellEnd"/>
                  <w:r w:rsidRPr="006C006F">
                    <w:rPr>
                      <w:rFonts w:eastAsia="Times New Roman" w:cs="Times New Roman"/>
                      <w:color w:val="000000"/>
                      <w:sz w:val="20"/>
                      <w:szCs w:val="20"/>
                      <w:lang w:eastAsia="lv-LV"/>
                    </w:rPr>
                    <w:t xml:space="preserve"> 12,5 mg/ml </w:t>
                  </w:r>
                  <w:proofErr w:type="spellStart"/>
                  <w:r w:rsidRPr="006C006F">
                    <w:rPr>
                      <w:rFonts w:eastAsia="Times New Roman" w:cs="Times New Roman"/>
                      <w:color w:val="000000"/>
                      <w:sz w:val="20"/>
                      <w:szCs w:val="20"/>
                      <w:lang w:eastAsia="lv-LV"/>
                    </w:rPr>
                    <w:t>Pr.II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stac</w:t>
                  </w:r>
                  <w:proofErr w:type="spellEnd"/>
                  <w:r w:rsidRPr="006C006F">
                    <w:rPr>
                      <w:rFonts w:eastAsia="Times New Roman" w:cs="Times New Roman"/>
                      <w:color w:val="000000"/>
                      <w:sz w:val="20"/>
                      <w:szCs w:val="20"/>
                      <w:lang w:eastAsia="lv-LV"/>
                    </w:rPr>
                    <w:t xml:space="preserve"> 5 ampulas)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41.57</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3.46</w:t>
                  </w:r>
                </w:p>
              </w:tc>
            </w:tr>
            <w:tr w:rsidR="00D2680E" w:rsidRPr="006C006F" w:rsidTr="00D2680E">
              <w:trPr>
                <w:trHeight w:val="127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40</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Antiaritmiskā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līdzkļu</w:t>
                  </w:r>
                  <w:proofErr w:type="spellEnd"/>
                  <w:r w:rsidRPr="006C006F">
                    <w:rPr>
                      <w:rFonts w:eastAsia="Times New Roman" w:cs="Times New Roman"/>
                      <w:color w:val="000000"/>
                      <w:sz w:val="20"/>
                      <w:szCs w:val="20"/>
                      <w:lang w:eastAsia="lv-LV"/>
                    </w:rPr>
                    <w:t xml:space="preserve">, nātrija antagonistu šķīdums injekcijām (I klases </w:t>
                  </w:r>
                  <w:proofErr w:type="spellStart"/>
                  <w:r w:rsidRPr="006C006F">
                    <w:rPr>
                      <w:rFonts w:eastAsia="Times New Roman" w:cs="Times New Roman"/>
                      <w:color w:val="000000"/>
                      <w:sz w:val="20"/>
                      <w:szCs w:val="20"/>
                      <w:lang w:eastAsia="lv-LV"/>
                    </w:rPr>
                    <w:t>antiaritmētiskie</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līdzkļi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ātriju</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superventrikulārās</w:t>
                  </w:r>
                  <w:proofErr w:type="spellEnd"/>
                  <w:r w:rsidRPr="006C006F">
                    <w:rPr>
                      <w:rFonts w:eastAsia="Times New Roman" w:cs="Times New Roman"/>
                      <w:color w:val="000000"/>
                      <w:sz w:val="20"/>
                      <w:szCs w:val="20"/>
                      <w:lang w:eastAsia="lv-LV"/>
                    </w:rPr>
                    <w:t xml:space="preserve"> un </w:t>
                  </w:r>
                  <w:proofErr w:type="spellStart"/>
                  <w:r w:rsidRPr="006C006F">
                    <w:rPr>
                      <w:rFonts w:eastAsia="Times New Roman" w:cs="Times New Roman"/>
                      <w:color w:val="000000"/>
                      <w:sz w:val="20"/>
                      <w:szCs w:val="20"/>
                      <w:lang w:eastAsia="lv-LV"/>
                    </w:rPr>
                    <w:t>ventrukulārās</w:t>
                  </w:r>
                  <w:proofErr w:type="spellEnd"/>
                  <w:r w:rsidRPr="006C006F">
                    <w:rPr>
                      <w:rFonts w:eastAsia="Times New Roman" w:cs="Times New Roman"/>
                      <w:color w:val="000000"/>
                      <w:sz w:val="20"/>
                      <w:szCs w:val="20"/>
                      <w:lang w:eastAsia="lv-LV"/>
                    </w:rPr>
                    <w:t xml:space="preserve"> aritmijas) (</w:t>
                  </w:r>
                  <w:proofErr w:type="spellStart"/>
                  <w:r w:rsidRPr="006C006F">
                    <w:rPr>
                      <w:rFonts w:eastAsia="Times New Roman" w:cs="Times New Roman"/>
                      <w:color w:val="000000"/>
                      <w:sz w:val="20"/>
                      <w:szCs w:val="20"/>
                      <w:lang w:eastAsia="lv-LV"/>
                    </w:rPr>
                    <w:t>Lidocaini</w:t>
                  </w:r>
                  <w:proofErr w:type="spellEnd"/>
                  <w:r w:rsidRPr="006C006F">
                    <w:rPr>
                      <w:rFonts w:eastAsia="Times New Roman" w:cs="Times New Roman"/>
                      <w:color w:val="000000"/>
                      <w:sz w:val="20"/>
                      <w:szCs w:val="20"/>
                      <w:lang w:eastAsia="lv-LV"/>
                    </w:rPr>
                    <w:t xml:space="preserve"> 20 mg/ml, 2 ml ampulas - 5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4.30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0.36</w:t>
                  </w:r>
                </w:p>
              </w:tc>
            </w:tr>
            <w:tr w:rsidR="00D2680E" w:rsidRPr="006C006F" w:rsidTr="00D2680E">
              <w:trPr>
                <w:trHeight w:val="102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lastRenderedPageBreak/>
                    <w:t>41</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Antiaritmiskā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līdzkļa</w:t>
                  </w:r>
                  <w:proofErr w:type="spellEnd"/>
                  <w:r w:rsidRPr="006C006F">
                    <w:rPr>
                      <w:rFonts w:eastAsia="Times New Roman" w:cs="Times New Roman"/>
                      <w:color w:val="000000"/>
                      <w:sz w:val="20"/>
                      <w:szCs w:val="20"/>
                      <w:lang w:eastAsia="lv-LV"/>
                    </w:rPr>
                    <w:t xml:space="preserve">, kalcija antagonista šķīdums injekcijām (IV klases </w:t>
                  </w:r>
                  <w:proofErr w:type="spellStart"/>
                  <w:r w:rsidRPr="006C006F">
                    <w:rPr>
                      <w:rFonts w:eastAsia="Times New Roman" w:cs="Times New Roman"/>
                      <w:color w:val="000000"/>
                      <w:sz w:val="20"/>
                      <w:szCs w:val="20"/>
                      <w:lang w:eastAsia="lv-LV"/>
                    </w:rPr>
                    <w:t>anti</w:t>
                  </w:r>
                  <w:proofErr w:type="spellEnd"/>
                  <w:r w:rsidRPr="006C006F">
                    <w:rPr>
                      <w:rFonts w:eastAsia="Times New Roman" w:cs="Times New Roman"/>
                      <w:color w:val="000000"/>
                      <w:sz w:val="20"/>
                      <w:szCs w:val="20"/>
                      <w:lang w:eastAsia="lv-LV"/>
                    </w:rPr>
                    <w:t xml:space="preserve"> aritmētiskie </w:t>
                  </w:r>
                  <w:proofErr w:type="spellStart"/>
                  <w:r w:rsidRPr="006C006F">
                    <w:rPr>
                      <w:rFonts w:eastAsia="Times New Roman" w:cs="Times New Roman"/>
                      <w:color w:val="000000"/>
                      <w:sz w:val="20"/>
                      <w:szCs w:val="20"/>
                      <w:lang w:eastAsia="lv-LV"/>
                    </w:rPr>
                    <w:t>līdzkļi</w:t>
                  </w:r>
                  <w:proofErr w:type="spellEnd"/>
                  <w:r w:rsidRPr="006C006F">
                    <w:rPr>
                      <w:rFonts w:eastAsia="Times New Roman" w:cs="Times New Roman"/>
                      <w:color w:val="000000"/>
                      <w:sz w:val="20"/>
                      <w:szCs w:val="20"/>
                      <w:lang w:eastAsia="lv-LV"/>
                    </w:rPr>
                    <w:t xml:space="preserve">) ( </w:t>
                  </w:r>
                  <w:proofErr w:type="spellStart"/>
                  <w:r w:rsidRPr="006C006F">
                    <w:rPr>
                      <w:rFonts w:eastAsia="Times New Roman" w:cs="Times New Roman"/>
                      <w:color w:val="000000"/>
                      <w:sz w:val="20"/>
                      <w:szCs w:val="20"/>
                      <w:lang w:eastAsia="lv-LV"/>
                    </w:rPr>
                    <w:t>Verapamili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hrdrochloridi</w:t>
                  </w:r>
                  <w:proofErr w:type="spellEnd"/>
                  <w:r w:rsidRPr="006C006F">
                    <w:rPr>
                      <w:rFonts w:eastAsia="Times New Roman" w:cs="Times New Roman"/>
                      <w:color w:val="000000"/>
                      <w:sz w:val="20"/>
                      <w:szCs w:val="20"/>
                      <w:lang w:eastAsia="lv-LV"/>
                    </w:rPr>
                    <w:t xml:space="preserve"> 2.5 </w:t>
                  </w:r>
                  <w:proofErr w:type="spellStart"/>
                  <w:r w:rsidRPr="006C006F">
                    <w:rPr>
                      <w:rFonts w:eastAsia="Times New Roman" w:cs="Times New Roman"/>
                      <w:color w:val="000000"/>
                      <w:sz w:val="20"/>
                      <w:szCs w:val="20"/>
                      <w:lang w:eastAsia="lv-LV"/>
                    </w:rPr>
                    <w:t>mh</w:t>
                  </w:r>
                  <w:proofErr w:type="spellEnd"/>
                  <w:r w:rsidRPr="006C006F">
                    <w:rPr>
                      <w:rFonts w:eastAsia="Times New Roman" w:cs="Times New Roman"/>
                      <w:color w:val="000000"/>
                      <w:sz w:val="20"/>
                      <w:szCs w:val="20"/>
                      <w:lang w:eastAsia="lv-LV"/>
                    </w:rPr>
                    <w:t xml:space="preserve">/ml - 5 ampulas vai </w:t>
                  </w:r>
                  <w:proofErr w:type="spellStart"/>
                  <w:r w:rsidRPr="006C006F">
                    <w:rPr>
                      <w:rFonts w:eastAsia="Times New Roman" w:cs="Times New Roman"/>
                      <w:color w:val="000000"/>
                      <w:sz w:val="20"/>
                      <w:szCs w:val="20"/>
                      <w:lang w:eastAsia="lv-LV"/>
                    </w:rPr>
                    <w:t>Verapamili</w:t>
                  </w:r>
                  <w:proofErr w:type="spellEnd"/>
                  <w:r w:rsidRPr="006C006F">
                    <w:rPr>
                      <w:rFonts w:eastAsia="Times New Roman" w:cs="Times New Roman"/>
                      <w:color w:val="000000"/>
                      <w:sz w:val="20"/>
                      <w:szCs w:val="20"/>
                      <w:lang w:eastAsia="lv-LV"/>
                    </w:rPr>
                    <w:t xml:space="preserve"> 40 mg - 10 tabletes)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0.76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0.06</w:t>
                  </w:r>
                </w:p>
              </w:tc>
            </w:tr>
            <w:tr w:rsidR="00D2680E" w:rsidRPr="006C006F" w:rsidTr="00D2680E">
              <w:trPr>
                <w:trHeight w:val="127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42</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Antiaritmētiskā</w:t>
                  </w:r>
                  <w:proofErr w:type="spellEnd"/>
                  <w:r w:rsidRPr="006C006F">
                    <w:rPr>
                      <w:rFonts w:eastAsia="Times New Roman" w:cs="Times New Roman"/>
                      <w:color w:val="000000"/>
                      <w:sz w:val="20"/>
                      <w:szCs w:val="20"/>
                      <w:lang w:eastAsia="lv-LV"/>
                    </w:rPr>
                    <w:t xml:space="preserve"> līdzekļa, kālija antagonista šķīdums injekcijām ( III klases </w:t>
                  </w:r>
                  <w:proofErr w:type="spellStart"/>
                  <w:r w:rsidRPr="006C006F">
                    <w:rPr>
                      <w:rFonts w:eastAsia="Times New Roman" w:cs="Times New Roman"/>
                      <w:color w:val="000000"/>
                      <w:sz w:val="20"/>
                      <w:szCs w:val="20"/>
                      <w:lang w:eastAsia="lv-LV"/>
                    </w:rPr>
                    <w:t>antiaritmiskais</w:t>
                  </w:r>
                  <w:proofErr w:type="spellEnd"/>
                  <w:r w:rsidRPr="006C006F">
                    <w:rPr>
                      <w:rFonts w:eastAsia="Times New Roman" w:cs="Times New Roman"/>
                      <w:color w:val="000000"/>
                      <w:sz w:val="20"/>
                      <w:szCs w:val="20"/>
                      <w:lang w:eastAsia="lv-LV"/>
                    </w:rPr>
                    <w:t xml:space="preserve"> līdzeklis, </w:t>
                  </w:r>
                  <w:proofErr w:type="spellStart"/>
                  <w:r w:rsidRPr="006C006F">
                    <w:rPr>
                      <w:rFonts w:eastAsia="Times New Roman" w:cs="Times New Roman"/>
                      <w:color w:val="000000"/>
                      <w:sz w:val="20"/>
                      <w:szCs w:val="20"/>
                      <w:lang w:eastAsia="lv-LV"/>
                    </w:rPr>
                    <w:t>supraventikulārās</w:t>
                  </w:r>
                  <w:proofErr w:type="spellEnd"/>
                  <w:r w:rsidRPr="006C006F">
                    <w:rPr>
                      <w:rFonts w:eastAsia="Times New Roman" w:cs="Times New Roman"/>
                      <w:color w:val="000000"/>
                      <w:sz w:val="20"/>
                      <w:szCs w:val="20"/>
                      <w:lang w:eastAsia="lv-LV"/>
                    </w:rPr>
                    <w:t xml:space="preserve"> un </w:t>
                  </w:r>
                  <w:proofErr w:type="spellStart"/>
                  <w:r w:rsidRPr="006C006F">
                    <w:rPr>
                      <w:rFonts w:eastAsia="Times New Roman" w:cs="Times New Roman"/>
                      <w:color w:val="000000"/>
                      <w:sz w:val="20"/>
                      <w:szCs w:val="20"/>
                      <w:lang w:eastAsia="lv-LV"/>
                    </w:rPr>
                    <w:t>ventikulārās</w:t>
                  </w:r>
                  <w:proofErr w:type="spellEnd"/>
                  <w:r w:rsidRPr="006C006F">
                    <w:rPr>
                      <w:rFonts w:eastAsia="Times New Roman" w:cs="Times New Roman"/>
                      <w:color w:val="000000"/>
                      <w:sz w:val="20"/>
                      <w:szCs w:val="20"/>
                      <w:lang w:eastAsia="lv-LV"/>
                    </w:rPr>
                    <w:t xml:space="preserve"> aritmijas) ( </w:t>
                  </w:r>
                  <w:proofErr w:type="spellStart"/>
                  <w:r w:rsidRPr="006C006F">
                    <w:rPr>
                      <w:rFonts w:eastAsia="Times New Roman" w:cs="Times New Roman"/>
                      <w:color w:val="000000"/>
                      <w:sz w:val="20"/>
                      <w:szCs w:val="20"/>
                      <w:lang w:eastAsia="lv-LV"/>
                    </w:rPr>
                    <w:t>Amiodaroni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hydrohloridi</w:t>
                  </w:r>
                  <w:proofErr w:type="spellEnd"/>
                  <w:r w:rsidRPr="006C006F">
                    <w:rPr>
                      <w:rFonts w:eastAsia="Times New Roman" w:cs="Times New Roman"/>
                      <w:color w:val="000000"/>
                      <w:sz w:val="20"/>
                      <w:szCs w:val="20"/>
                      <w:lang w:eastAsia="lv-LV"/>
                    </w:rPr>
                    <w:t xml:space="preserve"> 30 mg/ml, 10 ml ampula - 5 gab. vai 200 mg </w:t>
                  </w:r>
                  <w:proofErr w:type="spellStart"/>
                  <w:r w:rsidRPr="006C006F">
                    <w:rPr>
                      <w:rFonts w:eastAsia="Times New Roman" w:cs="Times New Roman"/>
                      <w:color w:val="000000"/>
                      <w:sz w:val="20"/>
                      <w:szCs w:val="20"/>
                      <w:lang w:eastAsia="lv-LV"/>
                    </w:rPr>
                    <w:t>tbl</w:t>
                  </w:r>
                  <w:proofErr w:type="spellEnd"/>
                  <w:r w:rsidRPr="006C006F">
                    <w:rPr>
                      <w:rFonts w:eastAsia="Times New Roman" w:cs="Times New Roman"/>
                      <w:color w:val="000000"/>
                      <w:sz w:val="20"/>
                      <w:szCs w:val="20"/>
                      <w:lang w:eastAsia="lv-LV"/>
                    </w:rPr>
                    <w:t xml:space="preserve"> - 10 </w:t>
                  </w:r>
                  <w:proofErr w:type="spellStart"/>
                  <w:r w:rsidRPr="006C006F">
                    <w:rPr>
                      <w:rFonts w:eastAsia="Times New Roman" w:cs="Times New Roman"/>
                      <w:color w:val="000000"/>
                      <w:sz w:val="20"/>
                      <w:szCs w:val="20"/>
                      <w:lang w:eastAsia="lv-LV"/>
                    </w:rPr>
                    <w:t>gab</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1.10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0.09</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43</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Neitropā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hipotenzīvā</w:t>
                  </w:r>
                  <w:proofErr w:type="spellEnd"/>
                  <w:r w:rsidRPr="006C006F">
                    <w:rPr>
                      <w:rFonts w:eastAsia="Times New Roman" w:cs="Times New Roman"/>
                      <w:color w:val="000000"/>
                      <w:sz w:val="20"/>
                      <w:szCs w:val="20"/>
                      <w:lang w:eastAsia="lv-LV"/>
                    </w:rPr>
                    <w:t xml:space="preserve"> līdzekļa šķīdums injekcijām (</w:t>
                  </w:r>
                  <w:proofErr w:type="spellStart"/>
                  <w:r w:rsidRPr="006C006F">
                    <w:rPr>
                      <w:rFonts w:eastAsia="Times New Roman" w:cs="Times New Roman"/>
                      <w:color w:val="000000"/>
                      <w:sz w:val="20"/>
                      <w:szCs w:val="20"/>
                      <w:lang w:eastAsia="lv-LV"/>
                    </w:rPr>
                    <w:t>Clonidini</w:t>
                  </w:r>
                  <w:proofErr w:type="spellEnd"/>
                  <w:r w:rsidRPr="006C006F">
                    <w:rPr>
                      <w:rFonts w:eastAsia="Times New Roman" w:cs="Times New Roman"/>
                      <w:color w:val="000000"/>
                      <w:sz w:val="20"/>
                      <w:szCs w:val="20"/>
                      <w:lang w:eastAsia="lv-LV"/>
                    </w:rPr>
                    <w:t xml:space="preserve"> 150qm/ml, 1 ml ampula - 5 </w:t>
                  </w:r>
                  <w:proofErr w:type="spellStart"/>
                  <w:r w:rsidRPr="006C006F">
                    <w:rPr>
                      <w:rFonts w:eastAsia="Times New Roman" w:cs="Times New Roman"/>
                      <w:color w:val="000000"/>
                      <w:sz w:val="20"/>
                      <w:szCs w:val="20"/>
                      <w:lang w:eastAsia="lv-LV"/>
                    </w:rPr>
                    <w:t>gab</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0.33</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44</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Neitropā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hipotenzīvā</w:t>
                  </w:r>
                  <w:proofErr w:type="spellEnd"/>
                  <w:r w:rsidRPr="006C006F">
                    <w:rPr>
                      <w:rFonts w:eastAsia="Times New Roman" w:cs="Times New Roman"/>
                      <w:color w:val="000000"/>
                      <w:sz w:val="20"/>
                      <w:szCs w:val="20"/>
                      <w:lang w:eastAsia="lv-LV"/>
                    </w:rPr>
                    <w:t xml:space="preserve"> līdzekļa tabletes (</w:t>
                  </w:r>
                  <w:proofErr w:type="spellStart"/>
                  <w:r w:rsidRPr="006C006F">
                    <w:rPr>
                      <w:rFonts w:eastAsia="Times New Roman" w:cs="Times New Roman"/>
                      <w:color w:val="000000"/>
                      <w:sz w:val="20"/>
                      <w:szCs w:val="20"/>
                      <w:lang w:eastAsia="lv-LV"/>
                    </w:rPr>
                    <w:t>Clonidin</w:t>
                  </w:r>
                  <w:proofErr w:type="spellEnd"/>
                  <w:r w:rsidRPr="006C006F">
                    <w:rPr>
                      <w:rFonts w:eastAsia="Times New Roman" w:cs="Times New Roman"/>
                      <w:color w:val="000000"/>
                      <w:sz w:val="20"/>
                      <w:szCs w:val="20"/>
                      <w:lang w:eastAsia="lv-LV"/>
                    </w:rPr>
                    <w:t xml:space="preserve"> 150 </w:t>
                  </w:r>
                  <w:proofErr w:type="spellStart"/>
                  <w:r w:rsidRPr="006C006F">
                    <w:rPr>
                      <w:rFonts w:eastAsia="Times New Roman" w:cs="Times New Roman"/>
                      <w:color w:val="000000"/>
                      <w:sz w:val="20"/>
                      <w:szCs w:val="20"/>
                      <w:lang w:eastAsia="lv-LV"/>
                    </w:rPr>
                    <w:t>qg</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tbl</w:t>
                  </w:r>
                  <w:proofErr w:type="spellEnd"/>
                  <w:r w:rsidRPr="006C006F">
                    <w:rPr>
                      <w:rFonts w:eastAsia="Times New Roman" w:cs="Times New Roman"/>
                      <w:color w:val="000000"/>
                      <w:sz w:val="20"/>
                      <w:szCs w:val="20"/>
                      <w:lang w:eastAsia="lv-LV"/>
                    </w:rPr>
                    <w:t xml:space="preserve"> - 10 tabletes vai </w:t>
                  </w:r>
                  <w:proofErr w:type="spellStart"/>
                  <w:r w:rsidRPr="006C006F">
                    <w:rPr>
                      <w:rFonts w:eastAsia="Times New Roman" w:cs="Times New Roman"/>
                      <w:color w:val="000000"/>
                      <w:sz w:val="20"/>
                      <w:szCs w:val="20"/>
                      <w:lang w:eastAsia="lv-LV"/>
                    </w:rPr>
                    <w:t>Moxonidini</w:t>
                  </w:r>
                  <w:proofErr w:type="spellEnd"/>
                  <w:r w:rsidRPr="006C006F">
                    <w:rPr>
                      <w:rFonts w:eastAsia="Times New Roman" w:cs="Times New Roman"/>
                      <w:color w:val="000000"/>
                      <w:sz w:val="20"/>
                      <w:szCs w:val="20"/>
                      <w:lang w:eastAsia="lv-LV"/>
                    </w:rPr>
                    <w:t xml:space="preserve"> 200 </w:t>
                  </w:r>
                  <w:proofErr w:type="spellStart"/>
                  <w:r w:rsidRPr="006C006F">
                    <w:rPr>
                      <w:rFonts w:eastAsia="Times New Roman" w:cs="Times New Roman"/>
                      <w:color w:val="000000"/>
                      <w:sz w:val="20"/>
                      <w:szCs w:val="20"/>
                      <w:lang w:eastAsia="lv-LV"/>
                    </w:rPr>
                    <w:t>qg</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tbl</w:t>
                  </w:r>
                  <w:proofErr w:type="spellEnd"/>
                  <w:r w:rsidRPr="006C006F">
                    <w:rPr>
                      <w:rFonts w:eastAsia="Times New Roman" w:cs="Times New Roman"/>
                      <w:color w:val="000000"/>
                      <w:sz w:val="20"/>
                      <w:szCs w:val="20"/>
                      <w:lang w:eastAsia="lv-LV"/>
                    </w:rPr>
                    <w:t xml:space="preserve"> - 10 tabletes)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2.36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0.20</w:t>
                  </w:r>
                </w:p>
              </w:tc>
            </w:tr>
            <w:tr w:rsidR="00D2680E" w:rsidRPr="006C006F" w:rsidTr="00D2680E">
              <w:trPr>
                <w:trHeight w:val="76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45</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Koronarolītiskā</w:t>
                  </w:r>
                  <w:proofErr w:type="spellEnd"/>
                  <w:r w:rsidRPr="006C006F">
                    <w:rPr>
                      <w:rFonts w:eastAsia="Times New Roman" w:cs="Times New Roman"/>
                      <w:color w:val="000000"/>
                      <w:sz w:val="20"/>
                      <w:szCs w:val="20"/>
                      <w:lang w:eastAsia="lv-LV"/>
                    </w:rPr>
                    <w:t xml:space="preserve"> līdzekļa, kalcija antagonista tabletes (</w:t>
                  </w:r>
                  <w:proofErr w:type="spellStart"/>
                  <w:r w:rsidRPr="006C006F">
                    <w:rPr>
                      <w:rFonts w:eastAsia="Times New Roman" w:cs="Times New Roman"/>
                      <w:color w:val="000000"/>
                      <w:sz w:val="20"/>
                      <w:szCs w:val="20"/>
                      <w:lang w:eastAsia="lv-LV"/>
                    </w:rPr>
                    <w:t>Amlodipine</w:t>
                  </w:r>
                  <w:proofErr w:type="spellEnd"/>
                  <w:r w:rsidRPr="006C006F">
                    <w:rPr>
                      <w:rFonts w:eastAsia="Times New Roman" w:cs="Times New Roman"/>
                      <w:color w:val="000000"/>
                      <w:sz w:val="20"/>
                      <w:szCs w:val="20"/>
                      <w:lang w:eastAsia="lv-LV"/>
                    </w:rPr>
                    <w:t xml:space="preserve"> 5 mg tabletes -10 gab. vai </w:t>
                  </w:r>
                  <w:proofErr w:type="spellStart"/>
                  <w:r w:rsidRPr="006C006F">
                    <w:rPr>
                      <w:rFonts w:eastAsia="Times New Roman" w:cs="Times New Roman"/>
                      <w:color w:val="000000"/>
                      <w:sz w:val="20"/>
                      <w:szCs w:val="20"/>
                      <w:lang w:eastAsia="lv-LV"/>
                    </w:rPr>
                    <w:t>Nifedipine</w:t>
                  </w:r>
                  <w:proofErr w:type="spellEnd"/>
                  <w:r w:rsidRPr="006C006F">
                    <w:rPr>
                      <w:rFonts w:eastAsia="Times New Roman" w:cs="Times New Roman"/>
                      <w:color w:val="000000"/>
                      <w:sz w:val="20"/>
                      <w:szCs w:val="20"/>
                      <w:lang w:eastAsia="lv-LV"/>
                    </w:rPr>
                    <w:t xml:space="preserve"> 10 mg - 20 mg tabletes - 10 gab., vai </w:t>
                  </w:r>
                  <w:proofErr w:type="spellStart"/>
                  <w:r w:rsidRPr="006C006F">
                    <w:rPr>
                      <w:rFonts w:eastAsia="Times New Roman" w:cs="Times New Roman"/>
                      <w:color w:val="000000"/>
                      <w:sz w:val="20"/>
                      <w:szCs w:val="20"/>
                      <w:lang w:eastAsia="lv-LV"/>
                    </w:rPr>
                    <w:t>Felodipine</w:t>
                  </w:r>
                  <w:proofErr w:type="spellEnd"/>
                  <w:r w:rsidRPr="006C006F">
                    <w:rPr>
                      <w:rFonts w:eastAsia="Times New Roman" w:cs="Times New Roman"/>
                      <w:color w:val="000000"/>
                      <w:sz w:val="20"/>
                      <w:szCs w:val="20"/>
                      <w:lang w:eastAsia="lv-LV"/>
                    </w:rPr>
                    <w:t xml:space="preserve"> 5 mg tabletes - 10 </w:t>
                  </w:r>
                  <w:proofErr w:type="spellStart"/>
                  <w:r w:rsidRPr="006C006F">
                    <w:rPr>
                      <w:rFonts w:eastAsia="Times New Roman" w:cs="Times New Roman"/>
                      <w:color w:val="000000"/>
                      <w:sz w:val="20"/>
                      <w:szCs w:val="20"/>
                      <w:lang w:eastAsia="lv-LV"/>
                    </w:rPr>
                    <w:t>gb</w:t>
                  </w:r>
                  <w:proofErr w:type="spellEnd"/>
                  <w:r w:rsidRPr="006C006F">
                    <w:rPr>
                      <w:rFonts w:eastAsia="Times New Roman" w:cs="Times New Roman"/>
                      <w:color w:val="000000"/>
                      <w:sz w:val="20"/>
                      <w:szCs w:val="20"/>
                      <w:lang w:eastAsia="lv-LV"/>
                    </w:rPr>
                    <w:t xml:space="preserve">., vai </w:t>
                  </w:r>
                  <w:proofErr w:type="spellStart"/>
                  <w:r w:rsidRPr="006C006F">
                    <w:rPr>
                      <w:rFonts w:eastAsia="Times New Roman" w:cs="Times New Roman"/>
                      <w:color w:val="000000"/>
                      <w:sz w:val="20"/>
                      <w:szCs w:val="20"/>
                      <w:lang w:eastAsia="lv-LV"/>
                    </w:rPr>
                    <w:t>Nicardipine</w:t>
                  </w:r>
                  <w:proofErr w:type="spellEnd"/>
                  <w:r w:rsidRPr="006C006F">
                    <w:rPr>
                      <w:rFonts w:eastAsia="Times New Roman" w:cs="Times New Roman"/>
                      <w:color w:val="000000"/>
                      <w:sz w:val="20"/>
                      <w:szCs w:val="20"/>
                      <w:lang w:eastAsia="lv-LV"/>
                    </w:rPr>
                    <w:t xml:space="preserve"> 20 mg tabletes -10 </w:t>
                  </w:r>
                  <w:proofErr w:type="spellStart"/>
                  <w:r w:rsidRPr="006C006F">
                    <w:rPr>
                      <w:rFonts w:eastAsia="Times New Roman" w:cs="Times New Roman"/>
                      <w:color w:val="000000"/>
                      <w:sz w:val="20"/>
                      <w:szCs w:val="20"/>
                      <w:lang w:eastAsia="lv-LV"/>
                    </w:rPr>
                    <w:t>gb</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0.41</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0.03</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46</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Koronarolītiska</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līdzkļa</w:t>
                  </w:r>
                  <w:proofErr w:type="spellEnd"/>
                  <w:r w:rsidRPr="006C006F">
                    <w:rPr>
                      <w:rFonts w:eastAsia="Times New Roman" w:cs="Times New Roman"/>
                      <w:color w:val="000000"/>
                      <w:sz w:val="20"/>
                      <w:szCs w:val="20"/>
                      <w:lang w:eastAsia="lv-LV"/>
                    </w:rPr>
                    <w:t xml:space="preserve"> zemmēles aerosols (</w:t>
                  </w:r>
                  <w:proofErr w:type="spellStart"/>
                  <w:r w:rsidRPr="006C006F">
                    <w:rPr>
                      <w:rFonts w:eastAsia="Times New Roman" w:cs="Times New Roman"/>
                      <w:color w:val="000000"/>
                      <w:sz w:val="20"/>
                      <w:szCs w:val="20"/>
                      <w:lang w:eastAsia="lv-LV"/>
                    </w:rPr>
                    <w:t>Nitromit</w:t>
                  </w:r>
                  <w:proofErr w:type="spellEnd"/>
                  <w:r w:rsidRPr="006C006F">
                    <w:rPr>
                      <w:rFonts w:eastAsia="Times New Roman" w:cs="Times New Roman"/>
                      <w:color w:val="000000"/>
                      <w:sz w:val="20"/>
                      <w:szCs w:val="20"/>
                      <w:lang w:eastAsia="lv-LV"/>
                    </w:rPr>
                    <w:t xml:space="preserve"> 0,4mg) 180 devas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6.38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0.53</w:t>
                  </w:r>
                </w:p>
              </w:tc>
            </w:tr>
            <w:tr w:rsidR="00D2680E" w:rsidRPr="006C006F" w:rsidTr="00D2680E">
              <w:trPr>
                <w:trHeight w:val="102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47</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Koronarolītiska</w:t>
                  </w:r>
                  <w:proofErr w:type="spellEnd"/>
                  <w:r w:rsidRPr="006C006F">
                    <w:rPr>
                      <w:rFonts w:eastAsia="Times New Roman" w:cs="Times New Roman"/>
                      <w:color w:val="000000"/>
                      <w:sz w:val="20"/>
                      <w:szCs w:val="20"/>
                      <w:lang w:eastAsia="lv-LV"/>
                    </w:rPr>
                    <w:t xml:space="preserve"> līdzekļa tabletes ( </w:t>
                  </w:r>
                  <w:proofErr w:type="spellStart"/>
                  <w:r w:rsidRPr="006C006F">
                    <w:rPr>
                      <w:rFonts w:eastAsia="Times New Roman" w:cs="Times New Roman"/>
                      <w:color w:val="000000"/>
                      <w:sz w:val="20"/>
                      <w:szCs w:val="20"/>
                      <w:lang w:eastAsia="lv-LV"/>
                    </w:rPr>
                    <w:t>Isosorbidi</w:t>
                  </w:r>
                  <w:proofErr w:type="spellEnd"/>
                  <w:r w:rsidRPr="006C006F">
                    <w:rPr>
                      <w:rFonts w:eastAsia="Times New Roman" w:cs="Times New Roman"/>
                      <w:color w:val="000000"/>
                      <w:sz w:val="20"/>
                      <w:szCs w:val="20"/>
                      <w:lang w:eastAsia="lv-LV"/>
                    </w:rPr>
                    <w:t xml:space="preserve"> 10-30 mg - 10 gab. vai </w:t>
                  </w:r>
                  <w:proofErr w:type="spellStart"/>
                  <w:r w:rsidRPr="006C006F">
                    <w:rPr>
                      <w:rFonts w:eastAsia="Times New Roman" w:cs="Times New Roman"/>
                      <w:color w:val="000000"/>
                      <w:sz w:val="20"/>
                      <w:szCs w:val="20"/>
                      <w:lang w:eastAsia="lv-LV"/>
                    </w:rPr>
                    <w:t>Isosorbidi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mononitrate</w:t>
                  </w:r>
                  <w:proofErr w:type="spellEnd"/>
                  <w:r w:rsidRPr="006C006F">
                    <w:rPr>
                      <w:rFonts w:eastAsia="Times New Roman" w:cs="Times New Roman"/>
                      <w:color w:val="000000"/>
                      <w:sz w:val="20"/>
                      <w:szCs w:val="20"/>
                      <w:lang w:eastAsia="lv-LV"/>
                    </w:rPr>
                    <w:t xml:space="preserve"> 10 mg tabletes - 10 gab., vai </w:t>
                  </w:r>
                  <w:proofErr w:type="spellStart"/>
                  <w:r w:rsidRPr="006C006F">
                    <w:rPr>
                      <w:rFonts w:eastAsia="Times New Roman" w:cs="Times New Roman"/>
                      <w:color w:val="000000"/>
                      <w:sz w:val="20"/>
                      <w:szCs w:val="20"/>
                      <w:lang w:eastAsia="lv-LV"/>
                    </w:rPr>
                    <w:t>Glycerili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trinitrate</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qg</w:t>
                  </w:r>
                  <w:proofErr w:type="spellEnd"/>
                  <w:r w:rsidRPr="006C006F">
                    <w:rPr>
                      <w:rFonts w:eastAsia="Times New Roman" w:cs="Times New Roman"/>
                      <w:color w:val="000000"/>
                      <w:sz w:val="20"/>
                      <w:szCs w:val="20"/>
                      <w:lang w:eastAsia="lv-LV"/>
                    </w:rPr>
                    <w:t xml:space="preserve"> - 2 mg tabletes - 10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0.73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0.06</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48</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Bronholotiskā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līdzkļa</w:t>
                  </w:r>
                  <w:proofErr w:type="spellEnd"/>
                  <w:r w:rsidRPr="006C006F">
                    <w:rPr>
                      <w:rFonts w:eastAsia="Times New Roman" w:cs="Times New Roman"/>
                      <w:color w:val="000000"/>
                      <w:sz w:val="20"/>
                      <w:szCs w:val="20"/>
                      <w:lang w:eastAsia="lv-LV"/>
                    </w:rPr>
                    <w:t xml:space="preserve"> aerosols inhalācijām (</w:t>
                  </w:r>
                  <w:proofErr w:type="spellStart"/>
                  <w:r w:rsidRPr="006C006F">
                    <w:rPr>
                      <w:rFonts w:eastAsia="Times New Roman" w:cs="Times New Roman"/>
                      <w:color w:val="000000"/>
                      <w:sz w:val="20"/>
                      <w:szCs w:val="20"/>
                      <w:lang w:eastAsia="lv-LV"/>
                    </w:rPr>
                    <w:t>Salbutamoli</w:t>
                  </w:r>
                  <w:proofErr w:type="spellEnd"/>
                  <w:r w:rsidRPr="006C006F">
                    <w:rPr>
                      <w:rFonts w:eastAsia="Times New Roman" w:cs="Times New Roman"/>
                      <w:color w:val="000000"/>
                      <w:sz w:val="20"/>
                      <w:szCs w:val="20"/>
                      <w:lang w:eastAsia="lv-LV"/>
                    </w:rPr>
                    <w:t xml:space="preserve"> 100qg/deva -1 </w:t>
                  </w:r>
                  <w:proofErr w:type="spellStart"/>
                  <w:r w:rsidRPr="006C006F">
                    <w:rPr>
                      <w:rFonts w:eastAsia="Times New Roman" w:cs="Times New Roman"/>
                      <w:color w:val="000000"/>
                      <w:sz w:val="20"/>
                      <w:szCs w:val="20"/>
                      <w:lang w:eastAsia="lv-LV"/>
                    </w:rPr>
                    <w:t>orģināls</w:t>
                  </w:r>
                  <w:proofErr w:type="spellEnd"/>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3.57</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0.30</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49</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Bronholītiskā</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līdzkļa</w:t>
                  </w:r>
                  <w:proofErr w:type="spellEnd"/>
                  <w:r w:rsidRPr="006C006F">
                    <w:rPr>
                      <w:rFonts w:eastAsia="Times New Roman" w:cs="Times New Roman"/>
                      <w:color w:val="000000"/>
                      <w:sz w:val="20"/>
                      <w:szCs w:val="20"/>
                      <w:lang w:eastAsia="lv-LV"/>
                    </w:rPr>
                    <w:t xml:space="preserve">  šķīdums injekcijām  (</w:t>
                  </w:r>
                  <w:proofErr w:type="spellStart"/>
                  <w:r w:rsidRPr="006C006F">
                    <w:rPr>
                      <w:rFonts w:eastAsia="Times New Roman" w:cs="Times New Roman"/>
                      <w:color w:val="000000"/>
                      <w:sz w:val="20"/>
                      <w:szCs w:val="20"/>
                      <w:lang w:eastAsia="lv-LV"/>
                    </w:rPr>
                    <w:t>Aminophylini</w:t>
                  </w:r>
                  <w:proofErr w:type="spellEnd"/>
                  <w:r w:rsidRPr="006C006F">
                    <w:rPr>
                      <w:rFonts w:eastAsia="Times New Roman" w:cs="Times New Roman"/>
                      <w:color w:val="000000"/>
                      <w:sz w:val="20"/>
                      <w:szCs w:val="20"/>
                      <w:lang w:eastAsia="lv-LV"/>
                    </w:rPr>
                    <w:t xml:space="preserve"> 24 mg/ml, 5 ml vai 10 ml ampulas - 5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9.53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0.79</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50</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Trankvilizatora šķīdums  injekcijām (</w:t>
                  </w:r>
                  <w:proofErr w:type="spellStart"/>
                  <w:r w:rsidRPr="006C006F">
                    <w:rPr>
                      <w:rFonts w:eastAsia="Times New Roman" w:cs="Times New Roman"/>
                      <w:color w:val="000000"/>
                      <w:sz w:val="20"/>
                      <w:szCs w:val="20"/>
                      <w:lang w:eastAsia="lv-LV"/>
                    </w:rPr>
                    <w:t>Diazepami</w:t>
                  </w:r>
                  <w:proofErr w:type="spellEnd"/>
                  <w:r w:rsidRPr="006C006F">
                    <w:rPr>
                      <w:rFonts w:eastAsia="Times New Roman" w:cs="Times New Roman"/>
                      <w:color w:val="000000"/>
                      <w:sz w:val="20"/>
                      <w:szCs w:val="20"/>
                      <w:lang w:eastAsia="lv-LV"/>
                    </w:rPr>
                    <w:t xml:space="preserve"> 5 mg/ml, 2 ml ampulas - 5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3.66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0.31</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51</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Neiroleptiskā</w:t>
                  </w:r>
                  <w:proofErr w:type="spellEnd"/>
                  <w:r w:rsidRPr="006C006F">
                    <w:rPr>
                      <w:rFonts w:eastAsia="Times New Roman" w:cs="Times New Roman"/>
                      <w:color w:val="000000"/>
                      <w:sz w:val="20"/>
                      <w:szCs w:val="20"/>
                      <w:lang w:eastAsia="lv-LV"/>
                    </w:rPr>
                    <w:t xml:space="preserve"> līdzekļa šķīdums  injekcijām ( Furosemīdi 10 mg/ml 1 ml ampulas - 5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5.30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0.44</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52</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xml:space="preserve">Glikokortikoīdu šķīdums injekcijām ( </w:t>
                  </w:r>
                  <w:proofErr w:type="spellStart"/>
                  <w:r w:rsidRPr="006C006F">
                    <w:rPr>
                      <w:rFonts w:eastAsia="Times New Roman" w:cs="Times New Roman"/>
                      <w:color w:val="000000"/>
                      <w:sz w:val="20"/>
                      <w:szCs w:val="20"/>
                      <w:lang w:eastAsia="lv-LV"/>
                    </w:rPr>
                    <w:t>Dexamethasoni</w:t>
                  </w:r>
                  <w:proofErr w:type="spellEnd"/>
                  <w:r w:rsidRPr="006C006F">
                    <w:rPr>
                      <w:rFonts w:eastAsia="Times New Roman" w:cs="Times New Roman"/>
                      <w:color w:val="000000"/>
                      <w:sz w:val="20"/>
                      <w:szCs w:val="20"/>
                      <w:lang w:eastAsia="lv-LV"/>
                    </w:rPr>
                    <w:t xml:space="preserve"> 4 mg/ml, 1 ml ampulas 5 </w:t>
                  </w:r>
                  <w:proofErr w:type="spellStart"/>
                  <w:r w:rsidRPr="006C006F">
                    <w:rPr>
                      <w:rFonts w:eastAsia="Times New Roman" w:cs="Times New Roman"/>
                      <w:color w:val="000000"/>
                      <w:sz w:val="20"/>
                      <w:szCs w:val="20"/>
                      <w:lang w:eastAsia="lv-LV"/>
                    </w:rPr>
                    <w:t>gab</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1.43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0.12</w:t>
                  </w:r>
                </w:p>
              </w:tc>
            </w:tr>
            <w:tr w:rsidR="00D2680E" w:rsidRPr="006C006F" w:rsidTr="00D2680E">
              <w:trPr>
                <w:trHeight w:val="76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53</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Pretindes pulveris, emulsija vai tabletes (</w:t>
                  </w:r>
                  <w:proofErr w:type="spellStart"/>
                  <w:r w:rsidRPr="006C006F">
                    <w:rPr>
                      <w:rFonts w:eastAsia="Times New Roman" w:cs="Times New Roman"/>
                      <w:color w:val="000000"/>
                      <w:sz w:val="20"/>
                      <w:szCs w:val="20"/>
                      <w:lang w:eastAsia="lv-LV"/>
                    </w:rPr>
                    <w:t>Carbon</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activ</w:t>
                  </w:r>
                  <w:proofErr w:type="spellEnd"/>
                  <w:r w:rsidRPr="006C006F">
                    <w:rPr>
                      <w:rFonts w:eastAsia="Times New Roman" w:cs="Times New Roman"/>
                      <w:color w:val="000000"/>
                      <w:sz w:val="20"/>
                      <w:szCs w:val="20"/>
                      <w:lang w:eastAsia="lv-LV"/>
                    </w:rPr>
                    <w:t>. Tabletes vai pulveris, 25 g deva)</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0.23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0.02</w:t>
                  </w:r>
                </w:p>
              </w:tc>
            </w:tr>
            <w:tr w:rsidR="00D2680E" w:rsidRPr="006C006F" w:rsidTr="00D2680E">
              <w:trPr>
                <w:trHeight w:val="102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54</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Antihistamīno</w:t>
                  </w:r>
                  <w:proofErr w:type="spellEnd"/>
                  <w:r w:rsidRPr="006C006F">
                    <w:rPr>
                      <w:rFonts w:eastAsia="Times New Roman" w:cs="Times New Roman"/>
                      <w:color w:val="000000"/>
                      <w:sz w:val="20"/>
                      <w:szCs w:val="20"/>
                      <w:lang w:eastAsia="lv-LV"/>
                    </w:rPr>
                    <w:t xml:space="preserve"> līdzekļu šķīdums injekcijām ( </w:t>
                  </w:r>
                  <w:proofErr w:type="spellStart"/>
                  <w:r w:rsidRPr="006C006F">
                    <w:rPr>
                      <w:rFonts w:eastAsia="Times New Roman" w:cs="Times New Roman"/>
                      <w:color w:val="000000"/>
                      <w:sz w:val="20"/>
                      <w:szCs w:val="20"/>
                      <w:lang w:eastAsia="lv-LV"/>
                    </w:rPr>
                    <w:t>Clemastini</w:t>
                  </w:r>
                  <w:proofErr w:type="spellEnd"/>
                  <w:r w:rsidRPr="006C006F">
                    <w:rPr>
                      <w:rFonts w:eastAsia="Times New Roman" w:cs="Times New Roman"/>
                      <w:color w:val="000000"/>
                      <w:sz w:val="20"/>
                      <w:szCs w:val="20"/>
                      <w:lang w:eastAsia="lv-LV"/>
                    </w:rPr>
                    <w:t xml:space="preserve"> 1 mg/ml, 2 ml ampulas - 5 gab. vai </w:t>
                  </w:r>
                  <w:proofErr w:type="spellStart"/>
                  <w:r w:rsidRPr="006C006F">
                    <w:rPr>
                      <w:rFonts w:eastAsia="Times New Roman" w:cs="Times New Roman"/>
                      <w:color w:val="000000"/>
                      <w:sz w:val="20"/>
                      <w:szCs w:val="20"/>
                      <w:lang w:eastAsia="lv-LV"/>
                    </w:rPr>
                    <w:t>Chlorphenamini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maleati</w:t>
                  </w:r>
                  <w:proofErr w:type="spellEnd"/>
                  <w:r w:rsidRPr="006C006F">
                    <w:rPr>
                      <w:rFonts w:eastAsia="Times New Roman" w:cs="Times New Roman"/>
                      <w:color w:val="000000"/>
                      <w:sz w:val="20"/>
                      <w:szCs w:val="20"/>
                      <w:lang w:eastAsia="lv-LV"/>
                    </w:rPr>
                    <w:t xml:space="preserve"> 10 mg/ml/1 ml ampulas - 5 </w:t>
                  </w:r>
                  <w:proofErr w:type="spellStart"/>
                  <w:r w:rsidRPr="006C006F">
                    <w:rPr>
                      <w:rFonts w:eastAsia="Times New Roman" w:cs="Times New Roman"/>
                      <w:color w:val="000000"/>
                      <w:sz w:val="20"/>
                      <w:szCs w:val="20"/>
                      <w:lang w:eastAsia="lv-LV"/>
                    </w:rPr>
                    <w:t>gab</w:t>
                  </w:r>
                  <w:proofErr w:type="spellEnd"/>
                  <w:r w:rsidRPr="006C006F">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3.74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0.31</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55</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Stripi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Lipid</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Profile</w:t>
                  </w:r>
                  <w:proofErr w:type="spellEnd"/>
                  <w:r w:rsidRPr="006C006F">
                    <w:rPr>
                      <w:rFonts w:eastAsia="Times New Roman" w:cs="Times New Roman"/>
                      <w:color w:val="000000"/>
                      <w:sz w:val="20"/>
                      <w:szCs w:val="20"/>
                      <w:lang w:eastAsia="lv-LV"/>
                    </w:rPr>
                    <w:t xml:space="preserve"> (vienā </w:t>
                  </w:r>
                  <w:proofErr w:type="spellStart"/>
                  <w:r w:rsidRPr="006C006F">
                    <w:rPr>
                      <w:rFonts w:eastAsia="Times New Roman" w:cs="Times New Roman"/>
                      <w:color w:val="000000"/>
                      <w:sz w:val="20"/>
                      <w:szCs w:val="20"/>
                      <w:lang w:eastAsia="lv-LV"/>
                    </w:rPr>
                    <w:t>stripā</w:t>
                  </w:r>
                  <w:proofErr w:type="spellEnd"/>
                  <w:r w:rsidRPr="006C006F">
                    <w:rPr>
                      <w:rFonts w:eastAsia="Times New Roman" w:cs="Times New Roman"/>
                      <w:color w:val="000000"/>
                      <w:sz w:val="20"/>
                      <w:szCs w:val="20"/>
                      <w:lang w:eastAsia="lv-LV"/>
                    </w:rPr>
                    <w:t xml:space="preserve"> HOL, </w:t>
                  </w:r>
                  <w:proofErr w:type="spellStart"/>
                  <w:r w:rsidRPr="006C006F">
                    <w:rPr>
                      <w:rFonts w:eastAsia="Times New Roman" w:cs="Times New Roman"/>
                      <w:color w:val="000000"/>
                      <w:sz w:val="20"/>
                      <w:szCs w:val="20"/>
                      <w:lang w:eastAsia="lv-LV"/>
                    </w:rPr>
                    <w:t>TRG,ABH,ZBL,ne</w:t>
                  </w:r>
                  <w:proofErr w:type="spellEnd"/>
                  <w:r w:rsidRPr="006C006F">
                    <w:rPr>
                      <w:rFonts w:eastAsia="Times New Roman" w:cs="Times New Roman"/>
                      <w:color w:val="000000"/>
                      <w:sz w:val="20"/>
                      <w:szCs w:val="20"/>
                      <w:lang w:eastAsia="lv-LV"/>
                    </w:rPr>
                    <w:t xml:space="preserve"> ABL)</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9.78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0.81</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56</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xml:space="preserve">Sāļu šķīdumi infūzijām ( </w:t>
                  </w:r>
                  <w:proofErr w:type="spellStart"/>
                  <w:r w:rsidRPr="006C006F">
                    <w:rPr>
                      <w:rFonts w:eastAsia="Times New Roman" w:cs="Times New Roman"/>
                      <w:color w:val="000000"/>
                      <w:sz w:val="20"/>
                      <w:szCs w:val="20"/>
                      <w:lang w:eastAsia="lv-LV"/>
                    </w:rPr>
                    <w:t>Natri</w:t>
                  </w:r>
                  <w:proofErr w:type="spellEnd"/>
                  <w:r w:rsidRPr="006C006F">
                    <w:rPr>
                      <w:rFonts w:eastAsia="Times New Roman" w:cs="Times New Roman"/>
                      <w:color w:val="000000"/>
                      <w:sz w:val="20"/>
                      <w:szCs w:val="20"/>
                      <w:lang w:eastAsia="lv-LV"/>
                    </w:rPr>
                    <w:t xml:space="preserve"> </w:t>
                  </w:r>
                  <w:proofErr w:type="spellStart"/>
                  <w:r w:rsidRPr="006C006F">
                    <w:rPr>
                      <w:rFonts w:eastAsia="Times New Roman" w:cs="Times New Roman"/>
                      <w:color w:val="000000"/>
                      <w:sz w:val="20"/>
                      <w:szCs w:val="20"/>
                      <w:lang w:eastAsia="lv-LV"/>
                    </w:rPr>
                    <w:t>cloride</w:t>
                  </w:r>
                  <w:proofErr w:type="spellEnd"/>
                  <w:r w:rsidRPr="006C006F">
                    <w:rPr>
                      <w:rFonts w:eastAsia="Times New Roman" w:cs="Times New Roman"/>
                      <w:color w:val="000000"/>
                      <w:sz w:val="20"/>
                      <w:szCs w:val="20"/>
                      <w:lang w:eastAsia="lv-LV"/>
                    </w:rPr>
                    <w:t xml:space="preserve"> 9 mg/ml, 250-500ml šķīdums)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0.08</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57</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Vienreizlietojamie cimdi</w:t>
                  </w:r>
                </w:p>
              </w:tc>
              <w:tc>
                <w:tcPr>
                  <w:tcW w:w="130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96.84</w:t>
                  </w:r>
                </w:p>
              </w:tc>
              <w:tc>
                <w:tcPr>
                  <w:tcW w:w="1540" w:type="dxa"/>
                  <w:tcBorders>
                    <w:top w:val="nil"/>
                    <w:left w:val="single" w:sz="4" w:space="0" w:color="auto"/>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8.07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58</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Dezinfekcijas līdzekļi 5 ml</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140.04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11.67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59</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 xml:space="preserve">sterils dzemdību komplekts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5.04</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0.42</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lastRenderedPageBreak/>
                    <w:t>60</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Medicīniskais rullis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335.23</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27.94</w:t>
                  </w:r>
                </w:p>
              </w:tc>
            </w:tr>
            <w:tr w:rsidR="00D2680E" w:rsidRPr="006C006F" w:rsidTr="00D2680E">
              <w:trPr>
                <w:trHeight w:val="31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61</w:t>
                  </w:r>
                </w:p>
              </w:tc>
              <w:tc>
                <w:tcPr>
                  <w:tcW w:w="3900" w:type="dxa"/>
                  <w:tcBorders>
                    <w:top w:val="nil"/>
                    <w:left w:val="nil"/>
                    <w:bottom w:val="single" w:sz="8" w:space="0" w:color="auto"/>
                    <w:right w:val="single" w:sz="4" w:space="0" w:color="auto"/>
                  </w:tcBorders>
                  <w:shd w:val="clear" w:color="000000" w:fill="FFFFFF"/>
                  <w:vAlign w:val="center"/>
                  <w:hideMark/>
                </w:tcPr>
                <w:p w:rsidR="00D2680E" w:rsidRPr="006C006F" w:rsidRDefault="00D2680E" w:rsidP="00D2680E">
                  <w:pPr>
                    <w:rPr>
                      <w:rFonts w:eastAsia="Times New Roman" w:cs="Times New Roman"/>
                      <w:sz w:val="20"/>
                      <w:szCs w:val="20"/>
                      <w:lang w:eastAsia="lv-LV"/>
                    </w:rPr>
                  </w:pPr>
                  <w:r w:rsidRPr="006C006F">
                    <w:rPr>
                      <w:rFonts w:eastAsia="Times New Roman" w:cs="Times New Roman"/>
                      <w:sz w:val="20"/>
                      <w:szCs w:val="20"/>
                      <w:lang w:eastAsia="lv-LV"/>
                    </w:rPr>
                    <w:t>Saimniecības preces, t.sk. roku dvielis</w:t>
                  </w:r>
                </w:p>
              </w:tc>
              <w:tc>
                <w:tcPr>
                  <w:tcW w:w="1300" w:type="dxa"/>
                  <w:tcBorders>
                    <w:top w:val="nil"/>
                    <w:left w:val="nil"/>
                    <w:bottom w:val="single" w:sz="8"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280.16</w:t>
                  </w:r>
                </w:p>
              </w:tc>
              <w:tc>
                <w:tcPr>
                  <w:tcW w:w="1540" w:type="dxa"/>
                  <w:tcBorders>
                    <w:top w:val="nil"/>
                    <w:left w:val="nil"/>
                    <w:bottom w:val="single" w:sz="8"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23.35</w:t>
                  </w:r>
                </w:p>
              </w:tc>
            </w:tr>
            <w:tr w:rsidR="00D2680E" w:rsidRPr="006C006F" w:rsidTr="00D2680E">
              <w:trPr>
                <w:trHeight w:val="315"/>
              </w:trPr>
              <w:tc>
                <w:tcPr>
                  <w:tcW w:w="1100"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Kopā Medikamenti un materiāli</w:t>
                  </w:r>
                </w:p>
              </w:tc>
              <w:tc>
                <w:tcPr>
                  <w:tcW w:w="1300" w:type="dxa"/>
                  <w:tcBorders>
                    <w:top w:val="nil"/>
                    <w:left w:val="nil"/>
                    <w:bottom w:val="single" w:sz="8" w:space="0" w:color="auto"/>
                    <w:right w:val="single" w:sz="4"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976.48</w:t>
                  </w:r>
                </w:p>
              </w:tc>
              <w:tc>
                <w:tcPr>
                  <w:tcW w:w="1540" w:type="dxa"/>
                  <w:tcBorders>
                    <w:top w:val="nil"/>
                    <w:left w:val="nil"/>
                    <w:bottom w:val="single" w:sz="8" w:space="0" w:color="auto"/>
                    <w:right w:val="single" w:sz="8"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81.36</w:t>
                  </w:r>
                </w:p>
              </w:tc>
            </w:tr>
            <w:tr w:rsidR="00D2680E" w:rsidRPr="006C006F" w:rsidTr="00D2680E">
              <w:trPr>
                <w:trHeight w:val="315"/>
              </w:trPr>
              <w:tc>
                <w:tcPr>
                  <w:tcW w:w="1100" w:type="dxa"/>
                  <w:tcBorders>
                    <w:top w:val="nil"/>
                    <w:left w:val="single" w:sz="8" w:space="0" w:color="auto"/>
                    <w:bottom w:val="single" w:sz="8" w:space="0" w:color="auto"/>
                    <w:right w:val="single" w:sz="4" w:space="0" w:color="auto"/>
                  </w:tcBorders>
                  <w:shd w:val="clear" w:color="000000" w:fill="92D050"/>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xml:space="preserve">Medicīniskā dokumentācija </w:t>
                  </w:r>
                </w:p>
              </w:tc>
              <w:tc>
                <w:tcPr>
                  <w:tcW w:w="1300" w:type="dxa"/>
                  <w:tcBorders>
                    <w:top w:val="nil"/>
                    <w:left w:val="nil"/>
                    <w:bottom w:val="single" w:sz="8" w:space="0" w:color="auto"/>
                    <w:right w:val="single" w:sz="4" w:space="0" w:color="auto"/>
                  </w:tcBorders>
                  <w:shd w:val="clear" w:color="000000" w:fill="92D050"/>
                  <w:noWrap/>
                  <w:vAlign w:val="center"/>
                  <w:hideMark/>
                </w:tcPr>
                <w:p w:rsidR="00D2680E" w:rsidRPr="006C006F" w:rsidRDefault="00D2680E" w:rsidP="00D2680E">
                  <w:pP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1540" w:type="dxa"/>
                  <w:tcBorders>
                    <w:top w:val="nil"/>
                    <w:left w:val="nil"/>
                    <w:bottom w:val="single" w:sz="8" w:space="0" w:color="auto"/>
                    <w:right w:val="single" w:sz="8" w:space="0" w:color="auto"/>
                  </w:tcBorders>
                  <w:shd w:val="clear" w:color="000000" w:fill="92D050"/>
                  <w:noWrap/>
                  <w:vAlign w:val="center"/>
                  <w:hideMark/>
                </w:tcPr>
                <w:p w:rsidR="00D2680E" w:rsidRPr="006C006F" w:rsidRDefault="00D2680E" w:rsidP="00D2680E">
                  <w:pP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r>
            <w:tr w:rsidR="00D2680E" w:rsidRPr="006C006F" w:rsidTr="00D2680E">
              <w:trPr>
                <w:trHeight w:val="525"/>
              </w:trPr>
              <w:tc>
                <w:tcPr>
                  <w:tcW w:w="1100" w:type="dxa"/>
                  <w:tcBorders>
                    <w:top w:val="nil"/>
                    <w:left w:val="single" w:sz="8" w:space="0" w:color="auto"/>
                    <w:bottom w:val="nil"/>
                    <w:right w:val="single" w:sz="4" w:space="0" w:color="auto"/>
                  </w:tcBorders>
                  <w:shd w:val="clear" w:color="auto" w:fill="auto"/>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62</w:t>
                  </w:r>
                </w:p>
              </w:tc>
              <w:tc>
                <w:tcPr>
                  <w:tcW w:w="3900" w:type="dxa"/>
                  <w:tcBorders>
                    <w:top w:val="nil"/>
                    <w:left w:val="nil"/>
                    <w:bottom w:val="nil"/>
                    <w:right w:val="single" w:sz="4" w:space="0" w:color="auto"/>
                  </w:tcBorders>
                  <w:shd w:val="clear" w:color="auto" w:fill="auto"/>
                  <w:vAlign w:val="center"/>
                  <w:hideMark/>
                </w:tcPr>
                <w:p w:rsidR="00D2680E" w:rsidRPr="006C006F" w:rsidRDefault="00D2680E" w:rsidP="00D2680E">
                  <w:pPr>
                    <w:jc w:val="both"/>
                    <w:rPr>
                      <w:rFonts w:eastAsia="Times New Roman" w:cs="Times New Roman"/>
                      <w:color w:val="000000"/>
                      <w:sz w:val="20"/>
                      <w:szCs w:val="20"/>
                      <w:lang w:eastAsia="lv-LV"/>
                    </w:rPr>
                  </w:pPr>
                  <w:r w:rsidRPr="006C006F">
                    <w:rPr>
                      <w:rFonts w:eastAsia="Times New Roman" w:cs="Times New Roman"/>
                      <w:color w:val="000000"/>
                      <w:sz w:val="20"/>
                      <w:szCs w:val="20"/>
                      <w:lang w:eastAsia="lv-LV"/>
                    </w:rPr>
                    <w:t>Medicīniskā dokumentācija (ambulatoras kartes, receptes, citas veidlapas)</w:t>
                  </w:r>
                </w:p>
              </w:tc>
              <w:tc>
                <w:tcPr>
                  <w:tcW w:w="1300" w:type="dxa"/>
                  <w:tcBorders>
                    <w:top w:val="nil"/>
                    <w:left w:val="nil"/>
                    <w:bottom w:val="nil"/>
                    <w:right w:val="single" w:sz="4" w:space="0" w:color="auto"/>
                  </w:tcBorders>
                  <w:shd w:val="clear" w:color="auto" w:fill="auto"/>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514.80</w:t>
                  </w:r>
                </w:p>
              </w:tc>
              <w:tc>
                <w:tcPr>
                  <w:tcW w:w="1540" w:type="dxa"/>
                  <w:tcBorders>
                    <w:top w:val="nil"/>
                    <w:left w:val="nil"/>
                    <w:bottom w:val="nil"/>
                    <w:right w:val="single" w:sz="8" w:space="0" w:color="auto"/>
                  </w:tcBorders>
                  <w:shd w:val="clear" w:color="auto" w:fill="auto"/>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42.90</w:t>
                  </w:r>
                </w:p>
              </w:tc>
            </w:tr>
            <w:tr w:rsidR="00D2680E" w:rsidRPr="006C006F" w:rsidTr="00D2680E">
              <w:trPr>
                <w:trHeight w:val="315"/>
              </w:trPr>
              <w:tc>
                <w:tcPr>
                  <w:tcW w:w="1100"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single" w:sz="8" w:space="0" w:color="auto"/>
                    <w:left w:val="nil"/>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Kopā medicīniskā dokumentācija</w:t>
                  </w:r>
                </w:p>
              </w:tc>
              <w:tc>
                <w:tcPr>
                  <w:tcW w:w="1300" w:type="dxa"/>
                  <w:tcBorders>
                    <w:top w:val="single" w:sz="8" w:space="0" w:color="auto"/>
                    <w:left w:val="nil"/>
                    <w:bottom w:val="single" w:sz="8" w:space="0" w:color="auto"/>
                    <w:right w:val="single" w:sz="4"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514.80</w:t>
                  </w:r>
                </w:p>
              </w:tc>
              <w:tc>
                <w:tcPr>
                  <w:tcW w:w="1540" w:type="dxa"/>
                  <w:tcBorders>
                    <w:top w:val="single" w:sz="8" w:space="0" w:color="auto"/>
                    <w:left w:val="nil"/>
                    <w:bottom w:val="single" w:sz="8" w:space="0" w:color="auto"/>
                    <w:right w:val="single" w:sz="8"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42.90</w:t>
                  </w:r>
                </w:p>
              </w:tc>
            </w:tr>
            <w:tr w:rsidR="00D2680E" w:rsidRPr="006C006F" w:rsidTr="00D2680E">
              <w:trPr>
                <w:trHeight w:val="315"/>
              </w:trPr>
              <w:tc>
                <w:tcPr>
                  <w:tcW w:w="1100" w:type="dxa"/>
                  <w:tcBorders>
                    <w:top w:val="nil"/>
                    <w:left w:val="single" w:sz="8" w:space="0" w:color="auto"/>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Atalgojums</w:t>
                  </w:r>
                </w:p>
              </w:tc>
              <w:tc>
                <w:tcPr>
                  <w:tcW w:w="1300" w:type="dxa"/>
                  <w:tcBorders>
                    <w:top w:val="nil"/>
                    <w:left w:val="nil"/>
                    <w:bottom w:val="single" w:sz="8" w:space="0" w:color="auto"/>
                    <w:right w:val="single" w:sz="4" w:space="0" w:color="auto"/>
                  </w:tcBorders>
                  <w:shd w:val="clear" w:color="000000" w:fill="92D050"/>
                  <w:noWrap/>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w:t>
                  </w:r>
                </w:p>
              </w:tc>
              <w:tc>
                <w:tcPr>
                  <w:tcW w:w="1540" w:type="dxa"/>
                  <w:tcBorders>
                    <w:top w:val="nil"/>
                    <w:left w:val="nil"/>
                    <w:bottom w:val="single" w:sz="8" w:space="0" w:color="auto"/>
                    <w:right w:val="single" w:sz="8" w:space="0" w:color="auto"/>
                  </w:tcBorders>
                  <w:shd w:val="clear" w:color="000000" w:fill="92D050"/>
                  <w:noWrap/>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63</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color w:val="000000"/>
                      <w:sz w:val="20"/>
                      <w:szCs w:val="20"/>
                      <w:lang w:eastAsia="lv-LV"/>
                    </w:rPr>
                  </w:pPr>
                  <w:r w:rsidRPr="006C006F">
                    <w:rPr>
                      <w:rFonts w:eastAsia="Times New Roman" w:cs="Times New Roman"/>
                      <w:color w:val="000000"/>
                      <w:sz w:val="20"/>
                      <w:szCs w:val="20"/>
                      <w:lang w:eastAsia="lv-LV"/>
                    </w:rPr>
                    <w:t>Ārsts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13 158.59</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1 096.55</w:t>
                  </w:r>
                </w:p>
              </w:tc>
            </w:tr>
            <w:tr w:rsidR="00D2680E" w:rsidRPr="006C006F" w:rsidTr="00D2680E">
              <w:trPr>
                <w:trHeight w:val="315"/>
              </w:trPr>
              <w:tc>
                <w:tcPr>
                  <w:tcW w:w="1100" w:type="dxa"/>
                  <w:tcBorders>
                    <w:top w:val="nil"/>
                    <w:left w:val="single" w:sz="8" w:space="0" w:color="auto"/>
                    <w:bottom w:val="nil"/>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64</w:t>
                  </w:r>
                </w:p>
              </w:tc>
              <w:tc>
                <w:tcPr>
                  <w:tcW w:w="3900" w:type="dxa"/>
                  <w:tcBorders>
                    <w:top w:val="nil"/>
                    <w:left w:val="nil"/>
                    <w:bottom w:val="nil"/>
                    <w:right w:val="single" w:sz="4" w:space="0" w:color="auto"/>
                  </w:tcBorders>
                  <w:shd w:val="clear" w:color="000000" w:fill="FFFFFF"/>
                  <w:vAlign w:val="center"/>
                  <w:hideMark/>
                </w:tcPr>
                <w:p w:rsidR="00D2680E" w:rsidRPr="006C006F" w:rsidRDefault="00D2680E" w:rsidP="00D2680E">
                  <w:pPr>
                    <w:jc w:val="both"/>
                    <w:rPr>
                      <w:rFonts w:eastAsia="Times New Roman" w:cs="Times New Roman"/>
                      <w:color w:val="000000"/>
                      <w:sz w:val="20"/>
                      <w:szCs w:val="20"/>
                      <w:lang w:eastAsia="lv-LV"/>
                    </w:rPr>
                  </w:pPr>
                  <w:r w:rsidRPr="006C006F">
                    <w:rPr>
                      <w:rFonts w:eastAsia="Times New Roman" w:cs="Times New Roman"/>
                      <w:color w:val="000000"/>
                      <w:sz w:val="20"/>
                      <w:szCs w:val="20"/>
                      <w:lang w:eastAsia="lv-LV"/>
                    </w:rPr>
                    <w:t>Reģistratora funkcijām</w:t>
                  </w:r>
                </w:p>
              </w:tc>
              <w:tc>
                <w:tcPr>
                  <w:tcW w:w="1300" w:type="dxa"/>
                  <w:tcBorders>
                    <w:top w:val="nil"/>
                    <w:left w:val="nil"/>
                    <w:bottom w:val="nil"/>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5 487.40</w:t>
                  </w:r>
                </w:p>
              </w:tc>
              <w:tc>
                <w:tcPr>
                  <w:tcW w:w="1540" w:type="dxa"/>
                  <w:tcBorders>
                    <w:top w:val="nil"/>
                    <w:left w:val="nil"/>
                    <w:bottom w:val="nil"/>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color w:val="000000"/>
                      <w:sz w:val="20"/>
                      <w:szCs w:val="20"/>
                      <w:lang w:eastAsia="lv-LV"/>
                    </w:rPr>
                  </w:pPr>
                  <w:r w:rsidRPr="006C006F">
                    <w:rPr>
                      <w:rFonts w:eastAsia="Times New Roman" w:cs="Times New Roman"/>
                      <w:color w:val="000000"/>
                      <w:sz w:val="20"/>
                      <w:szCs w:val="20"/>
                      <w:lang w:eastAsia="lv-LV"/>
                    </w:rPr>
                    <w:t>457.28</w:t>
                  </w:r>
                </w:p>
              </w:tc>
            </w:tr>
            <w:tr w:rsidR="00D2680E" w:rsidRPr="006C006F" w:rsidTr="00D2680E">
              <w:trPr>
                <w:trHeight w:val="315"/>
              </w:trPr>
              <w:tc>
                <w:tcPr>
                  <w:tcW w:w="110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2680E" w:rsidRPr="006C006F" w:rsidRDefault="00D2680E" w:rsidP="00D2680E">
                  <w:pPr>
                    <w:jc w:val="center"/>
                    <w:rPr>
                      <w:rFonts w:eastAsia="Times New Roman" w:cs="Times New Roman"/>
                      <w:sz w:val="20"/>
                      <w:szCs w:val="20"/>
                      <w:lang w:eastAsia="lv-LV"/>
                    </w:rPr>
                  </w:pPr>
                  <w:r w:rsidRPr="006C006F">
                    <w:rPr>
                      <w:rFonts w:eastAsia="Times New Roman" w:cs="Times New Roman"/>
                      <w:sz w:val="20"/>
                      <w:szCs w:val="20"/>
                      <w:lang w:eastAsia="lv-LV"/>
                    </w:rPr>
                    <w:t> </w:t>
                  </w:r>
                </w:p>
              </w:tc>
              <w:tc>
                <w:tcPr>
                  <w:tcW w:w="3900" w:type="dxa"/>
                  <w:tcBorders>
                    <w:top w:val="single" w:sz="8" w:space="0" w:color="auto"/>
                    <w:left w:val="nil"/>
                    <w:bottom w:val="single" w:sz="8" w:space="0" w:color="auto"/>
                    <w:right w:val="single" w:sz="4" w:space="0" w:color="auto"/>
                  </w:tcBorders>
                  <w:shd w:val="clear" w:color="000000" w:fill="BFBFBF"/>
                  <w:vAlign w:val="center"/>
                  <w:hideMark/>
                </w:tcPr>
                <w:p w:rsidR="00D2680E" w:rsidRPr="006C006F" w:rsidRDefault="00D2680E" w:rsidP="00D2680E">
                  <w:pPr>
                    <w:jc w:val="right"/>
                    <w:rPr>
                      <w:rFonts w:eastAsia="Times New Roman" w:cs="Times New Roman"/>
                      <w:b/>
                      <w:bCs/>
                      <w:sz w:val="20"/>
                      <w:szCs w:val="20"/>
                      <w:lang w:eastAsia="lv-LV"/>
                    </w:rPr>
                  </w:pPr>
                  <w:r w:rsidRPr="006C006F">
                    <w:rPr>
                      <w:rFonts w:eastAsia="Times New Roman" w:cs="Times New Roman"/>
                      <w:b/>
                      <w:bCs/>
                      <w:sz w:val="20"/>
                      <w:szCs w:val="20"/>
                      <w:lang w:eastAsia="lv-LV"/>
                    </w:rPr>
                    <w:t>Kopā Atalgojums</w:t>
                  </w:r>
                </w:p>
              </w:tc>
              <w:tc>
                <w:tcPr>
                  <w:tcW w:w="1300" w:type="dxa"/>
                  <w:tcBorders>
                    <w:top w:val="single" w:sz="8" w:space="0" w:color="auto"/>
                    <w:left w:val="nil"/>
                    <w:bottom w:val="single" w:sz="8" w:space="0" w:color="auto"/>
                    <w:right w:val="single" w:sz="4" w:space="0" w:color="auto"/>
                  </w:tcBorders>
                  <w:shd w:val="clear" w:color="000000" w:fill="BFBFBF"/>
                  <w:noWrap/>
                  <w:vAlign w:val="center"/>
                  <w:hideMark/>
                </w:tcPr>
                <w:p w:rsidR="00D2680E" w:rsidRPr="006C006F" w:rsidRDefault="00D2680E" w:rsidP="00D2680E">
                  <w:pPr>
                    <w:jc w:val="right"/>
                    <w:rPr>
                      <w:rFonts w:eastAsia="Times New Roman" w:cs="Times New Roman"/>
                      <w:b/>
                      <w:bCs/>
                      <w:sz w:val="20"/>
                      <w:szCs w:val="20"/>
                      <w:lang w:eastAsia="lv-LV"/>
                    </w:rPr>
                  </w:pPr>
                  <w:r w:rsidRPr="006C006F">
                    <w:rPr>
                      <w:rFonts w:eastAsia="Times New Roman" w:cs="Times New Roman"/>
                      <w:b/>
                      <w:bCs/>
                      <w:sz w:val="20"/>
                      <w:szCs w:val="20"/>
                      <w:lang w:eastAsia="lv-LV"/>
                    </w:rPr>
                    <w:t>18 645.98</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D2680E" w:rsidRPr="006C006F" w:rsidRDefault="00D2680E" w:rsidP="00D2680E">
                  <w:pPr>
                    <w:jc w:val="right"/>
                    <w:rPr>
                      <w:rFonts w:eastAsia="Times New Roman" w:cs="Times New Roman"/>
                      <w:b/>
                      <w:bCs/>
                      <w:sz w:val="20"/>
                      <w:szCs w:val="20"/>
                      <w:lang w:eastAsia="lv-LV"/>
                    </w:rPr>
                  </w:pPr>
                  <w:r w:rsidRPr="006C006F">
                    <w:rPr>
                      <w:rFonts w:eastAsia="Times New Roman" w:cs="Times New Roman"/>
                      <w:b/>
                      <w:bCs/>
                      <w:sz w:val="20"/>
                      <w:szCs w:val="20"/>
                      <w:lang w:eastAsia="lv-LV"/>
                    </w:rPr>
                    <w:t>1 553.83</w:t>
                  </w:r>
                </w:p>
              </w:tc>
            </w:tr>
            <w:tr w:rsidR="00D2680E" w:rsidRPr="006C006F" w:rsidTr="00D2680E">
              <w:trPr>
                <w:trHeight w:val="315"/>
              </w:trPr>
              <w:tc>
                <w:tcPr>
                  <w:tcW w:w="1100" w:type="dxa"/>
                  <w:tcBorders>
                    <w:top w:val="nil"/>
                    <w:left w:val="single" w:sz="8" w:space="0" w:color="auto"/>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92D050"/>
                  <w:vAlign w:val="center"/>
                  <w:hideMark/>
                </w:tcPr>
                <w:p w:rsidR="00D2680E" w:rsidRPr="006C006F" w:rsidRDefault="00D2680E" w:rsidP="00D2680E">
                  <w:pPr>
                    <w:jc w:val="center"/>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Datortehnika un apkalpošana</w:t>
                  </w:r>
                </w:p>
              </w:tc>
              <w:tc>
                <w:tcPr>
                  <w:tcW w:w="1300" w:type="dxa"/>
                  <w:tcBorders>
                    <w:top w:val="nil"/>
                    <w:left w:val="nil"/>
                    <w:bottom w:val="single" w:sz="8" w:space="0" w:color="auto"/>
                    <w:right w:val="single" w:sz="4" w:space="0" w:color="auto"/>
                  </w:tcBorders>
                  <w:shd w:val="clear" w:color="000000" w:fill="92D050"/>
                  <w:noWrap/>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w:t>
                  </w:r>
                </w:p>
              </w:tc>
              <w:tc>
                <w:tcPr>
                  <w:tcW w:w="1540" w:type="dxa"/>
                  <w:tcBorders>
                    <w:top w:val="nil"/>
                    <w:left w:val="nil"/>
                    <w:bottom w:val="single" w:sz="8" w:space="0" w:color="auto"/>
                    <w:right w:val="single" w:sz="8" w:space="0" w:color="auto"/>
                  </w:tcBorders>
                  <w:shd w:val="clear" w:color="000000" w:fill="92D050"/>
                  <w:noWrap/>
                  <w:vAlign w:val="center"/>
                  <w:hideMark/>
                </w:tcPr>
                <w:p w:rsidR="00D2680E" w:rsidRPr="006C006F" w:rsidRDefault="00D2680E" w:rsidP="00D2680E">
                  <w:pPr>
                    <w:rPr>
                      <w:rFonts w:eastAsia="Times New Roman" w:cs="Times New Roman"/>
                      <w:color w:val="000000"/>
                      <w:sz w:val="20"/>
                      <w:szCs w:val="20"/>
                      <w:lang w:eastAsia="lv-LV"/>
                    </w:rPr>
                  </w:pPr>
                  <w:r w:rsidRPr="006C006F">
                    <w:rPr>
                      <w:rFonts w:eastAsia="Times New Roman" w:cs="Times New Roman"/>
                      <w:color w:val="000000"/>
                      <w:sz w:val="20"/>
                      <w:szCs w:val="20"/>
                      <w:lang w:eastAsia="lv-LV"/>
                    </w:rPr>
                    <w:t> </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65</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proofErr w:type="spellStart"/>
                  <w:r w:rsidRPr="006C006F">
                    <w:rPr>
                      <w:rFonts w:eastAsia="Times New Roman" w:cs="Times New Roman"/>
                      <w:sz w:val="20"/>
                      <w:szCs w:val="20"/>
                      <w:lang w:eastAsia="lv-LV"/>
                    </w:rPr>
                    <w:t>Sistēmbloks</w:t>
                  </w:r>
                  <w:proofErr w:type="spellEnd"/>
                  <w:r w:rsidRPr="006C006F">
                    <w:rPr>
                      <w:rFonts w:eastAsia="Times New Roman" w:cs="Times New Roman"/>
                      <w:sz w:val="20"/>
                      <w:szCs w:val="20"/>
                      <w:lang w:eastAsia="lv-LV"/>
                    </w:rPr>
                    <w:t xml:space="preserve"> ar aksesuāriem un operacionālo sistēmu, </w:t>
                  </w:r>
                  <w:proofErr w:type="spellStart"/>
                  <w:r w:rsidRPr="006C006F">
                    <w:rPr>
                      <w:rFonts w:eastAsia="Times New Roman" w:cs="Times New Roman"/>
                      <w:sz w:val="20"/>
                      <w:szCs w:val="20"/>
                      <w:lang w:eastAsia="lv-LV"/>
                    </w:rPr>
                    <w:t>Firewall</w:t>
                  </w:r>
                  <w:proofErr w:type="spellEnd"/>
                  <w:r w:rsidRPr="006C006F">
                    <w:rPr>
                      <w:rFonts w:eastAsia="Times New Roman" w:cs="Times New Roman"/>
                      <w:sz w:val="20"/>
                      <w:szCs w:val="20"/>
                      <w:lang w:eastAsia="lv-LV"/>
                    </w:rPr>
                    <w:t xml:space="preserve"> un antivīrusu programma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569.15</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9.49</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66</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Monitors 2 </w:t>
                  </w:r>
                  <w:proofErr w:type="spellStart"/>
                  <w:r w:rsidRPr="006C006F">
                    <w:rPr>
                      <w:rFonts w:eastAsia="Times New Roman" w:cs="Times New Roman"/>
                      <w:sz w:val="20"/>
                      <w:szCs w:val="20"/>
                      <w:lang w:eastAsia="lv-LV"/>
                    </w:rPr>
                    <w:t>gab</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228.00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3.80</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67</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Daudzfunkcionālais Printeris - skeneris, fakss, kopētājs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160.00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2.67</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68</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Tonera kasete printerim (3 nomaiņas gadā)</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180.00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15.00</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69</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Datortehnikas uzturēšana  (35 </w:t>
                  </w:r>
                  <w:proofErr w:type="spellStart"/>
                  <w:r w:rsidRPr="006C006F">
                    <w:rPr>
                      <w:rFonts w:eastAsia="Times New Roman" w:cs="Times New Roman"/>
                      <w:sz w:val="20"/>
                      <w:szCs w:val="20"/>
                      <w:lang w:eastAsia="lv-LV"/>
                    </w:rPr>
                    <w:t>euro</w:t>
                  </w:r>
                  <w:proofErr w:type="spellEnd"/>
                  <w:r w:rsidRPr="006C006F">
                    <w:rPr>
                      <w:rFonts w:eastAsia="Times New Roman" w:cs="Times New Roman"/>
                      <w:sz w:val="20"/>
                      <w:szCs w:val="20"/>
                      <w:lang w:eastAsia="lv-LV"/>
                    </w:rPr>
                    <w:t xml:space="preserve"> mēnesī)</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420.00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35.00</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70</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Mobilais telefons (2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238.00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6.61</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71</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Mobilo telefonu abonēšanas maksa mēnesī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197.28</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16.44</w:t>
                  </w:r>
                </w:p>
              </w:tc>
            </w:tr>
            <w:tr w:rsidR="00D2680E" w:rsidRPr="006C006F" w:rsidTr="00D2680E">
              <w:trPr>
                <w:trHeight w:val="51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72</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Stacionāro telefonu (2.gab) un  interneta abonēšanas maksa gadam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707.16</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58.93</w:t>
                  </w:r>
                </w:p>
              </w:tc>
            </w:tr>
            <w:tr w:rsidR="00D2680E" w:rsidRPr="006C006F" w:rsidTr="00D2680E">
              <w:trPr>
                <w:trHeight w:val="300"/>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73</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Radiotelefons (2.gab)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62.60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1.04</w:t>
                  </w:r>
                </w:p>
              </w:tc>
            </w:tr>
            <w:tr w:rsidR="00D2680E" w:rsidRPr="006C006F" w:rsidTr="00D2680E">
              <w:trPr>
                <w:trHeight w:val="1275"/>
              </w:trPr>
              <w:tc>
                <w:tcPr>
                  <w:tcW w:w="1100" w:type="dxa"/>
                  <w:tcBorders>
                    <w:top w:val="nil"/>
                    <w:left w:val="single" w:sz="8" w:space="0" w:color="auto"/>
                    <w:bottom w:val="single" w:sz="4" w:space="0" w:color="auto"/>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74</w:t>
                  </w:r>
                </w:p>
              </w:tc>
              <w:tc>
                <w:tcPr>
                  <w:tcW w:w="3900" w:type="dxa"/>
                  <w:tcBorders>
                    <w:top w:val="nil"/>
                    <w:left w:val="nil"/>
                    <w:bottom w:val="single" w:sz="4" w:space="0" w:color="auto"/>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 xml:space="preserve">Portatīvais dators (piemēram, </w:t>
                  </w:r>
                  <w:proofErr w:type="spellStart"/>
                  <w:r w:rsidRPr="006C006F">
                    <w:rPr>
                      <w:rFonts w:eastAsia="Times New Roman" w:cs="Times New Roman"/>
                      <w:sz w:val="20"/>
                      <w:szCs w:val="20"/>
                      <w:lang w:eastAsia="lv-LV"/>
                    </w:rPr>
                    <w:t>Lenovo</w:t>
                  </w:r>
                  <w:proofErr w:type="spellEnd"/>
                  <w:r w:rsidRPr="006C006F">
                    <w:rPr>
                      <w:rFonts w:eastAsia="Times New Roman" w:cs="Times New Roman"/>
                      <w:sz w:val="20"/>
                      <w:szCs w:val="20"/>
                      <w:lang w:eastAsia="lv-LV"/>
                    </w:rPr>
                    <w:t xml:space="preserve"> B50-50 i3-5005U 15.6inch HD </w:t>
                  </w:r>
                  <w:proofErr w:type="spellStart"/>
                  <w:r w:rsidRPr="006C006F">
                    <w:rPr>
                      <w:rFonts w:eastAsia="Times New Roman" w:cs="Times New Roman"/>
                      <w:sz w:val="20"/>
                      <w:szCs w:val="20"/>
                      <w:lang w:eastAsia="lv-LV"/>
                    </w:rPr>
                    <w:t>AntiGlare</w:t>
                  </w:r>
                  <w:proofErr w:type="spellEnd"/>
                  <w:r w:rsidRPr="006C006F">
                    <w:rPr>
                      <w:rFonts w:eastAsia="Times New Roman" w:cs="Times New Roman"/>
                      <w:sz w:val="20"/>
                      <w:szCs w:val="20"/>
                      <w:lang w:eastAsia="lv-LV"/>
                    </w:rPr>
                    <w:t xml:space="preserve"> 4GB 128GB SSD DVDRW </w:t>
                  </w:r>
                  <w:proofErr w:type="spellStart"/>
                  <w:r w:rsidRPr="006C006F">
                    <w:rPr>
                      <w:rFonts w:eastAsia="Times New Roman" w:cs="Times New Roman"/>
                      <w:sz w:val="20"/>
                      <w:szCs w:val="20"/>
                      <w:lang w:eastAsia="lv-LV"/>
                    </w:rPr>
                    <w:t>Intel</w:t>
                  </w:r>
                  <w:proofErr w:type="spellEnd"/>
                  <w:r w:rsidRPr="006C006F">
                    <w:rPr>
                      <w:rFonts w:eastAsia="Times New Roman" w:cs="Times New Roman"/>
                      <w:sz w:val="20"/>
                      <w:szCs w:val="20"/>
                      <w:lang w:eastAsia="lv-LV"/>
                    </w:rPr>
                    <w:t xml:space="preserve"> HD5500 </w:t>
                  </w:r>
                  <w:proofErr w:type="spellStart"/>
                  <w:r w:rsidRPr="006C006F">
                    <w:rPr>
                      <w:rFonts w:eastAsia="Times New Roman" w:cs="Times New Roman"/>
                      <w:sz w:val="20"/>
                      <w:szCs w:val="20"/>
                      <w:lang w:eastAsia="lv-LV"/>
                    </w:rPr>
                    <w:t>Non-intel</w:t>
                  </w:r>
                  <w:proofErr w:type="spellEnd"/>
                  <w:r w:rsidRPr="006C006F">
                    <w:rPr>
                      <w:rFonts w:eastAsia="Times New Roman" w:cs="Times New Roman"/>
                      <w:sz w:val="20"/>
                      <w:szCs w:val="20"/>
                      <w:lang w:eastAsia="lv-LV"/>
                    </w:rPr>
                    <w:t xml:space="preserve"> 1x1BGN+BT CR4in1 4cell W7P64+W10P64 </w:t>
                  </w:r>
                  <w:proofErr w:type="spellStart"/>
                  <w:r w:rsidRPr="006C006F">
                    <w:rPr>
                      <w:rFonts w:eastAsia="Times New Roman" w:cs="Times New Roman"/>
                      <w:sz w:val="20"/>
                      <w:szCs w:val="20"/>
                      <w:lang w:eastAsia="lv-LV"/>
                    </w:rPr>
                    <w:t>Flyer</w:t>
                  </w:r>
                  <w:proofErr w:type="spellEnd"/>
                  <w:r w:rsidRPr="006C006F">
                    <w:rPr>
                      <w:rFonts w:eastAsia="Times New Roman" w:cs="Times New Roman"/>
                      <w:sz w:val="20"/>
                      <w:szCs w:val="20"/>
                      <w:lang w:eastAsia="lv-LV"/>
                    </w:rPr>
                    <w:t xml:space="preserve">)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475.00</w:t>
                  </w:r>
                </w:p>
              </w:tc>
              <w:tc>
                <w:tcPr>
                  <w:tcW w:w="1540" w:type="dxa"/>
                  <w:tcBorders>
                    <w:top w:val="nil"/>
                    <w:left w:val="nil"/>
                    <w:bottom w:val="single" w:sz="4" w:space="0" w:color="auto"/>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7.92</w:t>
                  </w:r>
                </w:p>
              </w:tc>
            </w:tr>
            <w:tr w:rsidR="00D2680E" w:rsidRPr="006C006F" w:rsidTr="00D2680E">
              <w:trPr>
                <w:trHeight w:val="525"/>
              </w:trPr>
              <w:tc>
                <w:tcPr>
                  <w:tcW w:w="1100" w:type="dxa"/>
                  <w:tcBorders>
                    <w:top w:val="nil"/>
                    <w:left w:val="single" w:sz="8" w:space="0" w:color="auto"/>
                    <w:bottom w:val="nil"/>
                    <w:right w:val="single" w:sz="4" w:space="0" w:color="auto"/>
                  </w:tcBorders>
                  <w:shd w:val="clear" w:color="000000" w:fill="FFFFFF"/>
                  <w:vAlign w:val="center"/>
                  <w:hideMark/>
                </w:tcPr>
                <w:p w:rsidR="00D2680E" w:rsidRPr="006C006F" w:rsidRDefault="00D2680E" w:rsidP="00D2680E">
                  <w:pPr>
                    <w:jc w:val="center"/>
                    <w:rPr>
                      <w:rFonts w:eastAsia="Times New Roman" w:cs="Times New Roman"/>
                      <w:color w:val="000000"/>
                      <w:sz w:val="20"/>
                      <w:szCs w:val="20"/>
                      <w:lang w:eastAsia="lv-LV"/>
                    </w:rPr>
                  </w:pPr>
                  <w:r w:rsidRPr="006C006F">
                    <w:rPr>
                      <w:rFonts w:eastAsia="Times New Roman" w:cs="Times New Roman"/>
                      <w:color w:val="000000"/>
                      <w:sz w:val="20"/>
                      <w:szCs w:val="20"/>
                      <w:lang w:eastAsia="lv-LV"/>
                    </w:rPr>
                    <w:t>75</w:t>
                  </w:r>
                </w:p>
              </w:tc>
              <w:tc>
                <w:tcPr>
                  <w:tcW w:w="3900" w:type="dxa"/>
                  <w:tcBorders>
                    <w:top w:val="nil"/>
                    <w:left w:val="nil"/>
                    <w:bottom w:val="nil"/>
                    <w:right w:val="single" w:sz="4" w:space="0" w:color="auto"/>
                  </w:tcBorders>
                  <w:shd w:val="clear" w:color="000000" w:fill="FFFFFF"/>
                  <w:vAlign w:val="center"/>
                  <w:hideMark/>
                </w:tcPr>
                <w:p w:rsidR="00D2680E" w:rsidRPr="006C006F" w:rsidRDefault="00D2680E" w:rsidP="00D2680E">
                  <w:pPr>
                    <w:jc w:val="both"/>
                    <w:rPr>
                      <w:rFonts w:eastAsia="Times New Roman" w:cs="Times New Roman"/>
                      <w:sz w:val="20"/>
                      <w:szCs w:val="20"/>
                      <w:lang w:eastAsia="lv-LV"/>
                    </w:rPr>
                  </w:pPr>
                  <w:r w:rsidRPr="006C006F">
                    <w:rPr>
                      <w:rFonts w:eastAsia="Times New Roman" w:cs="Times New Roman"/>
                      <w:sz w:val="20"/>
                      <w:szCs w:val="20"/>
                      <w:lang w:eastAsia="lv-LV"/>
                    </w:rPr>
                    <w:t>Specializētā programmatūra (ārsta birojs pamata komplekts )</w:t>
                  </w:r>
                </w:p>
              </w:tc>
              <w:tc>
                <w:tcPr>
                  <w:tcW w:w="1300" w:type="dxa"/>
                  <w:tcBorders>
                    <w:top w:val="nil"/>
                    <w:left w:val="nil"/>
                    <w:bottom w:val="nil"/>
                    <w:right w:val="single" w:sz="4"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869.75</w:t>
                  </w:r>
                </w:p>
              </w:tc>
              <w:tc>
                <w:tcPr>
                  <w:tcW w:w="1540" w:type="dxa"/>
                  <w:tcBorders>
                    <w:top w:val="nil"/>
                    <w:left w:val="nil"/>
                    <w:bottom w:val="nil"/>
                    <w:right w:val="single" w:sz="8" w:space="0" w:color="auto"/>
                  </w:tcBorders>
                  <w:shd w:val="clear" w:color="000000" w:fill="FFFFFF"/>
                  <w:noWrap/>
                  <w:vAlign w:val="center"/>
                  <w:hideMark/>
                </w:tcPr>
                <w:p w:rsidR="00D2680E" w:rsidRPr="006C006F" w:rsidRDefault="00D2680E" w:rsidP="00D2680E">
                  <w:pPr>
                    <w:jc w:val="right"/>
                    <w:rPr>
                      <w:rFonts w:eastAsia="Times New Roman" w:cs="Times New Roman"/>
                      <w:sz w:val="20"/>
                      <w:szCs w:val="20"/>
                      <w:lang w:eastAsia="lv-LV"/>
                    </w:rPr>
                  </w:pPr>
                  <w:r w:rsidRPr="006C006F">
                    <w:rPr>
                      <w:rFonts w:eastAsia="Times New Roman" w:cs="Times New Roman"/>
                      <w:sz w:val="20"/>
                      <w:szCs w:val="20"/>
                      <w:lang w:eastAsia="lv-LV"/>
                    </w:rPr>
                    <w:t>72.48</w:t>
                  </w:r>
                </w:p>
              </w:tc>
            </w:tr>
            <w:tr w:rsidR="00D2680E" w:rsidRPr="006C006F" w:rsidTr="00D2680E">
              <w:trPr>
                <w:trHeight w:val="330"/>
              </w:trPr>
              <w:tc>
                <w:tcPr>
                  <w:tcW w:w="1100"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single" w:sz="8" w:space="0" w:color="auto"/>
                    <w:left w:val="nil"/>
                    <w:bottom w:val="single" w:sz="8" w:space="0" w:color="auto"/>
                    <w:right w:val="single" w:sz="4" w:space="0" w:color="auto"/>
                  </w:tcBorders>
                  <w:shd w:val="clear" w:color="000000" w:fill="D8D8D8"/>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Kopā Datortehnika un apkalpošana</w:t>
                  </w:r>
                </w:p>
              </w:tc>
              <w:tc>
                <w:tcPr>
                  <w:tcW w:w="1300" w:type="dxa"/>
                  <w:tcBorders>
                    <w:top w:val="single" w:sz="8" w:space="0" w:color="auto"/>
                    <w:left w:val="nil"/>
                    <w:bottom w:val="single" w:sz="8" w:space="0" w:color="auto"/>
                    <w:right w:val="single" w:sz="4"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4 106.94</w:t>
                  </w:r>
                </w:p>
              </w:tc>
              <w:tc>
                <w:tcPr>
                  <w:tcW w:w="1540" w:type="dxa"/>
                  <w:tcBorders>
                    <w:top w:val="single" w:sz="8" w:space="0" w:color="auto"/>
                    <w:left w:val="nil"/>
                    <w:bottom w:val="single" w:sz="8" w:space="0" w:color="auto"/>
                    <w:right w:val="single" w:sz="8" w:space="0" w:color="auto"/>
                  </w:tcBorders>
                  <w:shd w:val="clear" w:color="000000" w:fill="D8D8D8"/>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229.38</w:t>
                  </w:r>
                </w:p>
              </w:tc>
            </w:tr>
            <w:tr w:rsidR="00D2680E" w:rsidRPr="006C006F" w:rsidTr="00D2680E">
              <w:trPr>
                <w:trHeight w:val="330"/>
              </w:trPr>
              <w:tc>
                <w:tcPr>
                  <w:tcW w:w="1100" w:type="dxa"/>
                  <w:tcBorders>
                    <w:top w:val="nil"/>
                    <w:left w:val="single" w:sz="8" w:space="0" w:color="auto"/>
                    <w:bottom w:val="single" w:sz="8" w:space="0" w:color="auto"/>
                    <w:right w:val="single" w:sz="4" w:space="0" w:color="auto"/>
                  </w:tcBorders>
                  <w:shd w:val="clear" w:color="000000" w:fill="B8CCE4"/>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 </w:t>
                  </w:r>
                </w:p>
              </w:tc>
              <w:tc>
                <w:tcPr>
                  <w:tcW w:w="3900" w:type="dxa"/>
                  <w:tcBorders>
                    <w:top w:val="nil"/>
                    <w:left w:val="nil"/>
                    <w:bottom w:val="single" w:sz="8" w:space="0" w:color="auto"/>
                    <w:right w:val="single" w:sz="4" w:space="0" w:color="auto"/>
                  </w:tcBorders>
                  <w:shd w:val="clear" w:color="000000" w:fill="B8CCE4"/>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Kopā prakses izmaksas</w:t>
                  </w:r>
                </w:p>
              </w:tc>
              <w:tc>
                <w:tcPr>
                  <w:tcW w:w="1300" w:type="dxa"/>
                  <w:tcBorders>
                    <w:top w:val="nil"/>
                    <w:left w:val="nil"/>
                    <w:bottom w:val="single" w:sz="8" w:space="0" w:color="auto"/>
                    <w:right w:val="single" w:sz="4" w:space="0" w:color="auto"/>
                  </w:tcBorders>
                  <w:shd w:val="clear" w:color="000000" w:fill="B8CCE4"/>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28 832.86</w:t>
                  </w:r>
                </w:p>
              </w:tc>
              <w:tc>
                <w:tcPr>
                  <w:tcW w:w="1540" w:type="dxa"/>
                  <w:tcBorders>
                    <w:top w:val="nil"/>
                    <w:left w:val="nil"/>
                    <w:bottom w:val="single" w:sz="8" w:space="0" w:color="auto"/>
                    <w:right w:val="single" w:sz="8" w:space="0" w:color="auto"/>
                  </w:tcBorders>
                  <w:shd w:val="clear" w:color="000000" w:fill="B8CCE4"/>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1 948.06</w:t>
                  </w:r>
                </w:p>
              </w:tc>
            </w:tr>
            <w:tr w:rsidR="00D2680E" w:rsidRPr="006C006F" w:rsidTr="00D2680E">
              <w:trPr>
                <w:trHeight w:val="315"/>
              </w:trPr>
              <w:tc>
                <w:tcPr>
                  <w:tcW w:w="1100" w:type="dxa"/>
                  <w:tcBorders>
                    <w:top w:val="nil"/>
                    <w:left w:val="nil"/>
                    <w:bottom w:val="nil"/>
                    <w:right w:val="nil"/>
                  </w:tcBorders>
                  <w:shd w:val="clear" w:color="auto" w:fill="auto"/>
                  <w:noWrap/>
                  <w:vAlign w:val="bottom"/>
                  <w:hideMark/>
                </w:tcPr>
                <w:p w:rsidR="00D2680E" w:rsidRPr="006C006F" w:rsidRDefault="00D2680E" w:rsidP="00D2680E">
                  <w:pPr>
                    <w:rPr>
                      <w:rFonts w:ascii="Calibri" w:eastAsia="Times New Roman" w:hAnsi="Calibri" w:cs="Times New Roman"/>
                      <w:color w:val="000000"/>
                      <w:sz w:val="20"/>
                      <w:szCs w:val="20"/>
                      <w:lang w:eastAsia="lv-LV"/>
                    </w:rPr>
                  </w:pPr>
                </w:p>
              </w:tc>
              <w:tc>
                <w:tcPr>
                  <w:tcW w:w="5200" w:type="dxa"/>
                  <w:gridSpan w:val="2"/>
                  <w:tcBorders>
                    <w:top w:val="nil"/>
                    <w:left w:val="nil"/>
                    <w:bottom w:val="nil"/>
                    <w:right w:val="nil"/>
                  </w:tcBorders>
                  <w:shd w:val="clear" w:color="auto" w:fill="auto"/>
                  <w:vAlign w:val="bottom"/>
                  <w:hideMark/>
                </w:tcPr>
                <w:p w:rsidR="00D2680E" w:rsidRPr="006C006F" w:rsidRDefault="00D2680E" w:rsidP="00D2680E">
                  <w:pPr>
                    <w:jc w:val="right"/>
                    <w:rPr>
                      <w:rFonts w:eastAsia="Times New Roman" w:cs="Times New Roman"/>
                      <w:color w:val="000000"/>
                      <w:sz w:val="20"/>
                      <w:szCs w:val="20"/>
                      <w:lang w:eastAsia="lv-LV"/>
                    </w:rPr>
                  </w:pPr>
                  <w:proofErr w:type="spellStart"/>
                  <w:r w:rsidRPr="006C006F">
                    <w:rPr>
                      <w:rFonts w:eastAsia="Times New Roman" w:cs="Times New Roman"/>
                      <w:color w:val="000000"/>
                      <w:sz w:val="20"/>
                      <w:szCs w:val="20"/>
                      <w:lang w:eastAsia="lv-LV"/>
                    </w:rPr>
                    <w:t>Kapitācijas</w:t>
                  </w:r>
                  <w:proofErr w:type="spellEnd"/>
                  <w:r w:rsidRPr="006C006F">
                    <w:rPr>
                      <w:rFonts w:eastAsia="Times New Roman" w:cs="Times New Roman"/>
                      <w:color w:val="000000"/>
                      <w:sz w:val="20"/>
                      <w:szCs w:val="20"/>
                      <w:lang w:eastAsia="lv-LV"/>
                    </w:rPr>
                    <w:t xml:space="preserve"> nauda mēnesī uz 1 pacientu</w:t>
                  </w:r>
                </w:p>
              </w:tc>
              <w:tc>
                <w:tcPr>
                  <w:tcW w:w="154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D2680E" w:rsidRPr="006C006F" w:rsidRDefault="00D2680E" w:rsidP="00D2680E">
                  <w:pPr>
                    <w:jc w:val="right"/>
                    <w:rPr>
                      <w:rFonts w:eastAsia="Times New Roman" w:cs="Times New Roman"/>
                      <w:b/>
                      <w:bCs/>
                      <w:color w:val="000000"/>
                      <w:sz w:val="20"/>
                      <w:szCs w:val="20"/>
                      <w:lang w:eastAsia="lv-LV"/>
                    </w:rPr>
                  </w:pPr>
                  <w:r w:rsidRPr="006C006F">
                    <w:rPr>
                      <w:rFonts w:eastAsia="Times New Roman" w:cs="Times New Roman"/>
                      <w:b/>
                      <w:bCs/>
                      <w:color w:val="000000"/>
                      <w:sz w:val="20"/>
                      <w:szCs w:val="20"/>
                      <w:lang w:eastAsia="lv-LV"/>
                    </w:rPr>
                    <w:t>1.233728</w:t>
                  </w:r>
                </w:p>
              </w:tc>
            </w:tr>
          </w:tbl>
          <w:p w:rsidR="00D2680E" w:rsidRPr="009104CE" w:rsidRDefault="00D2680E" w:rsidP="00D2680E">
            <w:pPr>
              <w:pStyle w:val="NoSpacing"/>
              <w:spacing w:after="120"/>
              <w:jc w:val="both"/>
              <w:rPr>
                <w:lang w:eastAsia="lv-LV"/>
              </w:rPr>
            </w:pPr>
          </w:p>
          <w:p w:rsidR="00D2680E" w:rsidRDefault="00D2680E" w:rsidP="00D2680E">
            <w:pPr>
              <w:pStyle w:val="NoSpacing"/>
              <w:spacing w:after="120"/>
              <w:jc w:val="both"/>
              <w:rPr>
                <w:lang w:eastAsia="lv-LV"/>
              </w:rPr>
            </w:pPr>
            <w:proofErr w:type="spellStart"/>
            <w:r w:rsidRPr="009104CE">
              <w:rPr>
                <w:lang w:eastAsia="lv-LV"/>
              </w:rPr>
              <w:t>Kapitācijas</w:t>
            </w:r>
            <w:proofErr w:type="spellEnd"/>
            <w:r w:rsidRPr="009104CE">
              <w:rPr>
                <w:lang w:eastAsia="lv-LV"/>
              </w:rPr>
              <w:t xml:space="preserve"> naudas palielinājuma ietekme uz budžetu ir </w:t>
            </w:r>
            <w:proofErr w:type="spellStart"/>
            <w:r w:rsidRPr="009104CE">
              <w:rPr>
                <w:lang w:eastAsia="lv-LV"/>
              </w:rPr>
              <w:t>kapitācijas</w:t>
            </w:r>
            <w:proofErr w:type="spellEnd"/>
            <w:r w:rsidRPr="009104CE">
              <w:rPr>
                <w:lang w:eastAsia="lv-LV"/>
              </w:rPr>
              <w:t xml:space="preserve"> pieaugums  1.233728 – 1.182579 = 0.051149 x reģistrēto pacientu skaits 2 025 394 x Noteikumu 9.pielikumā minētais vidējais ģimenes ārstu koeficients 1.0008637= </w:t>
            </w:r>
            <w:r>
              <w:rPr>
                <w:lang w:eastAsia="lv-LV"/>
              </w:rPr>
              <w:t xml:space="preserve">103 686.35 </w:t>
            </w:r>
            <w:proofErr w:type="spellStart"/>
            <w:r>
              <w:rPr>
                <w:lang w:eastAsia="lv-LV"/>
              </w:rPr>
              <w:t>euro</w:t>
            </w:r>
            <w:proofErr w:type="spellEnd"/>
            <w:r>
              <w:rPr>
                <w:lang w:eastAsia="lv-LV"/>
              </w:rPr>
              <w:t xml:space="preserve"> mēnesī un 1 244 236 </w:t>
            </w:r>
            <w:proofErr w:type="spellStart"/>
            <w:r>
              <w:rPr>
                <w:lang w:eastAsia="lv-LV"/>
              </w:rPr>
              <w:t>euro</w:t>
            </w:r>
            <w:proofErr w:type="spellEnd"/>
            <w:r>
              <w:rPr>
                <w:lang w:eastAsia="lv-LV"/>
              </w:rPr>
              <w:t xml:space="preserve"> gadā (x12 mēneši). Turpat p</w:t>
            </w:r>
            <w:r w:rsidRPr="009104CE">
              <w:rPr>
                <w:lang w:eastAsia="lv-LV"/>
              </w:rPr>
              <w:t>a</w:t>
            </w:r>
            <w:r>
              <w:rPr>
                <w:lang w:eastAsia="lv-LV"/>
              </w:rPr>
              <w:t>pildus nepieciešams</w:t>
            </w:r>
            <w:r w:rsidRPr="009104CE">
              <w:rPr>
                <w:lang w:eastAsia="lv-LV"/>
              </w:rPr>
              <w:t xml:space="preserve"> finansējums </w:t>
            </w:r>
            <w:r>
              <w:rPr>
                <w:lang w:eastAsia="lv-LV"/>
              </w:rPr>
              <w:t xml:space="preserve">šobrīd atreģistrētiem pacientiem saistībā ar līgumus pārtraukušām ģimenes ārstu praksēm, kas 6 mēnešu laikā piereģistrēsies pie jauniem ģimenes ārstiem. Šobrīd apzināti 5000 pacienti x 1.233728 = 6169 </w:t>
            </w:r>
            <w:proofErr w:type="spellStart"/>
            <w:r>
              <w:rPr>
                <w:lang w:eastAsia="lv-LV"/>
              </w:rPr>
              <w:t>euro</w:t>
            </w:r>
            <w:proofErr w:type="spellEnd"/>
            <w:r>
              <w:rPr>
                <w:lang w:eastAsia="lv-LV"/>
              </w:rPr>
              <w:t xml:space="preserve">. Kopumā </w:t>
            </w:r>
            <w:proofErr w:type="spellStart"/>
            <w:r>
              <w:rPr>
                <w:lang w:eastAsia="lv-LV"/>
              </w:rPr>
              <w:t>kapitācijas</w:t>
            </w:r>
            <w:proofErr w:type="spellEnd"/>
            <w:r>
              <w:rPr>
                <w:lang w:eastAsia="lv-LV"/>
              </w:rPr>
              <w:t xml:space="preserve"> naudas pieaugumam radot ietekmi uz gada budžetu 1 250 405 </w:t>
            </w:r>
            <w:proofErr w:type="spellStart"/>
            <w:r>
              <w:rPr>
                <w:lang w:eastAsia="lv-LV"/>
              </w:rPr>
              <w:t>euro</w:t>
            </w:r>
            <w:proofErr w:type="spellEnd"/>
            <w:r>
              <w:rPr>
                <w:lang w:eastAsia="lv-LV"/>
              </w:rPr>
              <w:t xml:space="preserve">. </w:t>
            </w:r>
          </w:p>
          <w:p w:rsidR="00D2680E" w:rsidRDefault="00D2680E" w:rsidP="00D2680E">
            <w:pPr>
              <w:pStyle w:val="NoSpacing"/>
              <w:spacing w:after="120"/>
              <w:jc w:val="both"/>
              <w:rPr>
                <w:lang w:eastAsia="lv-LV"/>
              </w:rPr>
            </w:pPr>
            <w:r>
              <w:rPr>
                <w:lang w:eastAsia="lv-LV"/>
              </w:rPr>
              <w:t xml:space="preserve">Papildus tam Noteikumu projekts paredz ģimenes ārstu fiksētā maksājuma </w:t>
            </w:r>
            <w:r>
              <w:rPr>
                <w:lang w:eastAsia="lv-LV"/>
              </w:rPr>
              <w:lastRenderedPageBreak/>
              <w:t xml:space="preserve">pieaugumu, fiksētā maksājumā ietverot nemainīgās ģimenes ārstu prakses izmaksas atbilstoši esošajai situācijai, kas ģimenes ārstam sedzamas neskatoties uz pacientu skaitu. </w:t>
            </w:r>
          </w:p>
          <w:tbl>
            <w:tblPr>
              <w:tblW w:w="7620" w:type="dxa"/>
              <w:tblLook w:val="04A0"/>
            </w:tblPr>
            <w:tblGrid>
              <w:gridCol w:w="822"/>
              <w:gridCol w:w="4504"/>
              <w:gridCol w:w="1300"/>
              <w:gridCol w:w="994"/>
            </w:tblGrid>
            <w:tr w:rsidR="00D2680E" w:rsidRPr="00311F43" w:rsidTr="00D2680E">
              <w:trPr>
                <w:trHeight w:val="390"/>
              </w:trPr>
              <w:tc>
                <w:tcPr>
                  <w:tcW w:w="7620" w:type="dxa"/>
                  <w:gridSpan w:val="4"/>
                  <w:tcBorders>
                    <w:top w:val="nil"/>
                    <w:left w:val="nil"/>
                    <w:bottom w:val="nil"/>
                    <w:right w:val="nil"/>
                  </w:tcBorders>
                  <w:shd w:val="clear" w:color="auto" w:fill="auto"/>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Ģimenes ārstu fiksētais maksājums mēnesī</w:t>
                  </w:r>
                </w:p>
              </w:tc>
            </w:tr>
            <w:tr w:rsidR="00D2680E" w:rsidRPr="00311F43" w:rsidTr="00D2680E">
              <w:trPr>
                <w:trHeight w:val="780"/>
              </w:trPr>
              <w:tc>
                <w:tcPr>
                  <w:tcW w:w="760" w:type="dxa"/>
                  <w:tcBorders>
                    <w:top w:val="single" w:sz="8" w:space="0" w:color="auto"/>
                    <w:left w:val="single" w:sz="8" w:space="0" w:color="auto"/>
                    <w:bottom w:val="single" w:sz="8" w:space="0" w:color="auto"/>
                    <w:right w:val="single" w:sz="8"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proofErr w:type="spellStart"/>
                  <w:r w:rsidRPr="00311F43">
                    <w:rPr>
                      <w:rFonts w:eastAsia="Times New Roman" w:cs="Times New Roman"/>
                      <w:b/>
                      <w:bCs/>
                      <w:color w:val="000000"/>
                      <w:sz w:val="20"/>
                      <w:szCs w:val="20"/>
                      <w:lang w:eastAsia="lv-LV"/>
                    </w:rPr>
                    <w:t>Nr.p.k</w:t>
                  </w:r>
                  <w:proofErr w:type="spellEnd"/>
                  <w:r w:rsidRPr="00311F43">
                    <w:rPr>
                      <w:rFonts w:eastAsia="Times New Roman" w:cs="Times New Roman"/>
                      <w:b/>
                      <w:bCs/>
                      <w:color w:val="000000"/>
                      <w:sz w:val="20"/>
                      <w:szCs w:val="20"/>
                      <w:lang w:eastAsia="lv-LV"/>
                    </w:rPr>
                    <w:t>.</w:t>
                  </w:r>
                </w:p>
              </w:tc>
              <w:tc>
                <w:tcPr>
                  <w:tcW w:w="4620" w:type="dxa"/>
                  <w:tcBorders>
                    <w:top w:val="single" w:sz="8" w:space="0" w:color="auto"/>
                    <w:left w:val="nil"/>
                    <w:bottom w:val="single" w:sz="8" w:space="0" w:color="auto"/>
                    <w:right w:val="single" w:sz="8"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Saimniecības mēbeles un citi</w:t>
                  </w:r>
                </w:p>
              </w:tc>
              <w:tc>
                <w:tcPr>
                  <w:tcW w:w="1300" w:type="dxa"/>
                  <w:tcBorders>
                    <w:top w:val="single" w:sz="8" w:space="0" w:color="auto"/>
                    <w:left w:val="nil"/>
                    <w:bottom w:val="single" w:sz="8" w:space="0" w:color="auto"/>
                    <w:right w:val="single" w:sz="8"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Vērtība, EUR</w:t>
                  </w:r>
                </w:p>
              </w:tc>
              <w:tc>
                <w:tcPr>
                  <w:tcW w:w="940" w:type="dxa"/>
                  <w:tcBorders>
                    <w:top w:val="single" w:sz="8" w:space="0" w:color="auto"/>
                    <w:left w:val="nil"/>
                    <w:bottom w:val="single" w:sz="8" w:space="0" w:color="auto"/>
                    <w:right w:val="single" w:sz="8"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Fiksētās izmaksas mēnesī</w:t>
                  </w:r>
                </w:p>
              </w:tc>
            </w:tr>
            <w:tr w:rsidR="00D2680E" w:rsidRPr="00311F43" w:rsidTr="00D2680E">
              <w:trPr>
                <w:trHeight w:val="33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w:t>
                  </w:r>
                </w:p>
              </w:tc>
              <w:tc>
                <w:tcPr>
                  <w:tcW w:w="4620" w:type="dxa"/>
                  <w:tcBorders>
                    <w:top w:val="nil"/>
                    <w:left w:val="nil"/>
                    <w:bottom w:val="single" w:sz="8" w:space="0" w:color="auto"/>
                    <w:right w:val="single" w:sz="8"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w:t>
                  </w:r>
                </w:p>
              </w:tc>
              <w:tc>
                <w:tcPr>
                  <w:tcW w:w="1300" w:type="dxa"/>
                  <w:tcBorders>
                    <w:top w:val="nil"/>
                    <w:left w:val="nil"/>
                    <w:bottom w:val="single" w:sz="8" w:space="0" w:color="auto"/>
                    <w:right w:val="single" w:sz="8" w:space="0" w:color="auto"/>
                  </w:tcBorders>
                  <w:shd w:val="clear" w:color="auto" w:fill="auto"/>
                  <w:noWrap/>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3</w:t>
                  </w:r>
                </w:p>
              </w:tc>
              <w:tc>
                <w:tcPr>
                  <w:tcW w:w="940" w:type="dxa"/>
                  <w:tcBorders>
                    <w:top w:val="nil"/>
                    <w:left w:val="nil"/>
                    <w:bottom w:val="single" w:sz="8" w:space="0" w:color="auto"/>
                    <w:right w:val="single" w:sz="8" w:space="0" w:color="auto"/>
                  </w:tcBorders>
                  <w:shd w:val="clear" w:color="auto" w:fill="auto"/>
                  <w:noWrap/>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4</w:t>
                  </w:r>
                </w:p>
              </w:tc>
            </w:tr>
            <w:tr w:rsidR="00D2680E" w:rsidRPr="00311F43" w:rsidTr="00D2680E">
              <w:trPr>
                <w:trHeight w:val="315"/>
              </w:trPr>
              <w:tc>
                <w:tcPr>
                  <w:tcW w:w="760" w:type="dxa"/>
                  <w:tcBorders>
                    <w:top w:val="nil"/>
                    <w:left w:val="single" w:sz="8" w:space="0" w:color="auto"/>
                    <w:bottom w:val="nil"/>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w:t>
                  </w:r>
                </w:p>
              </w:tc>
              <w:tc>
                <w:tcPr>
                  <w:tcW w:w="4620" w:type="dxa"/>
                  <w:tcBorders>
                    <w:top w:val="nil"/>
                    <w:left w:val="nil"/>
                    <w:bottom w:val="nil"/>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Darba galds ģimenes ārstam</w:t>
                  </w:r>
                </w:p>
              </w:tc>
              <w:tc>
                <w:tcPr>
                  <w:tcW w:w="1300" w:type="dxa"/>
                  <w:tcBorders>
                    <w:top w:val="nil"/>
                    <w:left w:val="nil"/>
                    <w:bottom w:val="nil"/>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90.94</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0.76</w:t>
                  </w:r>
                </w:p>
              </w:tc>
            </w:tr>
            <w:tr w:rsidR="00D2680E" w:rsidRPr="00311F43" w:rsidTr="00D2680E">
              <w:trPr>
                <w:trHeight w:val="315"/>
              </w:trPr>
              <w:tc>
                <w:tcPr>
                  <w:tcW w:w="76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w:t>
                  </w:r>
                </w:p>
              </w:tc>
              <w:tc>
                <w:tcPr>
                  <w:tcW w:w="4620" w:type="dxa"/>
                  <w:tcBorders>
                    <w:top w:val="single" w:sz="4" w:space="0" w:color="auto"/>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Krēsls ģimenes ārstam, māsai un ārsta palīgam (3.gab.)</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220.32</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1.84</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3</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Apmeklētāju krēsli (10gb)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140.00</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1.17</w:t>
                  </w:r>
                </w:p>
              </w:tc>
            </w:tr>
            <w:tr w:rsidR="00D2680E" w:rsidRPr="00311F43" w:rsidTr="00D2680E">
              <w:trPr>
                <w:trHeight w:val="510"/>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4</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Failu skapis pacientu ambulatorām kartēm (2* 430.52 </w:t>
                  </w:r>
                  <w:proofErr w:type="spellStart"/>
                  <w:r w:rsidRPr="00311F43">
                    <w:rPr>
                      <w:rFonts w:eastAsia="Times New Roman" w:cs="Times New Roman"/>
                      <w:color w:val="000000"/>
                      <w:sz w:val="20"/>
                      <w:szCs w:val="20"/>
                      <w:lang w:eastAsia="lv-LV"/>
                    </w:rPr>
                    <w:t>eur</w:t>
                  </w:r>
                  <w:proofErr w:type="spellEnd"/>
                  <w:r w:rsidRPr="00311F43">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861.04</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7.18</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5</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Drēbju skapis, drēbju pakaramie</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166.57</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1.39</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6</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Plaukti (2.gab.)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108.68</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0.91</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7</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Aprīkota darba vieta māsai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157.44</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1.31</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8</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Iekarināmās mapes 100 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47.00</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3.92</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9</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Durvju plāksne  (vairākas)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40.00</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0.33</w:t>
                  </w:r>
                </w:p>
              </w:tc>
            </w:tr>
            <w:tr w:rsidR="00D2680E" w:rsidRPr="00311F43" w:rsidTr="00D2680E">
              <w:trPr>
                <w:trHeight w:val="510"/>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10</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Informatīvo materiālu stends, informācijas dēlis (Informatīvais stends SCXSC 8xA4 </w:t>
                  </w:r>
                  <w:proofErr w:type="spellStart"/>
                  <w:r w:rsidRPr="00311F43">
                    <w:rPr>
                      <w:rFonts w:eastAsia="Times New Roman" w:cs="Times New Roman"/>
                      <w:color w:val="000000"/>
                      <w:sz w:val="20"/>
                      <w:szCs w:val="20"/>
                      <w:lang w:eastAsia="lv-LV"/>
                    </w:rPr>
                    <w:t>Cork</w:t>
                  </w:r>
                  <w:proofErr w:type="spellEnd"/>
                  <w:r w:rsidRPr="00311F43">
                    <w:rPr>
                      <w:rFonts w:eastAsia="Times New Roman" w:cs="Times New Roman"/>
                      <w:color w:val="000000"/>
                      <w:sz w:val="20"/>
                      <w:szCs w:val="20"/>
                      <w:lang w:eastAsia="lv-LV"/>
                    </w:rPr>
                    <w:t>)</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108.23</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0.90</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11</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Papīrgrozi (4.gab.)</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19.84</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0.17</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12</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Pulkstenis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15.00</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0.25</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13</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proofErr w:type="spellStart"/>
                  <w:r w:rsidRPr="00311F43">
                    <w:rPr>
                      <w:rFonts w:eastAsia="Times New Roman" w:cs="Times New Roman"/>
                      <w:color w:val="000000"/>
                      <w:sz w:val="20"/>
                      <w:szCs w:val="20"/>
                      <w:lang w:eastAsia="lv-LV"/>
                    </w:rPr>
                    <w:t>Ugundzēsības</w:t>
                  </w:r>
                  <w:proofErr w:type="spellEnd"/>
                  <w:r w:rsidRPr="00311F43">
                    <w:rPr>
                      <w:rFonts w:eastAsia="Times New Roman" w:cs="Times New Roman"/>
                      <w:color w:val="000000"/>
                      <w:sz w:val="20"/>
                      <w:szCs w:val="20"/>
                      <w:lang w:eastAsia="lv-LV"/>
                    </w:rPr>
                    <w:t xml:space="preserve"> aparāts, dūmu detektori</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76.00</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3.17</w:t>
                  </w:r>
                </w:p>
              </w:tc>
            </w:tr>
            <w:tr w:rsidR="00D2680E" w:rsidRPr="00311F43" w:rsidTr="00D2680E">
              <w:trPr>
                <w:trHeight w:val="510"/>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14</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Skapis telpu uzkopšanas inventāram, tīrīšanas līdzekļiem</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205.74</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1.71</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15</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Spogulis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24.00</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0.20</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16</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Ieejas paklājs</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29.65</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0.49</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17</w:t>
                  </w:r>
                </w:p>
              </w:tc>
              <w:tc>
                <w:tcPr>
                  <w:tcW w:w="4620" w:type="dxa"/>
                  <w:tcBorders>
                    <w:top w:val="nil"/>
                    <w:left w:val="nil"/>
                    <w:bottom w:val="single" w:sz="4"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Mantu skapis </w:t>
                  </w:r>
                </w:p>
              </w:tc>
              <w:tc>
                <w:tcPr>
                  <w:tcW w:w="1300" w:type="dxa"/>
                  <w:tcBorders>
                    <w:top w:val="nil"/>
                    <w:left w:val="nil"/>
                    <w:bottom w:val="single" w:sz="4"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99.75</w:t>
                  </w:r>
                </w:p>
              </w:tc>
              <w:tc>
                <w:tcPr>
                  <w:tcW w:w="940" w:type="dxa"/>
                  <w:tcBorders>
                    <w:top w:val="nil"/>
                    <w:left w:val="nil"/>
                    <w:bottom w:val="single" w:sz="4"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0.83</w:t>
                  </w:r>
                </w:p>
              </w:tc>
            </w:tr>
            <w:tr w:rsidR="00D2680E" w:rsidRPr="00311F43" w:rsidTr="00D2680E">
              <w:trPr>
                <w:trHeight w:val="330"/>
              </w:trPr>
              <w:tc>
                <w:tcPr>
                  <w:tcW w:w="760" w:type="dxa"/>
                  <w:tcBorders>
                    <w:top w:val="nil"/>
                    <w:left w:val="single" w:sz="8" w:space="0" w:color="auto"/>
                    <w:bottom w:val="single" w:sz="8" w:space="0" w:color="auto"/>
                    <w:right w:val="single" w:sz="4" w:space="0" w:color="auto"/>
                  </w:tcBorders>
                  <w:shd w:val="clear" w:color="000000" w:fill="FFFFFF"/>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18</w:t>
                  </w:r>
                </w:p>
              </w:tc>
              <w:tc>
                <w:tcPr>
                  <w:tcW w:w="4620" w:type="dxa"/>
                  <w:tcBorders>
                    <w:top w:val="nil"/>
                    <w:left w:val="nil"/>
                    <w:bottom w:val="single" w:sz="8" w:space="0" w:color="auto"/>
                    <w:right w:val="single" w:sz="4" w:space="0" w:color="auto"/>
                  </w:tcBorders>
                  <w:shd w:val="clear" w:color="000000" w:fill="FFFFFF"/>
                  <w:vAlign w:val="center"/>
                  <w:hideMark/>
                </w:tcPr>
                <w:p w:rsidR="00D2680E" w:rsidRPr="00311F43" w:rsidRDefault="00D2680E" w:rsidP="00D2680E">
                  <w:pPr>
                    <w:jc w:val="both"/>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Seifs </w:t>
                  </w:r>
                </w:p>
              </w:tc>
              <w:tc>
                <w:tcPr>
                  <w:tcW w:w="1300" w:type="dxa"/>
                  <w:tcBorders>
                    <w:top w:val="nil"/>
                    <w:left w:val="nil"/>
                    <w:bottom w:val="single" w:sz="8" w:space="0" w:color="auto"/>
                    <w:right w:val="single" w:sz="4" w:space="0" w:color="auto"/>
                  </w:tcBorders>
                  <w:shd w:val="clear" w:color="000000" w:fill="FFFFFF"/>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191.00</w:t>
                  </w:r>
                </w:p>
              </w:tc>
              <w:tc>
                <w:tcPr>
                  <w:tcW w:w="940" w:type="dxa"/>
                  <w:tcBorders>
                    <w:top w:val="nil"/>
                    <w:left w:val="nil"/>
                    <w:bottom w:val="single" w:sz="8" w:space="0" w:color="auto"/>
                    <w:right w:val="single" w:sz="8" w:space="0" w:color="auto"/>
                  </w:tcBorders>
                  <w:shd w:val="clear" w:color="auto" w:fill="auto"/>
                  <w:noWrap/>
                  <w:vAlign w:val="bottom"/>
                  <w:hideMark/>
                </w:tcPr>
                <w:p w:rsidR="00D2680E" w:rsidRPr="00311F43" w:rsidRDefault="00D2680E" w:rsidP="00D2680E">
                  <w:pPr>
                    <w:jc w:val="right"/>
                    <w:rPr>
                      <w:rFonts w:eastAsia="Times New Roman" w:cs="Times New Roman"/>
                      <w:sz w:val="20"/>
                      <w:szCs w:val="20"/>
                      <w:lang w:eastAsia="lv-LV"/>
                    </w:rPr>
                  </w:pPr>
                  <w:r w:rsidRPr="00311F43">
                    <w:rPr>
                      <w:rFonts w:eastAsia="Times New Roman" w:cs="Times New Roman"/>
                      <w:sz w:val="20"/>
                      <w:szCs w:val="20"/>
                      <w:lang w:eastAsia="lv-LV"/>
                    </w:rPr>
                    <w:t>1.59</w:t>
                  </w:r>
                </w:p>
              </w:tc>
            </w:tr>
            <w:tr w:rsidR="00D2680E" w:rsidRPr="00311F43" w:rsidTr="00D2680E">
              <w:trPr>
                <w:trHeight w:val="330"/>
              </w:trPr>
              <w:tc>
                <w:tcPr>
                  <w:tcW w:w="760" w:type="dxa"/>
                  <w:tcBorders>
                    <w:top w:val="nil"/>
                    <w:left w:val="single" w:sz="8" w:space="0" w:color="auto"/>
                    <w:bottom w:val="single" w:sz="8" w:space="0" w:color="auto"/>
                    <w:right w:val="single" w:sz="4" w:space="0" w:color="auto"/>
                  </w:tcBorders>
                  <w:shd w:val="clear" w:color="000000" w:fill="D8D8D8"/>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w:t>
                  </w:r>
                </w:p>
              </w:tc>
              <w:tc>
                <w:tcPr>
                  <w:tcW w:w="4620" w:type="dxa"/>
                  <w:tcBorders>
                    <w:top w:val="nil"/>
                    <w:left w:val="nil"/>
                    <w:bottom w:val="single" w:sz="8" w:space="0" w:color="auto"/>
                    <w:right w:val="single" w:sz="4" w:space="0" w:color="auto"/>
                  </w:tcBorders>
                  <w:shd w:val="clear" w:color="000000" w:fill="D8D8D8"/>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Kopā saimniecības mēbeles un citi</w:t>
                  </w:r>
                </w:p>
              </w:tc>
              <w:tc>
                <w:tcPr>
                  <w:tcW w:w="1300" w:type="dxa"/>
                  <w:tcBorders>
                    <w:top w:val="nil"/>
                    <w:left w:val="nil"/>
                    <w:bottom w:val="single" w:sz="8" w:space="0" w:color="auto"/>
                    <w:right w:val="single" w:sz="4" w:space="0" w:color="auto"/>
                  </w:tcBorders>
                  <w:shd w:val="clear" w:color="000000" w:fill="D8D8D8"/>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2 601.20</w:t>
                  </w:r>
                </w:p>
              </w:tc>
              <w:tc>
                <w:tcPr>
                  <w:tcW w:w="940" w:type="dxa"/>
                  <w:tcBorders>
                    <w:top w:val="nil"/>
                    <w:left w:val="nil"/>
                    <w:bottom w:val="single" w:sz="8" w:space="0" w:color="auto"/>
                    <w:right w:val="single" w:sz="8" w:space="0" w:color="auto"/>
                  </w:tcBorders>
                  <w:shd w:val="clear" w:color="000000" w:fill="D8D8D8"/>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28.11</w:t>
                  </w:r>
                </w:p>
              </w:tc>
            </w:tr>
            <w:tr w:rsidR="00D2680E" w:rsidRPr="00311F43" w:rsidTr="00D2680E">
              <w:trPr>
                <w:trHeight w:val="330"/>
              </w:trPr>
              <w:tc>
                <w:tcPr>
                  <w:tcW w:w="760" w:type="dxa"/>
                  <w:tcBorders>
                    <w:top w:val="nil"/>
                    <w:left w:val="single" w:sz="8" w:space="0" w:color="auto"/>
                    <w:bottom w:val="single" w:sz="8" w:space="0" w:color="auto"/>
                    <w:right w:val="single" w:sz="4" w:space="0" w:color="auto"/>
                  </w:tcBorders>
                  <w:shd w:val="clear" w:color="000000" w:fill="92D050"/>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 </w:t>
                  </w:r>
                </w:p>
              </w:tc>
              <w:tc>
                <w:tcPr>
                  <w:tcW w:w="4620" w:type="dxa"/>
                  <w:tcBorders>
                    <w:top w:val="nil"/>
                    <w:left w:val="nil"/>
                    <w:bottom w:val="single" w:sz="8" w:space="0" w:color="auto"/>
                    <w:right w:val="single" w:sz="4"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xml:space="preserve">Administratīvie izdevumi </w:t>
                  </w:r>
                </w:p>
              </w:tc>
              <w:tc>
                <w:tcPr>
                  <w:tcW w:w="1300" w:type="dxa"/>
                  <w:tcBorders>
                    <w:top w:val="nil"/>
                    <w:left w:val="nil"/>
                    <w:bottom w:val="single" w:sz="8" w:space="0" w:color="auto"/>
                    <w:right w:val="single" w:sz="4" w:space="0" w:color="auto"/>
                  </w:tcBorders>
                  <w:shd w:val="clear" w:color="000000" w:fill="92D050"/>
                  <w:noWrap/>
                  <w:vAlign w:val="center"/>
                  <w:hideMark/>
                </w:tcPr>
                <w:p w:rsidR="00D2680E" w:rsidRPr="00311F43" w:rsidRDefault="00D2680E" w:rsidP="00D2680E">
                  <w:pP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w:t>
                  </w:r>
                </w:p>
              </w:tc>
              <w:tc>
                <w:tcPr>
                  <w:tcW w:w="940" w:type="dxa"/>
                  <w:tcBorders>
                    <w:top w:val="nil"/>
                    <w:left w:val="nil"/>
                    <w:bottom w:val="single" w:sz="8" w:space="0" w:color="auto"/>
                    <w:right w:val="single" w:sz="8" w:space="0" w:color="auto"/>
                  </w:tcBorders>
                  <w:shd w:val="clear" w:color="000000" w:fill="92D050"/>
                  <w:noWrap/>
                  <w:vAlign w:val="center"/>
                  <w:hideMark/>
                </w:tcPr>
                <w:p w:rsidR="00D2680E" w:rsidRPr="00311F43" w:rsidRDefault="00D2680E" w:rsidP="00D2680E">
                  <w:pP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19</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Grāmatvedības izdevumi </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720.00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60.00</w:t>
                  </w:r>
                </w:p>
              </w:tc>
            </w:tr>
            <w:tr w:rsidR="00D2680E" w:rsidRPr="00311F43" w:rsidTr="00D2680E">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20</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Transporta izdevumi ģimenes ārsta praksei saimniecības lietu iegādei u.c.</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120.00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10.00</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21</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Kancelejas preces</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420.00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35.00</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22</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Telpu uzkopšanas izdevumi </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480.00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40.00</w:t>
                  </w:r>
                </w:p>
              </w:tc>
            </w:tr>
            <w:tr w:rsidR="00D2680E" w:rsidRPr="00311F43" w:rsidTr="00D2680E">
              <w:trPr>
                <w:trHeight w:val="51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23</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Riska fonda iemaksas (1 ārsts + 2 māsas vai 1 ārsta palīgs un 1 māsa) gadā</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87.85</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7.32</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24</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Apsardze, signalizācija</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300.00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25.00</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25</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Medicīnas iekārtu apkope</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85.00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7.08</w:t>
                  </w:r>
                </w:p>
              </w:tc>
            </w:tr>
            <w:tr w:rsidR="00D2680E" w:rsidRPr="00311F43" w:rsidTr="00D2680E">
              <w:trPr>
                <w:trHeight w:val="780"/>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26</w:t>
                  </w:r>
                </w:p>
              </w:tc>
              <w:tc>
                <w:tcPr>
                  <w:tcW w:w="4620" w:type="dxa"/>
                  <w:tcBorders>
                    <w:top w:val="nil"/>
                    <w:left w:val="nil"/>
                    <w:bottom w:val="single" w:sz="8"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 xml:space="preserve">Bīstamo atkritumu utilizācija (piemēram, BAO) reizi mēnesī (piemēram, abonēšanas maksa 10 </w:t>
                  </w:r>
                  <w:proofErr w:type="spellStart"/>
                  <w:r w:rsidRPr="00311F43">
                    <w:rPr>
                      <w:rFonts w:eastAsia="Times New Roman" w:cs="Times New Roman"/>
                      <w:color w:val="000000"/>
                      <w:sz w:val="20"/>
                      <w:szCs w:val="20"/>
                      <w:lang w:eastAsia="lv-LV"/>
                    </w:rPr>
                    <w:t>eur</w:t>
                  </w:r>
                  <w:proofErr w:type="spellEnd"/>
                  <w:r w:rsidRPr="00311F43">
                    <w:rPr>
                      <w:rFonts w:eastAsia="Times New Roman" w:cs="Times New Roman"/>
                      <w:color w:val="000000"/>
                      <w:sz w:val="20"/>
                      <w:szCs w:val="20"/>
                      <w:lang w:eastAsia="lv-LV"/>
                    </w:rPr>
                    <w:t xml:space="preserve"> + 12l konteiners 5.58 </w:t>
                  </w:r>
                  <w:proofErr w:type="spellStart"/>
                  <w:r w:rsidRPr="00311F43">
                    <w:rPr>
                      <w:rFonts w:eastAsia="Times New Roman" w:cs="Times New Roman"/>
                      <w:color w:val="000000"/>
                      <w:sz w:val="20"/>
                      <w:szCs w:val="20"/>
                      <w:lang w:eastAsia="lv-LV"/>
                    </w:rPr>
                    <w:t>eur</w:t>
                  </w:r>
                  <w:proofErr w:type="spellEnd"/>
                  <w:r w:rsidRPr="00311F43">
                    <w:rPr>
                      <w:rFonts w:eastAsia="Times New Roman" w:cs="Times New Roman"/>
                      <w:color w:val="000000"/>
                      <w:sz w:val="20"/>
                      <w:szCs w:val="20"/>
                      <w:lang w:eastAsia="lv-LV"/>
                    </w:rPr>
                    <w:t xml:space="preserve"> + 100l maiss par 0.33 centiem.)</w:t>
                  </w:r>
                </w:p>
              </w:tc>
              <w:tc>
                <w:tcPr>
                  <w:tcW w:w="1300" w:type="dxa"/>
                  <w:tcBorders>
                    <w:top w:val="nil"/>
                    <w:left w:val="nil"/>
                    <w:bottom w:val="single" w:sz="8"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190.92</w:t>
                  </w:r>
                </w:p>
              </w:tc>
              <w:tc>
                <w:tcPr>
                  <w:tcW w:w="940" w:type="dxa"/>
                  <w:tcBorders>
                    <w:top w:val="nil"/>
                    <w:left w:val="nil"/>
                    <w:bottom w:val="single" w:sz="8"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15.91</w:t>
                  </w:r>
                </w:p>
              </w:tc>
            </w:tr>
            <w:tr w:rsidR="00D2680E" w:rsidRPr="00311F43" w:rsidTr="00D2680E">
              <w:trPr>
                <w:trHeight w:val="330"/>
              </w:trPr>
              <w:tc>
                <w:tcPr>
                  <w:tcW w:w="760" w:type="dxa"/>
                  <w:tcBorders>
                    <w:top w:val="nil"/>
                    <w:left w:val="single" w:sz="8" w:space="0" w:color="auto"/>
                    <w:bottom w:val="single" w:sz="8" w:space="0" w:color="auto"/>
                    <w:right w:val="single" w:sz="4" w:space="0" w:color="auto"/>
                  </w:tcBorders>
                  <w:shd w:val="clear" w:color="000000" w:fill="D8D8D8"/>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lastRenderedPageBreak/>
                    <w:t> </w:t>
                  </w:r>
                </w:p>
              </w:tc>
              <w:tc>
                <w:tcPr>
                  <w:tcW w:w="4620" w:type="dxa"/>
                  <w:tcBorders>
                    <w:top w:val="nil"/>
                    <w:left w:val="nil"/>
                    <w:bottom w:val="single" w:sz="8" w:space="0" w:color="auto"/>
                    <w:right w:val="single" w:sz="4" w:space="0" w:color="auto"/>
                  </w:tcBorders>
                  <w:shd w:val="clear" w:color="000000" w:fill="D8D8D8"/>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Kopā administratīvie izdevumi</w:t>
                  </w:r>
                </w:p>
              </w:tc>
              <w:tc>
                <w:tcPr>
                  <w:tcW w:w="1300" w:type="dxa"/>
                  <w:tcBorders>
                    <w:top w:val="nil"/>
                    <w:left w:val="nil"/>
                    <w:bottom w:val="single" w:sz="8" w:space="0" w:color="auto"/>
                    <w:right w:val="single" w:sz="4" w:space="0" w:color="auto"/>
                  </w:tcBorders>
                  <w:shd w:val="clear" w:color="000000" w:fill="D8D8D8"/>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2 403.77</w:t>
                  </w:r>
                </w:p>
              </w:tc>
              <w:tc>
                <w:tcPr>
                  <w:tcW w:w="940" w:type="dxa"/>
                  <w:tcBorders>
                    <w:top w:val="nil"/>
                    <w:left w:val="nil"/>
                    <w:bottom w:val="single" w:sz="8" w:space="0" w:color="auto"/>
                    <w:right w:val="single" w:sz="8" w:space="0" w:color="auto"/>
                  </w:tcBorders>
                  <w:shd w:val="clear" w:color="000000" w:fill="D8D8D8"/>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200.31</w:t>
                  </w:r>
                </w:p>
              </w:tc>
            </w:tr>
            <w:tr w:rsidR="00D2680E" w:rsidRPr="00311F43" w:rsidTr="00D2680E">
              <w:trPr>
                <w:trHeight w:val="330"/>
              </w:trPr>
              <w:tc>
                <w:tcPr>
                  <w:tcW w:w="760" w:type="dxa"/>
                  <w:tcBorders>
                    <w:top w:val="nil"/>
                    <w:left w:val="single" w:sz="8" w:space="0" w:color="auto"/>
                    <w:bottom w:val="single" w:sz="8" w:space="0" w:color="auto"/>
                    <w:right w:val="single" w:sz="4"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w:t>
                  </w:r>
                </w:p>
              </w:tc>
              <w:tc>
                <w:tcPr>
                  <w:tcW w:w="4620" w:type="dxa"/>
                  <w:tcBorders>
                    <w:top w:val="nil"/>
                    <w:left w:val="nil"/>
                    <w:bottom w:val="single" w:sz="8" w:space="0" w:color="auto"/>
                    <w:right w:val="single" w:sz="4" w:space="0" w:color="auto"/>
                  </w:tcBorders>
                  <w:shd w:val="clear" w:color="000000" w:fill="92D050"/>
                  <w:vAlign w:val="center"/>
                  <w:hideMark/>
                </w:tcPr>
                <w:p w:rsidR="00D2680E" w:rsidRPr="00311F43" w:rsidRDefault="00D2680E" w:rsidP="00D2680E">
                  <w:pPr>
                    <w:jc w:val="center"/>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Telpu izmaksas</w:t>
                  </w:r>
                </w:p>
              </w:tc>
              <w:tc>
                <w:tcPr>
                  <w:tcW w:w="1300" w:type="dxa"/>
                  <w:tcBorders>
                    <w:top w:val="nil"/>
                    <w:left w:val="nil"/>
                    <w:bottom w:val="single" w:sz="8" w:space="0" w:color="auto"/>
                    <w:right w:val="single" w:sz="4" w:space="0" w:color="auto"/>
                  </w:tcBorders>
                  <w:shd w:val="clear" w:color="000000" w:fill="92D050"/>
                  <w:noWrap/>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 </w:t>
                  </w:r>
                </w:p>
              </w:tc>
              <w:tc>
                <w:tcPr>
                  <w:tcW w:w="940" w:type="dxa"/>
                  <w:tcBorders>
                    <w:top w:val="nil"/>
                    <w:left w:val="nil"/>
                    <w:bottom w:val="single" w:sz="8" w:space="0" w:color="auto"/>
                    <w:right w:val="single" w:sz="8" w:space="0" w:color="auto"/>
                  </w:tcBorders>
                  <w:shd w:val="clear" w:color="000000" w:fill="92D050"/>
                  <w:noWrap/>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 </w:t>
                  </w:r>
                </w:p>
              </w:tc>
            </w:tr>
            <w:tr w:rsidR="00D2680E" w:rsidRPr="00311F43" w:rsidTr="00D2680E">
              <w:trPr>
                <w:trHeight w:val="3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27</w:t>
                  </w:r>
                </w:p>
              </w:tc>
              <w:tc>
                <w:tcPr>
                  <w:tcW w:w="4620" w:type="dxa"/>
                  <w:tcBorders>
                    <w:top w:val="nil"/>
                    <w:left w:val="nil"/>
                    <w:bottom w:val="single" w:sz="4" w:space="0" w:color="auto"/>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Noma uz 35 m2</w:t>
                  </w:r>
                </w:p>
              </w:tc>
              <w:tc>
                <w:tcPr>
                  <w:tcW w:w="1300" w:type="dxa"/>
                  <w:tcBorders>
                    <w:top w:val="nil"/>
                    <w:left w:val="nil"/>
                    <w:bottom w:val="single" w:sz="4" w:space="0" w:color="auto"/>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1 890.00</w:t>
                  </w:r>
                </w:p>
              </w:tc>
              <w:tc>
                <w:tcPr>
                  <w:tcW w:w="940" w:type="dxa"/>
                  <w:tcBorders>
                    <w:top w:val="nil"/>
                    <w:left w:val="nil"/>
                    <w:bottom w:val="single" w:sz="4" w:space="0" w:color="auto"/>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157.50</w:t>
                  </w:r>
                </w:p>
              </w:tc>
            </w:tr>
            <w:tr w:rsidR="00D2680E" w:rsidRPr="00311F43" w:rsidTr="00D2680E">
              <w:trPr>
                <w:trHeight w:val="330"/>
              </w:trPr>
              <w:tc>
                <w:tcPr>
                  <w:tcW w:w="760" w:type="dxa"/>
                  <w:tcBorders>
                    <w:top w:val="nil"/>
                    <w:left w:val="single" w:sz="8" w:space="0" w:color="auto"/>
                    <w:bottom w:val="nil"/>
                    <w:right w:val="single" w:sz="4" w:space="0" w:color="auto"/>
                  </w:tcBorders>
                  <w:shd w:val="clear" w:color="auto" w:fill="auto"/>
                  <w:vAlign w:val="center"/>
                  <w:hideMark/>
                </w:tcPr>
                <w:p w:rsidR="00D2680E" w:rsidRPr="00311F43" w:rsidRDefault="00D2680E" w:rsidP="00D2680E">
                  <w:pPr>
                    <w:jc w:val="center"/>
                    <w:rPr>
                      <w:rFonts w:eastAsia="Times New Roman" w:cs="Times New Roman"/>
                      <w:color w:val="000000"/>
                      <w:sz w:val="20"/>
                      <w:szCs w:val="20"/>
                      <w:lang w:eastAsia="lv-LV"/>
                    </w:rPr>
                  </w:pPr>
                  <w:r w:rsidRPr="00311F43">
                    <w:rPr>
                      <w:rFonts w:eastAsia="Times New Roman" w:cs="Times New Roman"/>
                      <w:color w:val="000000"/>
                      <w:sz w:val="20"/>
                      <w:szCs w:val="20"/>
                      <w:lang w:eastAsia="lv-LV"/>
                    </w:rPr>
                    <w:t>28</w:t>
                  </w:r>
                </w:p>
              </w:tc>
              <w:tc>
                <w:tcPr>
                  <w:tcW w:w="4620" w:type="dxa"/>
                  <w:tcBorders>
                    <w:top w:val="nil"/>
                    <w:left w:val="nil"/>
                    <w:bottom w:val="nil"/>
                    <w:right w:val="single" w:sz="4" w:space="0" w:color="auto"/>
                  </w:tcBorders>
                  <w:shd w:val="clear" w:color="auto" w:fill="auto"/>
                  <w:vAlign w:val="center"/>
                  <w:hideMark/>
                </w:tcPr>
                <w:p w:rsidR="00D2680E" w:rsidRPr="00311F43" w:rsidRDefault="00D2680E" w:rsidP="00D2680E">
                  <w:pPr>
                    <w:rPr>
                      <w:rFonts w:eastAsia="Times New Roman" w:cs="Times New Roman"/>
                      <w:color w:val="000000"/>
                      <w:sz w:val="20"/>
                      <w:szCs w:val="20"/>
                      <w:lang w:eastAsia="lv-LV"/>
                    </w:rPr>
                  </w:pPr>
                  <w:r w:rsidRPr="00311F43">
                    <w:rPr>
                      <w:rFonts w:eastAsia="Times New Roman" w:cs="Times New Roman"/>
                      <w:color w:val="000000"/>
                      <w:sz w:val="20"/>
                      <w:szCs w:val="20"/>
                      <w:lang w:eastAsia="lv-LV"/>
                    </w:rPr>
                    <w:t>Komunālie maksājumi uz 35 m2</w:t>
                  </w:r>
                </w:p>
              </w:tc>
              <w:tc>
                <w:tcPr>
                  <w:tcW w:w="1300" w:type="dxa"/>
                  <w:tcBorders>
                    <w:top w:val="nil"/>
                    <w:left w:val="nil"/>
                    <w:bottom w:val="nil"/>
                    <w:right w:val="single" w:sz="4"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1 137.72</w:t>
                  </w:r>
                </w:p>
              </w:tc>
              <w:tc>
                <w:tcPr>
                  <w:tcW w:w="940" w:type="dxa"/>
                  <w:tcBorders>
                    <w:top w:val="nil"/>
                    <w:left w:val="nil"/>
                    <w:bottom w:val="nil"/>
                    <w:right w:val="single" w:sz="8" w:space="0" w:color="auto"/>
                  </w:tcBorders>
                  <w:shd w:val="clear" w:color="auto" w:fill="auto"/>
                  <w:noWrap/>
                  <w:vAlign w:val="center"/>
                  <w:hideMark/>
                </w:tcPr>
                <w:p w:rsidR="00D2680E" w:rsidRPr="00311F43" w:rsidRDefault="00D2680E" w:rsidP="00D2680E">
                  <w:pPr>
                    <w:jc w:val="right"/>
                    <w:rPr>
                      <w:rFonts w:eastAsia="Times New Roman" w:cs="Times New Roman"/>
                      <w:color w:val="000000"/>
                      <w:sz w:val="20"/>
                      <w:szCs w:val="20"/>
                      <w:lang w:eastAsia="lv-LV"/>
                    </w:rPr>
                  </w:pPr>
                  <w:r w:rsidRPr="00311F43">
                    <w:rPr>
                      <w:rFonts w:eastAsia="Times New Roman" w:cs="Times New Roman"/>
                      <w:color w:val="000000"/>
                      <w:sz w:val="20"/>
                      <w:szCs w:val="20"/>
                      <w:lang w:eastAsia="lv-LV"/>
                    </w:rPr>
                    <w:t>94.81</w:t>
                  </w:r>
                </w:p>
              </w:tc>
            </w:tr>
            <w:tr w:rsidR="00D2680E" w:rsidRPr="00311F43" w:rsidTr="00D2680E">
              <w:trPr>
                <w:trHeight w:val="330"/>
              </w:trPr>
              <w:tc>
                <w:tcPr>
                  <w:tcW w:w="760"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w:t>
                  </w:r>
                </w:p>
              </w:tc>
              <w:tc>
                <w:tcPr>
                  <w:tcW w:w="4620" w:type="dxa"/>
                  <w:tcBorders>
                    <w:top w:val="single" w:sz="8" w:space="0" w:color="auto"/>
                    <w:left w:val="nil"/>
                    <w:bottom w:val="single" w:sz="8" w:space="0" w:color="auto"/>
                    <w:right w:val="single" w:sz="4" w:space="0" w:color="auto"/>
                  </w:tcBorders>
                  <w:shd w:val="clear" w:color="000000" w:fill="D8D8D8"/>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Kopā Telpu izmaksas</w:t>
                  </w:r>
                </w:p>
              </w:tc>
              <w:tc>
                <w:tcPr>
                  <w:tcW w:w="1300" w:type="dxa"/>
                  <w:tcBorders>
                    <w:top w:val="single" w:sz="8" w:space="0" w:color="auto"/>
                    <w:left w:val="nil"/>
                    <w:bottom w:val="single" w:sz="8" w:space="0" w:color="auto"/>
                    <w:right w:val="single" w:sz="4" w:space="0" w:color="auto"/>
                  </w:tcBorders>
                  <w:shd w:val="clear" w:color="000000" w:fill="D8D8D8"/>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3 027.72</w:t>
                  </w:r>
                </w:p>
              </w:tc>
              <w:tc>
                <w:tcPr>
                  <w:tcW w:w="940" w:type="dxa"/>
                  <w:tcBorders>
                    <w:top w:val="single" w:sz="8" w:space="0" w:color="auto"/>
                    <w:left w:val="nil"/>
                    <w:bottom w:val="single" w:sz="8" w:space="0" w:color="auto"/>
                    <w:right w:val="single" w:sz="8" w:space="0" w:color="auto"/>
                  </w:tcBorders>
                  <w:shd w:val="clear" w:color="000000" w:fill="D8D8D8"/>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252.31</w:t>
                  </w:r>
                </w:p>
              </w:tc>
            </w:tr>
            <w:tr w:rsidR="00D2680E" w:rsidRPr="00311F43" w:rsidTr="00D2680E">
              <w:trPr>
                <w:trHeight w:val="330"/>
              </w:trPr>
              <w:tc>
                <w:tcPr>
                  <w:tcW w:w="760" w:type="dxa"/>
                  <w:tcBorders>
                    <w:top w:val="nil"/>
                    <w:left w:val="single" w:sz="8" w:space="0" w:color="auto"/>
                    <w:bottom w:val="single" w:sz="8" w:space="0" w:color="auto"/>
                    <w:right w:val="single" w:sz="4" w:space="0" w:color="auto"/>
                  </w:tcBorders>
                  <w:shd w:val="clear" w:color="000000" w:fill="B8CCE4"/>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 </w:t>
                  </w:r>
                </w:p>
              </w:tc>
              <w:tc>
                <w:tcPr>
                  <w:tcW w:w="4620" w:type="dxa"/>
                  <w:tcBorders>
                    <w:top w:val="nil"/>
                    <w:left w:val="nil"/>
                    <w:bottom w:val="single" w:sz="8" w:space="0" w:color="auto"/>
                    <w:right w:val="single" w:sz="4" w:space="0" w:color="auto"/>
                  </w:tcBorders>
                  <w:shd w:val="clear" w:color="000000" w:fill="B8CCE4"/>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Kopā prakses fiksētās izmaksas</w:t>
                  </w:r>
                </w:p>
              </w:tc>
              <w:tc>
                <w:tcPr>
                  <w:tcW w:w="1300" w:type="dxa"/>
                  <w:tcBorders>
                    <w:top w:val="nil"/>
                    <w:left w:val="nil"/>
                    <w:bottom w:val="single" w:sz="8" w:space="0" w:color="auto"/>
                    <w:right w:val="single" w:sz="4" w:space="0" w:color="auto"/>
                  </w:tcBorders>
                  <w:shd w:val="clear" w:color="000000" w:fill="B8CCE4"/>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8 032.69</w:t>
                  </w:r>
                </w:p>
              </w:tc>
              <w:tc>
                <w:tcPr>
                  <w:tcW w:w="940" w:type="dxa"/>
                  <w:tcBorders>
                    <w:top w:val="nil"/>
                    <w:left w:val="nil"/>
                    <w:bottom w:val="single" w:sz="8" w:space="0" w:color="auto"/>
                    <w:right w:val="single" w:sz="8" w:space="0" w:color="auto"/>
                  </w:tcBorders>
                  <w:shd w:val="clear" w:color="000000" w:fill="B8CCE4"/>
                  <w:noWrap/>
                  <w:vAlign w:val="center"/>
                  <w:hideMark/>
                </w:tcPr>
                <w:p w:rsidR="00D2680E" w:rsidRPr="00311F43" w:rsidRDefault="00D2680E" w:rsidP="00D2680E">
                  <w:pPr>
                    <w:jc w:val="right"/>
                    <w:rPr>
                      <w:rFonts w:eastAsia="Times New Roman" w:cs="Times New Roman"/>
                      <w:b/>
                      <w:bCs/>
                      <w:color w:val="000000"/>
                      <w:sz w:val="20"/>
                      <w:szCs w:val="20"/>
                      <w:lang w:eastAsia="lv-LV"/>
                    </w:rPr>
                  </w:pPr>
                  <w:r w:rsidRPr="00311F43">
                    <w:rPr>
                      <w:rFonts w:eastAsia="Times New Roman" w:cs="Times New Roman"/>
                      <w:b/>
                      <w:bCs/>
                      <w:color w:val="000000"/>
                      <w:sz w:val="20"/>
                      <w:szCs w:val="20"/>
                      <w:lang w:eastAsia="lv-LV"/>
                    </w:rPr>
                    <w:t>480.73</w:t>
                  </w:r>
                </w:p>
              </w:tc>
            </w:tr>
          </w:tbl>
          <w:p w:rsidR="00D2680E" w:rsidRDefault="00D2680E" w:rsidP="00D2680E">
            <w:pPr>
              <w:pStyle w:val="NoSpacing"/>
              <w:spacing w:after="120"/>
              <w:jc w:val="both"/>
              <w:rPr>
                <w:lang w:eastAsia="lv-LV"/>
              </w:rPr>
            </w:pPr>
          </w:p>
          <w:p w:rsidR="00D2680E" w:rsidRDefault="00D2680E" w:rsidP="00D2680E">
            <w:pPr>
              <w:pStyle w:val="NoSpacing"/>
              <w:spacing w:after="120"/>
              <w:jc w:val="both"/>
              <w:rPr>
                <w:lang w:eastAsia="lv-LV"/>
              </w:rPr>
            </w:pPr>
            <w:r>
              <w:rPr>
                <w:lang w:eastAsia="lv-LV"/>
              </w:rPr>
              <w:t xml:space="preserve">Ģimenes ārsta fiksētā maksājuma pieaugums mēnesī ir 480.73-424.39= 56.34 </w:t>
            </w:r>
            <w:proofErr w:type="spellStart"/>
            <w:r>
              <w:rPr>
                <w:lang w:eastAsia="lv-LV"/>
              </w:rPr>
              <w:t>euro</w:t>
            </w:r>
            <w:proofErr w:type="spellEnd"/>
            <w:r>
              <w:rPr>
                <w:lang w:eastAsia="lv-LV"/>
              </w:rPr>
              <w:t xml:space="preserve">. Apzinot šobrīd reģistrētās ģimenes ārstu prakses 1312, mēneša ietekme noteikta 73 918,08 </w:t>
            </w:r>
            <w:proofErr w:type="spellStart"/>
            <w:r>
              <w:rPr>
                <w:lang w:eastAsia="lv-LV"/>
              </w:rPr>
              <w:t>euro</w:t>
            </w:r>
            <w:proofErr w:type="spellEnd"/>
            <w:r>
              <w:rPr>
                <w:lang w:eastAsia="lv-LV"/>
              </w:rPr>
              <w:t xml:space="preserve">, kas gadā veido ietekmi 887 017 </w:t>
            </w:r>
            <w:proofErr w:type="spellStart"/>
            <w:r>
              <w:rPr>
                <w:lang w:eastAsia="lv-LV"/>
              </w:rPr>
              <w:t>euro</w:t>
            </w:r>
            <w:proofErr w:type="spellEnd"/>
            <w:r>
              <w:rPr>
                <w:lang w:eastAsia="lv-LV"/>
              </w:rPr>
              <w:t>. Turpat nepieciešams</w:t>
            </w:r>
            <w:r w:rsidRPr="00D21315">
              <w:rPr>
                <w:lang w:eastAsia="lv-LV"/>
              </w:rPr>
              <w:t xml:space="preserve"> papildus finansējums jaunatvērtajām praksēm (praksēm, kas nesaņem </w:t>
            </w:r>
            <w:proofErr w:type="spellStart"/>
            <w:r w:rsidRPr="00D21315">
              <w:rPr>
                <w:lang w:eastAsia="lv-LV"/>
              </w:rPr>
              <w:t>kapitācijas</w:t>
            </w:r>
            <w:proofErr w:type="spellEnd"/>
            <w:r w:rsidRPr="00D21315">
              <w:rPr>
                <w:lang w:eastAsia="lv-LV"/>
              </w:rPr>
              <w:t xml:space="preserve"> naudu, bet fiksēto maksājumu)</w:t>
            </w:r>
            <w:r>
              <w:rPr>
                <w:lang w:eastAsia="lv-LV"/>
              </w:rPr>
              <w:t xml:space="preserve">. Šādu prakšu plānotais skaits 25 un to finansēšanas ilgums gadā 6 mēneši, kas kopumā gadā veido 150 prakses mēnešus. Attiecīgi 150 mēneši x 56.34 </w:t>
            </w:r>
            <w:proofErr w:type="spellStart"/>
            <w:r>
              <w:rPr>
                <w:lang w:eastAsia="lv-LV"/>
              </w:rPr>
              <w:t>euro</w:t>
            </w:r>
            <w:proofErr w:type="spellEnd"/>
            <w:r>
              <w:rPr>
                <w:lang w:eastAsia="lv-LV"/>
              </w:rPr>
              <w:t xml:space="preserve"> = 8 451 </w:t>
            </w:r>
            <w:proofErr w:type="spellStart"/>
            <w:r>
              <w:rPr>
                <w:lang w:eastAsia="lv-LV"/>
              </w:rPr>
              <w:t>euro</w:t>
            </w:r>
            <w:proofErr w:type="spellEnd"/>
            <w:r w:rsidRPr="00D21315">
              <w:rPr>
                <w:lang w:eastAsia="lv-LV"/>
              </w:rPr>
              <w:t xml:space="preserve"> gadā</w:t>
            </w:r>
            <w:r>
              <w:rPr>
                <w:lang w:eastAsia="lv-LV"/>
              </w:rPr>
              <w:t xml:space="preserve">. Kopumā ģimenes ārstu fiksētā maksājuma pieaugumam radot ietekmi uz gada budžetu 895 468 </w:t>
            </w:r>
            <w:proofErr w:type="spellStart"/>
            <w:r>
              <w:rPr>
                <w:lang w:eastAsia="lv-LV"/>
              </w:rPr>
              <w:t>euro</w:t>
            </w:r>
            <w:proofErr w:type="spellEnd"/>
            <w:r>
              <w:rPr>
                <w:lang w:eastAsia="lv-LV"/>
              </w:rPr>
              <w:t xml:space="preserve">.  </w:t>
            </w:r>
          </w:p>
          <w:p w:rsidR="00D2680E" w:rsidRDefault="00D2680E" w:rsidP="00D2680E">
            <w:pPr>
              <w:ind w:right="142"/>
              <w:jc w:val="both"/>
              <w:rPr>
                <w:lang w:eastAsia="lv-LV"/>
              </w:rPr>
            </w:pPr>
            <w:r>
              <w:rPr>
                <w:lang w:eastAsia="lv-LV"/>
              </w:rPr>
              <w:t xml:space="preserve">Kopumā 2017.gada budžeta un turpmāk ietekme ir 4 295 657 </w:t>
            </w:r>
            <w:proofErr w:type="spellStart"/>
            <w:r>
              <w:rPr>
                <w:lang w:eastAsia="lv-LV"/>
              </w:rPr>
              <w:t>euro</w:t>
            </w:r>
            <w:proofErr w:type="spellEnd"/>
            <w:r>
              <w:rPr>
                <w:lang w:eastAsia="lv-LV"/>
              </w:rPr>
              <w:t xml:space="preserve"> </w:t>
            </w:r>
            <w:r w:rsidRPr="00515B24">
              <w:rPr>
                <w:lang w:eastAsia="lv-LV"/>
              </w:rPr>
              <w:t>apmērā.</w:t>
            </w:r>
            <w:r w:rsidR="001C48C1">
              <w:rPr>
                <w:lang w:eastAsia="lv-LV"/>
              </w:rPr>
              <w:t xml:space="preserve"> </w:t>
            </w:r>
            <w:r w:rsidRPr="00101A66">
              <w:rPr>
                <w:szCs w:val="24"/>
                <w:lang w:eastAsia="lv-LV"/>
              </w:rPr>
              <w:t xml:space="preserve">Minētās Noteikumu projekta izmaiņas </w:t>
            </w:r>
            <w:r w:rsidRPr="00101A66">
              <w:rPr>
                <w:lang w:eastAsia="lv-LV"/>
              </w:rPr>
              <w:t>tiks finansētas esošo valsts budžeta līdzekļu ietvaros, rodot ietaupījumu</w:t>
            </w:r>
            <w:r w:rsidRPr="00515B24">
              <w:rPr>
                <w:lang w:eastAsia="lv-LV"/>
              </w:rPr>
              <w:t xml:space="preserve"> no laboratorisko izmeklējumu finansēšanai paredzētajiem līdzekļiem</w:t>
            </w:r>
            <w:r w:rsidR="001C48C1">
              <w:rPr>
                <w:lang w:eastAsia="lv-LV"/>
              </w:rPr>
              <w:t xml:space="preserve"> 3 </w:t>
            </w:r>
            <w:proofErr w:type="spellStart"/>
            <w:r w:rsidR="001C48C1">
              <w:rPr>
                <w:lang w:eastAsia="lv-LV"/>
              </w:rPr>
              <w:t>milj.apmērā</w:t>
            </w:r>
            <w:proofErr w:type="spellEnd"/>
            <w:r w:rsidR="001C48C1">
              <w:rPr>
                <w:lang w:eastAsia="lv-LV"/>
              </w:rPr>
              <w:t xml:space="preserve">, atlikušo summu finansējot atbalstīto JPI ietvaros. </w:t>
            </w:r>
          </w:p>
          <w:p w:rsidR="00D2680E" w:rsidRPr="009375D2" w:rsidRDefault="00D2680E" w:rsidP="00D2680E">
            <w:pPr>
              <w:ind w:left="414" w:right="142" w:hanging="70"/>
              <w:jc w:val="both"/>
              <w:rPr>
                <w:szCs w:val="24"/>
                <w:u w:val="single"/>
                <w:lang w:eastAsia="lv-LV"/>
              </w:rPr>
            </w:pPr>
          </w:p>
        </w:tc>
      </w:tr>
      <w:tr w:rsidR="00D2680E" w:rsidRPr="00D74959" w:rsidTr="00D2680E">
        <w:trPr>
          <w:jc w:val="center"/>
        </w:trPr>
        <w:tc>
          <w:tcPr>
            <w:tcW w:w="883" w:type="pct"/>
            <w:tcBorders>
              <w:top w:val="outset" w:sz="6" w:space="0" w:color="auto"/>
              <w:left w:val="outset" w:sz="6" w:space="0" w:color="auto"/>
              <w:bottom w:val="outset" w:sz="6" w:space="0" w:color="auto"/>
              <w:right w:val="outset" w:sz="6" w:space="0" w:color="auto"/>
            </w:tcBorders>
          </w:tcPr>
          <w:p w:rsidR="00D2680E" w:rsidRPr="006D1F1C" w:rsidRDefault="00D2680E" w:rsidP="00D2680E">
            <w:pPr>
              <w:rPr>
                <w:rFonts w:eastAsia="Times New Roman" w:cs="Times New Roman"/>
                <w:szCs w:val="24"/>
                <w:lang w:eastAsia="lv-LV"/>
              </w:rPr>
            </w:pPr>
            <w:r>
              <w:rPr>
                <w:rFonts w:eastAsia="Times New Roman" w:cs="Times New Roman"/>
                <w:szCs w:val="24"/>
                <w:lang w:eastAsia="lv-LV"/>
              </w:rPr>
              <w:lastRenderedPageBreak/>
              <w:t>7.</w:t>
            </w:r>
          </w:p>
        </w:tc>
        <w:tc>
          <w:tcPr>
            <w:tcW w:w="4117" w:type="pct"/>
            <w:gridSpan w:val="5"/>
            <w:tcBorders>
              <w:top w:val="outset" w:sz="6" w:space="0" w:color="auto"/>
              <w:left w:val="outset" w:sz="6" w:space="0" w:color="auto"/>
              <w:bottom w:val="outset" w:sz="6" w:space="0" w:color="auto"/>
              <w:right w:val="outset" w:sz="6" w:space="0" w:color="auto"/>
            </w:tcBorders>
            <w:vAlign w:val="center"/>
          </w:tcPr>
          <w:p w:rsidR="00D2680E" w:rsidRPr="001C48C1" w:rsidRDefault="00D2680E" w:rsidP="00D2680E">
            <w:pPr>
              <w:pStyle w:val="naisf"/>
              <w:spacing w:before="0" w:after="0"/>
              <w:ind w:right="141"/>
            </w:pPr>
            <w:r w:rsidRPr="001C48C1">
              <w:t>Izmaiņas tiks finansētas esoši valsts budžeta līdzekļu ietvaros</w:t>
            </w:r>
          </w:p>
        </w:tc>
      </w:tr>
    </w:tbl>
    <w:p w:rsidR="00D2680E" w:rsidRDefault="00D2680E"/>
    <w:p w:rsidR="00D2680E" w:rsidRDefault="00D2680E"/>
    <w:tbl>
      <w:tblPr>
        <w:tblW w:w="48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049"/>
        <w:gridCol w:w="6789"/>
      </w:tblGrid>
      <w:tr w:rsidR="00DC27EA" w:rsidRPr="00857BA9" w:rsidTr="00375483">
        <w:tc>
          <w:tcPr>
            <w:tcW w:w="5000" w:type="pct"/>
            <w:gridSpan w:val="3"/>
          </w:tcPr>
          <w:p w:rsidR="00DC27EA" w:rsidRPr="00857BA9" w:rsidRDefault="00DC27EA" w:rsidP="004213D9">
            <w:pPr>
              <w:jc w:val="center"/>
            </w:pPr>
            <w:r w:rsidRPr="00857BA9">
              <w:rPr>
                <w:b/>
                <w:bCs/>
              </w:rPr>
              <w:t>VI. Sabiedrības līdzdalība un komunikācijas aktivitātes</w:t>
            </w:r>
          </w:p>
        </w:tc>
      </w:tr>
      <w:tr w:rsidR="00DC27EA" w:rsidRPr="00A90D50" w:rsidTr="00375483">
        <w:tc>
          <w:tcPr>
            <w:tcW w:w="397" w:type="pct"/>
          </w:tcPr>
          <w:p w:rsidR="00DC27EA" w:rsidRPr="00857BA9" w:rsidRDefault="00DC27EA" w:rsidP="004213D9">
            <w:r w:rsidRPr="00857BA9">
              <w:t>1.</w:t>
            </w:r>
          </w:p>
        </w:tc>
        <w:tc>
          <w:tcPr>
            <w:tcW w:w="1067" w:type="pct"/>
          </w:tcPr>
          <w:p w:rsidR="00DC27EA" w:rsidRPr="00857BA9" w:rsidRDefault="00DC27EA" w:rsidP="004213D9">
            <w:r w:rsidRPr="00857BA9">
              <w:t>Plānotās sabiedrības līdzdalības un komunikācijas aktivitātes saistībā ar projektu</w:t>
            </w:r>
          </w:p>
        </w:tc>
        <w:tc>
          <w:tcPr>
            <w:tcW w:w="3536" w:type="pct"/>
          </w:tcPr>
          <w:p w:rsidR="00DC27EA" w:rsidRDefault="002A2430" w:rsidP="00833031">
            <w:pPr>
              <w:jc w:val="both"/>
            </w:pPr>
            <w:r w:rsidRPr="002A2430">
              <w:t xml:space="preserve">Noteikumu </w:t>
            </w:r>
            <w:r>
              <w:t xml:space="preserve">projekts un tā </w:t>
            </w:r>
            <w:r w:rsidRPr="002A2430">
              <w:t>sākotnējās ietekmes novērtējuma ziņojums (anotācija)</w:t>
            </w:r>
            <w:r>
              <w:t xml:space="preserve"> </w:t>
            </w:r>
            <w:r w:rsidR="00215717">
              <w:t xml:space="preserve">2016.gada 12.augustā </w:t>
            </w:r>
            <w:r>
              <w:t>ievietots Veselības ministrijas tīmekļa vietnē sabiedriskās apspriedes sanāksmei.</w:t>
            </w:r>
          </w:p>
          <w:p w:rsidR="00215717" w:rsidRDefault="00215717" w:rsidP="00215717">
            <w:pPr>
              <w:jc w:val="both"/>
            </w:pPr>
            <w:r w:rsidRPr="00215717">
              <w:t xml:space="preserve">Papildus </w:t>
            </w:r>
            <w:r>
              <w:t xml:space="preserve">informācija par </w:t>
            </w:r>
            <w:r w:rsidRPr="00215717">
              <w:t>noteikumu projekt</w:t>
            </w:r>
            <w:r>
              <w:t>a</w:t>
            </w:r>
            <w:r w:rsidRPr="00215717">
              <w:t xml:space="preserve"> </w:t>
            </w:r>
            <w:r>
              <w:t xml:space="preserve">ievietošanu Veselības ministrijas tīmekļa vietnē </w:t>
            </w:r>
            <w:r w:rsidRPr="00215717">
              <w:t>201</w:t>
            </w:r>
            <w:r>
              <w:t>6</w:t>
            </w:r>
            <w:r w:rsidRPr="00215717">
              <w:t>.gada 1</w:t>
            </w:r>
            <w:r>
              <w:t>2</w:t>
            </w:r>
            <w:r w:rsidRPr="00215717">
              <w:t>.</w:t>
            </w:r>
            <w:r>
              <w:t>augustā</w:t>
            </w:r>
            <w:r w:rsidRPr="00215717">
              <w:t xml:space="preserve"> tika nosūtīt</w:t>
            </w:r>
            <w:r>
              <w:t>a</w:t>
            </w:r>
            <w:r w:rsidRPr="00215717">
              <w:t xml:space="preserve">  Veselības aprūpes darba devēju asociācijai, Latvijas slimnīcu biedrībai, Latvijas Lauku ģimenes ārstu asociācijai</w:t>
            </w:r>
            <w:r>
              <w:t>,</w:t>
            </w:r>
            <w:r w:rsidRPr="00215717">
              <w:t xml:space="preserve"> Latvijas Ģimenes ārstu asociācijai un Latvijas Ārstu biedrībai</w:t>
            </w:r>
            <w:r>
              <w:t>.</w:t>
            </w:r>
          </w:p>
          <w:p w:rsidR="00215717" w:rsidRPr="002A2430" w:rsidRDefault="00215717" w:rsidP="00AE1BB8">
            <w:pPr>
              <w:jc w:val="both"/>
            </w:pPr>
            <w:r w:rsidRPr="00C77523">
              <w:rPr>
                <w:lang w:bidi="gu-IN"/>
              </w:rPr>
              <w:t xml:space="preserve">Pēc </w:t>
            </w:r>
            <w:r w:rsidR="00E37684">
              <w:rPr>
                <w:lang w:bidi="gu-IN"/>
              </w:rPr>
              <w:t>n</w:t>
            </w:r>
            <w:r w:rsidRPr="00C77523">
              <w:rPr>
                <w:lang w:bidi="gu-IN"/>
              </w:rPr>
              <w:t xml:space="preserve">oteikumu projekta pieņemšanas </w:t>
            </w:r>
            <w:r w:rsidR="00AE1BB8">
              <w:rPr>
                <w:lang w:bidi="gu-IN"/>
              </w:rPr>
              <w:t>D</w:t>
            </w:r>
            <w:r w:rsidRPr="00C77523">
              <w:rPr>
                <w:lang w:bidi="gu-IN"/>
              </w:rPr>
              <w:t>ienests nosūtīs informāciju visām līgumattiecībās esošām ārstniecības iestādēm, lai tās neatkarīgi no dalības kādā no sabiedriskajām organizācijām būtu informētas par paredzētajām izmaiņām</w:t>
            </w:r>
            <w:r>
              <w:rPr>
                <w:lang w:bidi="gu-IN"/>
              </w:rPr>
              <w:t>.</w:t>
            </w:r>
          </w:p>
        </w:tc>
      </w:tr>
      <w:tr w:rsidR="00DC27EA" w:rsidRPr="00A90D50" w:rsidTr="00375483">
        <w:tc>
          <w:tcPr>
            <w:tcW w:w="397" w:type="pct"/>
          </w:tcPr>
          <w:p w:rsidR="00DC27EA" w:rsidRPr="00857BA9" w:rsidRDefault="00DC27EA" w:rsidP="004213D9">
            <w:r w:rsidRPr="00857BA9">
              <w:t>2.</w:t>
            </w:r>
          </w:p>
        </w:tc>
        <w:tc>
          <w:tcPr>
            <w:tcW w:w="1067" w:type="pct"/>
          </w:tcPr>
          <w:p w:rsidR="00DC27EA" w:rsidRPr="00857BA9" w:rsidRDefault="00DC27EA" w:rsidP="004213D9">
            <w:r w:rsidRPr="00857BA9">
              <w:t>Sabiedrības līdzdalība projekta izstrādē</w:t>
            </w:r>
          </w:p>
        </w:tc>
        <w:tc>
          <w:tcPr>
            <w:tcW w:w="3536" w:type="pct"/>
          </w:tcPr>
          <w:p w:rsidR="00DC27EA" w:rsidRPr="004D5766" w:rsidRDefault="00215717" w:rsidP="00215717">
            <w:pPr>
              <w:jc w:val="both"/>
            </w:pPr>
            <w:r w:rsidRPr="00215717">
              <w:t>Saskaņā ar Ministru kabineta 2009.gada 25.augusta noteikumiem Nr.970 „Sabiedrības līdzdalības kārtība attīstības plānošanas procesā” sabiedriskā apspriede par noteikumu projektu notika 201</w:t>
            </w:r>
            <w:r>
              <w:t>6</w:t>
            </w:r>
            <w:r w:rsidRPr="00215717">
              <w:t>.gada 2</w:t>
            </w:r>
            <w:r>
              <w:t>6</w:t>
            </w:r>
            <w:r w:rsidRPr="00215717">
              <w:t>.</w:t>
            </w:r>
            <w:r>
              <w:t>augustā</w:t>
            </w:r>
            <w:r w:rsidRPr="00215717">
              <w:t xml:space="preserve"> Veselības ministrijā.</w:t>
            </w:r>
          </w:p>
        </w:tc>
      </w:tr>
      <w:tr w:rsidR="00DC27EA" w:rsidRPr="00A90D50" w:rsidTr="00375483">
        <w:tc>
          <w:tcPr>
            <w:tcW w:w="397" w:type="pct"/>
          </w:tcPr>
          <w:p w:rsidR="00DC27EA" w:rsidRPr="00857BA9" w:rsidRDefault="00DC27EA" w:rsidP="004213D9">
            <w:r w:rsidRPr="00857BA9">
              <w:t>3.</w:t>
            </w:r>
          </w:p>
        </w:tc>
        <w:tc>
          <w:tcPr>
            <w:tcW w:w="1067" w:type="pct"/>
          </w:tcPr>
          <w:p w:rsidR="00DC27EA" w:rsidRPr="00857BA9" w:rsidRDefault="00DC27EA" w:rsidP="004213D9">
            <w:r w:rsidRPr="00857BA9">
              <w:t>Sabiedrības līdzdalības rezultāti</w:t>
            </w:r>
          </w:p>
        </w:tc>
        <w:tc>
          <w:tcPr>
            <w:tcW w:w="3536" w:type="pct"/>
          </w:tcPr>
          <w:p w:rsidR="00DC27EA" w:rsidRPr="00375483" w:rsidRDefault="00E37684" w:rsidP="002F1B21">
            <w:pPr>
              <w:jc w:val="both"/>
            </w:pPr>
            <w:r w:rsidRPr="00C77523">
              <w:rPr>
                <w:rFonts w:eastAsia="Arial Unicode MS"/>
              </w:rPr>
              <w:t>Sabiedriskās apspriedes laikā sniegtie iebildumi un priekšlikumi apkopoti tabulā, kas ir pieejama Veselības ministrijas tīmekļa vietnē</w:t>
            </w:r>
            <w:r w:rsidR="002F1B21">
              <w:rPr>
                <w:rFonts w:eastAsia="Arial Unicode MS"/>
              </w:rPr>
              <w:t xml:space="preserve">. </w:t>
            </w:r>
            <w:r w:rsidRPr="00C77523">
              <w:rPr>
                <w:rFonts w:eastAsia="Arial Unicode MS"/>
              </w:rPr>
              <w:t xml:space="preserve">Noteikumu projekts tika papildināts un labots atbilstoši sniegtajiem iebildumiem un priekšlikumiem, kā arī ņemot vērā </w:t>
            </w:r>
            <w:r w:rsidRPr="00C77523">
              <w:rPr>
                <w:rFonts w:eastAsia="Arial Unicode MS"/>
              </w:rPr>
              <w:lastRenderedPageBreak/>
              <w:t>veselības nozares prioritātes un budžeta iespējas.</w:t>
            </w:r>
          </w:p>
        </w:tc>
      </w:tr>
      <w:tr w:rsidR="00DC27EA" w:rsidRPr="00857BA9" w:rsidTr="00375483">
        <w:tc>
          <w:tcPr>
            <w:tcW w:w="397" w:type="pct"/>
          </w:tcPr>
          <w:p w:rsidR="00DC27EA" w:rsidRPr="00857BA9" w:rsidRDefault="00DC27EA" w:rsidP="004213D9">
            <w:r w:rsidRPr="00857BA9">
              <w:lastRenderedPageBreak/>
              <w:t>4.</w:t>
            </w:r>
          </w:p>
        </w:tc>
        <w:tc>
          <w:tcPr>
            <w:tcW w:w="1067" w:type="pct"/>
          </w:tcPr>
          <w:p w:rsidR="00DC27EA" w:rsidRPr="00857BA9" w:rsidRDefault="00DC27EA" w:rsidP="004213D9">
            <w:r w:rsidRPr="00857BA9">
              <w:t>Cita informācija</w:t>
            </w:r>
          </w:p>
        </w:tc>
        <w:tc>
          <w:tcPr>
            <w:tcW w:w="3536" w:type="pct"/>
          </w:tcPr>
          <w:p w:rsidR="00DC27EA" w:rsidRDefault="00E37684" w:rsidP="00244366">
            <w:pPr>
              <w:jc w:val="both"/>
            </w:pPr>
            <w:r w:rsidRPr="00E37684">
              <w:t>Sabiedriskajā apspriedē 2015.gada 2</w:t>
            </w:r>
            <w:r>
              <w:t>6</w:t>
            </w:r>
            <w:r w:rsidRPr="00E37684">
              <w:t>.</w:t>
            </w:r>
            <w:r>
              <w:t>augustā</w:t>
            </w:r>
            <w:r w:rsidRPr="00E37684">
              <w:t xml:space="preserve"> piedalījās pārstāvji Veselības aprūpes darba devēju asociācijas,</w:t>
            </w:r>
            <w:r>
              <w:t xml:space="preserve"> Latvijas Urologu asociācijas,</w:t>
            </w:r>
            <w:r w:rsidR="00EF404B">
              <w:t xml:space="preserve"> MFD veselības grupas, Starptautisko inovatīvo farmaceitisko firmu asociācijas, Latvijas Tuberkulozes un plaušu slimību ārstu asociācijas, Nacionālā veselības dienesta, Paula Stradiņa klīniskās universitātes slimnīcas, Rīgas Austrumu klīniskās universitātes slimnīcas</w:t>
            </w:r>
            <w:r w:rsidR="009C4A51">
              <w:t xml:space="preserve"> un Veselības ministrijas.</w:t>
            </w:r>
            <w:r w:rsidR="00EF404B">
              <w:t xml:space="preserve"> </w:t>
            </w:r>
          </w:p>
          <w:p w:rsidR="00E37684" w:rsidRPr="00857BA9" w:rsidRDefault="00EF404B" w:rsidP="00581578">
            <w:pPr>
              <w:jc w:val="both"/>
            </w:pPr>
            <w:r>
              <w:t xml:space="preserve">Savukārt 2016.gada </w:t>
            </w:r>
            <w:r w:rsidR="009C4A51">
              <w:t xml:space="preserve">15.augustā noteikumu projekta apspriešanā </w:t>
            </w:r>
            <w:r w:rsidR="00244366">
              <w:t xml:space="preserve">Veselības ministrijā </w:t>
            </w:r>
            <w:r w:rsidR="009C4A51">
              <w:t>piedalījās pārstāvji no</w:t>
            </w:r>
            <w:r w:rsidR="00E37684" w:rsidRPr="00E37684">
              <w:t xml:space="preserve"> Latvijas Ģimenes ārstu asociācijas, Latvijas Lauku ģimenes ārstu asociācijas,</w:t>
            </w:r>
            <w:r w:rsidR="009C4A51">
              <w:t xml:space="preserve"> speciālisti no Paula Stradiņa klīniskās universitātes slimnīcas, Rīgas Austrumu klīniskās universitātes slimnīcas</w:t>
            </w:r>
            <w:r w:rsidR="00244366">
              <w:t xml:space="preserve">, </w:t>
            </w:r>
            <w:r w:rsidR="00244366" w:rsidRPr="00244366">
              <w:t>Latvijas Onkoloģijas centr</w:t>
            </w:r>
            <w:r w:rsidR="00244366">
              <w:t xml:space="preserve">a, </w:t>
            </w:r>
            <w:r w:rsidR="00244366" w:rsidRPr="00244366">
              <w:t>Piejūras slimnīca</w:t>
            </w:r>
            <w:r w:rsidR="00244366">
              <w:t>s</w:t>
            </w:r>
            <w:r w:rsidR="00244366" w:rsidRPr="00244366">
              <w:t xml:space="preserve"> Onkoloģijas klīnika</w:t>
            </w:r>
            <w:r w:rsidR="00244366">
              <w:t xml:space="preserve">s, </w:t>
            </w:r>
            <w:r w:rsidR="00244366" w:rsidRPr="00244366">
              <w:t>Liepājas reģionālā</w:t>
            </w:r>
            <w:r w:rsidR="00244366">
              <w:t>s</w:t>
            </w:r>
            <w:r w:rsidR="00244366" w:rsidRPr="00244366">
              <w:t xml:space="preserve"> slimnīca</w:t>
            </w:r>
            <w:r w:rsidR="00244366">
              <w:t xml:space="preserve">s, </w:t>
            </w:r>
            <w:r w:rsidR="00244366" w:rsidRPr="00244366">
              <w:t>Daugavpils reģionālā</w:t>
            </w:r>
            <w:r w:rsidR="00244366">
              <w:t>s</w:t>
            </w:r>
            <w:r w:rsidR="00244366" w:rsidRPr="00244366">
              <w:t xml:space="preserve"> slimnīca</w:t>
            </w:r>
            <w:r w:rsidR="00244366">
              <w:t>s.</w:t>
            </w:r>
          </w:p>
        </w:tc>
      </w:tr>
    </w:tbl>
    <w:p w:rsidR="00DC27EA" w:rsidRDefault="00DC27EA"/>
    <w:tbl>
      <w:tblPr>
        <w:tblW w:w="4960" w:type="pct"/>
        <w:jc w:val="center"/>
        <w:tblInd w:w="-7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57"/>
        <w:gridCol w:w="3330"/>
        <w:gridCol w:w="5233"/>
      </w:tblGrid>
      <w:tr w:rsidR="00DC27EA" w:rsidRPr="006D1F1C" w:rsidTr="00C421D8">
        <w:trPr>
          <w:trHeight w:val="375"/>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DC27EA" w:rsidRPr="006D1F1C" w:rsidRDefault="00DC27EA" w:rsidP="004213D9">
            <w:pPr>
              <w:spacing w:before="75" w:after="75"/>
              <w:rPr>
                <w:rFonts w:eastAsia="Times New Roman" w:cs="Times New Roman"/>
                <w:szCs w:val="24"/>
                <w:lang w:eastAsia="lv-LV"/>
              </w:rPr>
            </w:pPr>
            <w:r w:rsidRPr="00DD3994">
              <w:rPr>
                <w:rFonts w:eastAsia="Times New Roman" w:cs="Times New Roman"/>
                <w:b/>
                <w:bCs/>
                <w:szCs w:val="24"/>
                <w:lang w:eastAsia="lv-LV"/>
              </w:rPr>
              <w:t>VII. Tiesību akta projekta izpildes nodrošināšana un tās ietekme uz institūcijām</w:t>
            </w:r>
          </w:p>
        </w:tc>
      </w:tr>
      <w:tr w:rsidR="00DC27EA" w:rsidRPr="006D1F1C" w:rsidTr="00375483">
        <w:trPr>
          <w:trHeight w:val="420"/>
          <w:jc w:val="center"/>
        </w:trPr>
        <w:tc>
          <w:tcPr>
            <w:tcW w:w="549"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1.</w:t>
            </w:r>
          </w:p>
        </w:tc>
        <w:tc>
          <w:tcPr>
            <w:tcW w:w="1731"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Projekta izpildē iesaistītās institūcijas</w:t>
            </w:r>
          </w:p>
        </w:tc>
        <w:tc>
          <w:tcPr>
            <w:tcW w:w="2720" w:type="pct"/>
            <w:tcBorders>
              <w:top w:val="outset" w:sz="6" w:space="0" w:color="auto"/>
              <w:left w:val="outset" w:sz="6" w:space="0" w:color="auto"/>
              <w:bottom w:val="outset" w:sz="6" w:space="0" w:color="auto"/>
              <w:right w:val="outset" w:sz="6" w:space="0" w:color="auto"/>
            </w:tcBorders>
            <w:hideMark/>
          </w:tcPr>
          <w:p w:rsidR="00DC27EA" w:rsidRPr="006D1F1C" w:rsidRDefault="00AE1BB8" w:rsidP="00AE1BB8">
            <w:pPr>
              <w:rPr>
                <w:rFonts w:eastAsia="Times New Roman" w:cs="Times New Roman"/>
                <w:szCs w:val="24"/>
                <w:lang w:eastAsia="lv-LV"/>
              </w:rPr>
            </w:pPr>
            <w:r>
              <w:rPr>
                <w:rFonts w:eastAsia="Times New Roman" w:cs="Times New Roman"/>
                <w:szCs w:val="24"/>
                <w:lang w:eastAsia="lv-LV"/>
              </w:rPr>
              <w:t>D</w:t>
            </w:r>
            <w:r w:rsidR="00F277B9" w:rsidRPr="004F4A31">
              <w:rPr>
                <w:rFonts w:eastAsia="Times New Roman" w:cs="Times New Roman"/>
                <w:szCs w:val="24"/>
                <w:lang w:eastAsia="lv-LV"/>
              </w:rPr>
              <w:t xml:space="preserve">ienests, </w:t>
            </w:r>
            <w:r w:rsidR="00F277B9">
              <w:rPr>
                <w:rFonts w:eastAsia="Times New Roman" w:cs="Times New Roman"/>
                <w:szCs w:val="24"/>
                <w:lang w:eastAsia="lv-LV"/>
              </w:rPr>
              <w:t>ārstniecības iestādes.</w:t>
            </w:r>
          </w:p>
        </w:tc>
      </w:tr>
      <w:tr w:rsidR="00DC27EA" w:rsidRPr="006D1F1C" w:rsidTr="00375483">
        <w:trPr>
          <w:trHeight w:val="450"/>
          <w:jc w:val="center"/>
        </w:trPr>
        <w:tc>
          <w:tcPr>
            <w:tcW w:w="549"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2.</w:t>
            </w:r>
          </w:p>
        </w:tc>
        <w:tc>
          <w:tcPr>
            <w:tcW w:w="1731"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 xml:space="preserve">Projekta izpildes ietekme uz pārvaldes funkcijām un institucionālo struktūru. </w:t>
            </w:r>
          </w:p>
          <w:p w:rsidR="00DC27EA" w:rsidRPr="006D1F1C" w:rsidRDefault="00DC27EA" w:rsidP="004213D9">
            <w:pPr>
              <w:spacing w:before="75" w:after="75"/>
              <w:rPr>
                <w:rFonts w:eastAsia="Times New Roman" w:cs="Times New Roman"/>
                <w:szCs w:val="24"/>
                <w:lang w:eastAsia="lv-LV"/>
              </w:rPr>
            </w:pPr>
            <w:r w:rsidRPr="006D1F1C">
              <w:rPr>
                <w:rFonts w:eastAsia="Times New Roman" w:cs="Times New Roman"/>
                <w:szCs w:val="24"/>
                <w:lang w:eastAsia="lv-LV"/>
              </w:rPr>
              <w:t>Jaunu institūciju izveide, esošu institūciju likvidācija vai reorganizācija, to ietekme uz institūcijas cilvēkresursiem</w:t>
            </w:r>
          </w:p>
        </w:tc>
        <w:tc>
          <w:tcPr>
            <w:tcW w:w="2720"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spacing w:before="75" w:after="75"/>
              <w:rPr>
                <w:rFonts w:eastAsia="Times New Roman" w:cs="Times New Roman"/>
                <w:szCs w:val="24"/>
                <w:lang w:eastAsia="lv-LV"/>
              </w:rPr>
            </w:pPr>
            <w:r>
              <w:rPr>
                <w:rFonts w:eastAsia="Times New Roman" w:cs="Times New Roman"/>
                <w:szCs w:val="24"/>
                <w:lang w:eastAsia="lv-LV"/>
              </w:rPr>
              <w:t>Nav.</w:t>
            </w:r>
          </w:p>
        </w:tc>
      </w:tr>
      <w:tr w:rsidR="00DC27EA" w:rsidRPr="006D1F1C" w:rsidTr="00375483">
        <w:trPr>
          <w:trHeight w:val="390"/>
          <w:jc w:val="center"/>
        </w:trPr>
        <w:tc>
          <w:tcPr>
            <w:tcW w:w="549"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3.</w:t>
            </w:r>
          </w:p>
        </w:tc>
        <w:tc>
          <w:tcPr>
            <w:tcW w:w="1731"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rPr>
                <w:rFonts w:eastAsia="Times New Roman" w:cs="Times New Roman"/>
                <w:szCs w:val="24"/>
                <w:lang w:eastAsia="lv-LV"/>
              </w:rPr>
            </w:pPr>
            <w:r w:rsidRPr="006D1F1C">
              <w:rPr>
                <w:rFonts w:eastAsia="Times New Roman" w:cs="Times New Roman"/>
                <w:szCs w:val="24"/>
                <w:lang w:eastAsia="lv-LV"/>
              </w:rPr>
              <w:t>Cita informācija</w:t>
            </w:r>
          </w:p>
        </w:tc>
        <w:tc>
          <w:tcPr>
            <w:tcW w:w="2720" w:type="pct"/>
            <w:tcBorders>
              <w:top w:val="outset" w:sz="6" w:space="0" w:color="auto"/>
              <w:left w:val="outset" w:sz="6" w:space="0" w:color="auto"/>
              <w:bottom w:val="outset" w:sz="6" w:space="0" w:color="auto"/>
              <w:right w:val="outset" w:sz="6" w:space="0" w:color="auto"/>
            </w:tcBorders>
            <w:hideMark/>
          </w:tcPr>
          <w:p w:rsidR="00DC27EA" w:rsidRPr="006D1F1C" w:rsidRDefault="00DC27EA" w:rsidP="004213D9">
            <w:pPr>
              <w:spacing w:before="75" w:after="75"/>
              <w:rPr>
                <w:rFonts w:eastAsia="Times New Roman" w:cs="Times New Roman"/>
                <w:szCs w:val="24"/>
                <w:lang w:eastAsia="lv-LV"/>
              </w:rPr>
            </w:pPr>
            <w:r w:rsidRPr="006D1F1C">
              <w:rPr>
                <w:rFonts w:eastAsia="Times New Roman" w:cs="Times New Roman"/>
                <w:szCs w:val="24"/>
                <w:lang w:eastAsia="lv-LV"/>
              </w:rPr>
              <w:t>Nav.</w:t>
            </w:r>
          </w:p>
        </w:tc>
      </w:tr>
    </w:tbl>
    <w:p w:rsidR="00DC27EA" w:rsidRDefault="00DC27EA" w:rsidP="00DC27EA">
      <w:pPr>
        <w:spacing w:after="480"/>
        <w:contextualSpacing/>
        <w:rPr>
          <w:rFonts w:cs="Times New Roman"/>
        </w:rPr>
      </w:pPr>
      <w:r w:rsidRPr="00DD3994">
        <w:rPr>
          <w:rFonts w:cs="Times New Roman"/>
          <w:szCs w:val="24"/>
        </w:rPr>
        <w:t>Anotācijas</w:t>
      </w:r>
      <w:r>
        <w:rPr>
          <w:rFonts w:cs="Times New Roman"/>
          <w:szCs w:val="24"/>
        </w:rPr>
        <w:t xml:space="preserve">, IV un V sadaļa </w:t>
      </w:r>
      <w:r w:rsidRPr="00DD3994">
        <w:rPr>
          <w:rFonts w:cs="Times New Roman"/>
          <w:szCs w:val="24"/>
        </w:rPr>
        <w:t xml:space="preserve">– </w:t>
      </w:r>
      <w:r w:rsidRPr="00DD3994">
        <w:rPr>
          <w:rFonts w:cs="Times New Roman"/>
        </w:rPr>
        <w:t>Projekts šīs jomas neskar.</w:t>
      </w:r>
    </w:p>
    <w:p w:rsidR="002703FA" w:rsidRDefault="002703FA" w:rsidP="00DC27EA">
      <w:pPr>
        <w:spacing w:after="480"/>
        <w:contextualSpacing/>
        <w:rPr>
          <w:rFonts w:cs="Times New Roman"/>
        </w:rPr>
      </w:pPr>
    </w:p>
    <w:p w:rsidR="00DC27EA" w:rsidRPr="00DD3994" w:rsidRDefault="00DC27EA" w:rsidP="00DC27EA">
      <w:pPr>
        <w:spacing w:after="480"/>
        <w:contextualSpacing/>
        <w:rPr>
          <w:rFonts w:cs="Times New Roman"/>
        </w:rPr>
      </w:pPr>
    </w:p>
    <w:p w:rsidR="00DC27EA" w:rsidRDefault="00DC27EA" w:rsidP="004D5766">
      <w:pPr>
        <w:tabs>
          <w:tab w:val="right" w:pos="9638"/>
        </w:tabs>
        <w:spacing w:after="720"/>
        <w:ind w:right="-766"/>
        <w:contextualSpacing/>
        <w:rPr>
          <w:rFonts w:eastAsia="Calibri" w:cs="Times New Roman"/>
          <w:sz w:val="28"/>
          <w:szCs w:val="28"/>
        </w:rPr>
      </w:pPr>
      <w:r w:rsidRPr="00D21DB0">
        <w:rPr>
          <w:rFonts w:eastAsia="Calibri" w:cs="Times New Roman"/>
          <w:sz w:val="28"/>
          <w:szCs w:val="28"/>
        </w:rPr>
        <w:t>Veselības ministr</w:t>
      </w:r>
      <w:r w:rsidR="004D5766">
        <w:rPr>
          <w:rFonts w:eastAsia="Calibri" w:cs="Times New Roman"/>
          <w:sz w:val="28"/>
          <w:szCs w:val="28"/>
        </w:rPr>
        <w:t>e</w:t>
      </w:r>
      <w:r w:rsidR="004D5766">
        <w:rPr>
          <w:rFonts w:eastAsia="Calibri" w:cs="Times New Roman"/>
          <w:sz w:val="28"/>
          <w:szCs w:val="28"/>
        </w:rPr>
        <w:tab/>
        <w:t xml:space="preserve">Anda </w:t>
      </w:r>
      <w:proofErr w:type="spellStart"/>
      <w:r w:rsidR="004D5766">
        <w:rPr>
          <w:rFonts w:eastAsia="Calibri" w:cs="Times New Roman"/>
          <w:sz w:val="28"/>
          <w:szCs w:val="28"/>
        </w:rPr>
        <w:t>Čakša</w:t>
      </w:r>
      <w:proofErr w:type="spellEnd"/>
      <w:r>
        <w:rPr>
          <w:rFonts w:eastAsia="Calibri" w:cs="Times New Roman"/>
          <w:sz w:val="28"/>
          <w:szCs w:val="28"/>
        </w:rPr>
        <w:tab/>
      </w:r>
    </w:p>
    <w:p w:rsidR="00DC27EA" w:rsidRPr="00CF0941" w:rsidRDefault="00DC27EA" w:rsidP="00DC27EA">
      <w:pPr>
        <w:tabs>
          <w:tab w:val="left" w:pos="7230"/>
          <w:tab w:val="right" w:pos="9072"/>
        </w:tabs>
        <w:spacing w:after="720"/>
        <w:ind w:right="-766"/>
        <w:contextualSpacing/>
        <w:rPr>
          <w:rFonts w:eastAsia="Calibri" w:cs="Times New Roman"/>
          <w:sz w:val="48"/>
          <w:szCs w:val="28"/>
        </w:rPr>
      </w:pPr>
    </w:p>
    <w:p w:rsidR="00C422DE" w:rsidRPr="00FA23FD" w:rsidRDefault="000B2A47" w:rsidP="00FA23FD">
      <w:pPr>
        <w:tabs>
          <w:tab w:val="right" w:pos="9639"/>
        </w:tabs>
        <w:ind w:right="-1"/>
        <w:contextualSpacing/>
        <w:rPr>
          <w:rFonts w:eastAsia="Calibri" w:cs="Times New Roman"/>
          <w:sz w:val="28"/>
          <w:szCs w:val="28"/>
        </w:rPr>
      </w:pPr>
      <w:r>
        <w:rPr>
          <w:rFonts w:eastAsia="Calibri" w:cs="Times New Roman"/>
          <w:sz w:val="28"/>
          <w:szCs w:val="28"/>
        </w:rPr>
        <w:t>Vīza: Valsts sekretār</w:t>
      </w:r>
      <w:r w:rsidR="006622A4">
        <w:rPr>
          <w:rFonts w:eastAsia="Calibri" w:cs="Times New Roman"/>
          <w:sz w:val="28"/>
          <w:szCs w:val="28"/>
        </w:rPr>
        <w:t xml:space="preserve">a </w:t>
      </w:r>
      <w:proofErr w:type="spellStart"/>
      <w:r w:rsidR="006622A4">
        <w:rPr>
          <w:rFonts w:eastAsia="Calibri" w:cs="Times New Roman"/>
          <w:sz w:val="28"/>
          <w:szCs w:val="28"/>
        </w:rPr>
        <w:t>p.i</w:t>
      </w:r>
      <w:proofErr w:type="spellEnd"/>
      <w:r w:rsidR="006622A4">
        <w:rPr>
          <w:rFonts w:eastAsia="Calibri" w:cs="Times New Roman"/>
          <w:sz w:val="28"/>
          <w:szCs w:val="28"/>
        </w:rPr>
        <w:t>.</w:t>
      </w:r>
      <w:r w:rsidR="00DC27EA">
        <w:rPr>
          <w:rFonts w:eastAsia="Calibri" w:cs="Times New Roman"/>
          <w:sz w:val="28"/>
          <w:szCs w:val="28"/>
        </w:rPr>
        <w:tab/>
      </w:r>
      <w:r w:rsidR="006622A4">
        <w:rPr>
          <w:rFonts w:eastAsia="Calibri" w:cs="Times New Roman"/>
          <w:sz w:val="28"/>
          <w:szCs w:val="28"/>
        </w:rPr>
        <w:t xml:space="preserve">Kārlis </w:t>
      </w:r>
      <w:proofErr w:type="spellStart"/>
      <w:r w:rsidR="006622A4">
        <w:rPr>
          <w:rFonts w:eastAsia="Calibri" w:cs="Times New Roman"/>
          <w:sz w:val="28"/>
          <w:szCs w:val="28"/>
        </w:rPr>
        <w:t>Ketners</w:t>
      </w:r>
      <w:proofErr w:type="spellEnd"/>
    </w:p>
    <w:p w:rsidR="005A1B76" w:rsidRDefault="005A1B76" w:rsidP="00A62706">
      <w:pPr>
        <w:spacing w:after="200" w:line="276" w:lineRule="auto"/>
        <w:contextualSpacing/>
        <w:rPr>
          <w:rFonts w:eastAsia="Times New Roman" w:cs="Times New Roman"/>
          <w:sz w:val="20"/>
          <w:szCs w:val="20"/>
          <w:lang w:eastAsia="lv-LV"/>
        </w:rPr>
      </w:pPr>
    </w:p>
    <w:p w:rsidR="007D78FB" w:rsidRDefault="007D78FB" w:rsidP="00A62706">
      <w:pPr>
        <w:spacing w:after="200" w:line="276" w:lineRule="auto"/>
        <w:contextualSpacing/>
        <w:rPr>
          <w:rFonts w:eastAsia="Times New Roman" w:cs="Times New Roman"/>
          <w:sz w:val="20"/>
          <w:szCs w:val="20"/>
          <w:lang w:eastAsia="lv-LV"/>
        </w:rPr>
      </w:pPr>
    </w:p>
    <w:p w:rsidR="00FB0E99" w:rsidRDefault="00FB0E99" w:rsidP="00A62706">
      <w:pPr>
        <w:spacing w:after="200" w:line="276" w:lineRule="auto"/>
        <w:contextualSpacing/>
        <w:rPr>
          <w:rFonts w:eastAsia="Times New Roman" w:cs="Times New Roman"/>
          <w:sz w:val="20"/>
          <w:szCs w:val="20"/>
          <w:lang w:eastAsia="lv-LV"/>
        </w:rPr>
      </w:pPr>
    </w:p>
    <w:p w:rsidR="00A62706" w:rsidRPr="00FA23FD" w:rsidRDefault="00080CC0" w:rsidP="00A62706">
      <w:pPr>
        <w:spacing w:after="200" w:line="276" w:lineRule="auto"/>
        <w:contextualSpacing/>
        <w:rPr>
          <w:rFonts w:eastAsia="Times New Roman" w:cs="Times New Roman"/>
          <w:sz w:val="20"/>
          <w:szCs w:val="20"/>
          <w:lang w:eastAsia="lv-LV"/>
        </w:rPr>
      </w:pPr>
      <w:r>
        <w:rPr>
          <w:rFonts w:eastAsia="Times New Roman" w:cs="Times New Roman"/>
          <w:sz w:val="20"/>
          <w:szCs w:val="20"/>
          <w:lang w:eastAsia="lv-LV"/>
        </w:rPr>
        <w:t>30</w:t>
      </w:r>
      <w:r w:rsidR="00DC27EA" w:rsidRPr="00FA23FD">
        <w:rPr>
          <w:rFonts w:eastAsia="Times New Roman" w:cs="Times New Roman"/>
          <w:sz w:val="20"/>
          <w:szCs w:val="20"/>
          <w:lang w:eastAsia="lv-LV"/>
        </w:rPr>
        <w:t>.0</w:t>
      </w:r>
      <w:r w:rsidR="00FB0E99">
        <w:rPr>
          <w:rFonts w:eastAsia="Times New Roman" w:cs="Times New Roman"/>
          <w:sz w:val="20"/>
          <w:szCs w:val="20"/>
          <w:lang w:eastAsia="lv-LV"/>
        </w:rPr>
        <w:t>8</w:t>
      </w:r>
      <w:r w:rsidR="00DC27EA" w:rsidRPr="00FA23FD">
        <w:rPr>
          <w:rFonts w:eastAsia="Times New Roman" w:cs="Times New Roman"/>
          <w:sz w:val="20"/>
          <w:szCs w:val="20"/>
          <w:lang w:eastAsia="lv-LV"/>
        </w:rPr>
        <w:t xml:space="preserve">.2016 </w:t>
      </w:r>
      <w:r w:rsidR="00194A3D">
        <w:rPr>
          <w:rFonts w:eastAsia="Times New Roman" w:cs="Times New Roman"/>
          <w:sz w:val="20"/>
          <w:szCs w:val="20"/>
          <w:lang w:eastAsia="lv-LV"/>
        </w:rPr>
        <w:t>1</w:t>
      </w:r>
      <w:r>
        <w:rPr>
          <w:rFonts w:eastAsia="Times New Roman" w:cs="Times New Roman"/>
          <w:sz w:val="20"/>
          <w:szCs w:val="20"/>
          <w:lang w:eastAsia="lv-LV"/>
        </w:rPr>
        <w:t>1</w:t>
      </w:r>
      <w:r w:rsidR="00C422DE" w:rsidRPr="00FA23FD">
        <w:rPr>
          <w:rFonts w:eastAsia="Times New Roman" w:cs="Times New Roman"/>
          <w:sz w:val="20"/>
          <w:szCs w:val="20"/>
          <w:lang w:eastAsia="lv-LV"/>
        </w:rPr>
        <w:t>:</w:t>
      </w:r>
      <w:r>
        <w:rPr>
          <w:rFonts w:eastAsia="Times New Roman" w:cs="Times New Roman"/>
          <w:sz w:val="20"/>
          <w:szCs w:val="20"/>
          <w:lang w:eastAsia="lv-LV"/>
        </w:rPr>
        <w:t>4</w:t>
      </w:r>
      <w:r w:rsidR="00C3566A">
        <w:rPr>
          <w:rFonts w:eastAsia="Times New Roman" w:cs="Times New Roman"/>
          <w:sz w:val="20"/>
          <w:szCs w:val="20"/>
          <w:lang w:eastAsia="lv-LV"/>
        </w:rPr>
        <w:t>7</w:t>
      </w:r>
    </w:p>
    <w:p w:rsidR="00080CC0" w:rsidRDefault="00080CC0" w:rsidP="00A62706">
      <w:pPr>
        <w:spacing w:after="200" w:line="276" w:lineRule="auto"/>
        <w:contextualSpacing/>
        <w:rPr>
          <w:rFonts w:eastAsia="Times New Roman" w:cs="Times New Roman"/>
          <w:sz w:val="20"/>
          <w:szCs w:val="20"/>
          <w:lang w:eastAsia="lv-LV"/>
        </w:rPr>
      </w:pPr>
      <w:r>
        <w:rPr>
          <w:rFonts w:eastAsia="Times New Roman" w:cs="Times New Roman"/>
          <w:sz w:val="20"/>
          <w:szCs w:val="20"/>
          <w:lang w:eastAsia="lv-LV"/>
        </w:rPr>
        <w:t>5270</w:t>
      </w:r>
    </w:p>
    <w:p w:rsidR="00717DD5" w:rsidRDefault="00717DD5" w:rsidP="00A62706">
      <w:pPr>
        <w:spacing w:after="200" w:line="276" w:lineRule="auto"/>
        <w:contextualSpacing/>
        <w:rPr>
          <w:rFonts w:eastAsia="Times New Roman" w:cs="Times New Roman"/>
          <w:sz w:val="20"/>
          <w:szCs w:val="20"/>
          <w:lang w:eastAsia="lv-LV"/>
        </w:rPr>
      </w:pPr>
      <w:r>
        <w:rPr>
          <w:rFonts w:eastAsia="Times New Roman" w:cs="Times New Roman"/>
          <w:sz w:val="20"/>
          <w:szCs w:val="20"/>
          <w:lang w:eastAsia="lv-LV"/>
        </w:rPr>
        <w:t>Leonora Eglīte</w:t>
      </w:r>
      <w:r w:rsidR="00080CC0">
        <w:rPr>
          <w:rFonts w:eastAsia="Times New Roman" w:cs="Times New Roman"/>
          <w:sz w:val="20"/>
          <w:szCs w:val="20"/>
          <w:lang w:eastAsia="lv-LV"/>
        </w:rPr>
        <w:t xml:space="preserve"> 67876091</w:t>
      </w:r>
    </w:p>
    <w:p w:rsidR="00717DD5" w:rsidRDefault="00A4288D" w:rsidP="00A62706">
      <w:pPr>
        <w:spacing w:after="200" w:line="276" w:lineRule="auto"/>
        <w:contextualSpacing/>
        <w:rPr>
          <w:rFonts w:eastAsia="Times New Roman" w:cs="Times New Roman"/>
          <w:sz w:val="20"/>
          <w:szCs w:val="20"/>
          <w:lang w:eastAsia="lv-LV"/>
        </w:rPr>
      </w:pPr>
      <w:hyperlink r:id="rId8" w:history="1">
        <w:r w:rsidR="00717DD5" w:rsidRPr="00D7219B">
          <w:rPr>
            <w:rStyle w:val="Hyperlink"/>
            <w:rFonts w:eastAsia="Times New Roman" w:cs="Times New Roman"/>
            <w:sz w:val="20"/>
            <w:szCs w:val="20"/>
            <w:lang w:eastAsia="lv-LV"/>
          </w:rPr>
          <w:t>Leonora.Eglite@vm.gov.lv</w:t>
        </w:r>
      </w:hyperlink>
    </w:p>
    <w:sectPr w:rsidR="00717DD5" w:rsidSect="00C422DE">
      <w:headerReference w:type="default" r:id="rId9"/>
      <w:footerReference w:type="default" r:id="rId10"/>
      <w:footerReference w:type="first" r:id="rId11"/>
      <w:pgSz w:w="11906" w:h="16838"/>
      <w:pgMar w:top="1418" w:right="1134" w:bottom="1134" w:left="1134"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0E" w:rsidRDefault="00D2680E" w:rsidP="00993C26">
      <w:r>
        <w:separator/>
      </w:r>
    </w:p>
  </w:endnote>
  <w:endnote w:type="continuationSeparator" w:id="0">
    <w:p w:rsidR="00D2680E" w:rsidRDefault="00D2680E" w:rsidP="00993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0E" w:rsidRPr="009B47D3" w:rsidRDefault="00D2680E" w:rsidP="009B47D3">
    <w:pPr>
      <w:pStyle w:val="Footer"/>
      <w:jc w:val="both"/>
      <w:rPr>
        <w:rFonts w:ascii="Times New Roman" w:hAnsi="Times New Roman" w:cs="Times New Roman"/>
        <w:sz w:val="20"/>
        <w:szCs w:val="24"/>
      </w:rPr>
    </w:pPr>
    <w:r w:rsidRPr="00993C26">
      <w:rPr>
        <w:rFonts w:ascii="Times New Roman" w:hAnsi="Times New Roman" w:cs="Times New Roman"/>
        <w:sz w:val="20"/>
        <w:szCs w:val="24"/>
      </w:rPr>
      <w:t>VManot_</w:t>
    </w:r>
    <w:r>
      <w:rPr>
        <w:rFonts w:ascii="Times New Roman" w:hAnsi="Times New Roman" w:cs="Times New Roman"/>
        <w:sz w:val="20"/>
        <w:szCs w:val="24"/>
      </w:rPr>
      <w:t>29</w:t>
    </w:r>
    <w:r w:rsidRPr="00126B31">
      <w:rPr>
        <w:rFonts w:ascii="Times New Roman" w:hAnsi="Times New Roman" w:cs="Times New Roman"/>
        <w:sz w:val="20"/>
        <w:szCs w:val="24"/>
      </w:rPr>
      <w:t>0</w:t>
    </w:r>
    <w:r>
      <w:rPr>
        <w:rFonts w:ascii="Times New Roman" w:hAnsi="Times New Roman" w:cs="Times New Roman"/>
        <w:sz w:val="20"/>
        <w:szCs w:val="24"/>
      </w:rPr>
      <w:t>8</w:t>
    </w:r>
    <w:r w:rsidRPr="00126B31">
      <w:rPr>
        <w:rFonts w:ascii="Times New Roman" w:hAnsi="Times New Roman" w:cs="Times New Roman"/>
        <w:sz w:val="20"/>
        <w:szCs w:val="24"/>
      </w:rPr>
      <w:t>16</w:t>
    </w:r>
    <w:r w:rsidRPr="00993C26">
      <w:rPr>
        <w:rFonts w:ascii="Times New Roman" w:hAnsi="Times New Roman" w:cs="Times New Roman"/>
        <w:sz w:val="20"/>
        <w:szCs w:val="24"/>
      </w:rPr>
      <w:t xml:space="preserve">_not1529 ; </w:t>
    </w:r>
    <w:r w:rsidRPr="00993C26">
      <w:rPr>
        <w:rFonts w:ascii="Times New Roman" w:eastAsia="Times New Roman" w:hAnsi="Times New Roman" w:cs="Times New Roman"/>
        <w:sz w:val="20"/>
        <w:szCs w:val="24"/>
        <w:lang w:eastAsia="lv-LV"/>
      </w:rPr>
      <w:t xml:space="preserve">Ministru kabineta noteikumu projekta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 xml:space="preserve">Grozījumi Ministru kabineta 2013.gada 17.decembra noteikumos Nr.1529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Veselības aprūpes organizēšanas un finansēšanas kārtība</w:t>
    </w:r>
    <w:r>
      <w:rPr>
        <w:rFonts w:ascii="Times New Roman" w:eastAsia="Times New Roman" w:hAnsi="Times New Roman" w:cs="Times New Roman"/>
        <w:bCs/>
        <w:sz w:val="20"/>
        <w:szCs w:val="24"/>
        <w:lang w:eastAsia="lv-LV"/>
      </w:rPr>
      <w:t>””</w:t>
    </w:r>
    <w:r w:rsidRPr="00993C26">
      <w:rPr>
        <w:rFonts w:ascii="Times New Roman" w:hAnsi="Times New Roman" w:cs="Times New Roman"/>
        <w:sz w:val="20"/>
        <w:szCs w:val="24"/>
      </w:rPr>
      <w:t xml:space="preserve"> sākotnējās ietekmes n</w:t>
    </w:r>
    <w:r>
      <w:rPr>
        <w:rFonts w:ascii="Times New Roman" w:hAnsi="Times New Roman" w:cs="Times New Roman"/>
        <w:sz w:val="20"/>
        <w:szCs w:val="24"/>
      </w:rPr>
      <w:t>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0E" w:rsidRPr="005D1666" w:rsidRDefault="00D2680E" w:rsidP="005D1666">
    <w:pPr>
      <w:pStyle w:val="Footer"/>
      <w:jc w:val="both"/>
      <w:rPr>
        <w:rFonts w:ascii="Times New Roman" w:hAnsi="Times New Roman" w:cs="Times New Roman"/>
        <w:sz w:val="20"/>
        <w:szCs w:val="24"/>
      </w:rPr>
    </w:pPr>
    <w:r w:rsidRPr="00993C26">
      <w:rPr>
        <w:rFonts w:ascii="Times New Roman" w:hAnsi="Times New Roman" w:cs="Times New Roman"/>
        <w:sz w:val="20"/>
        <w:szCs w:val="24"/>
      </w:rPr>
      <w:t>VManot_</w:t>
    </w:r>
    <w:r>
      <w:rPr>
        <w:rFonts w:ascii="Times New Roman" w:hAnsi="Times New Roman" w:cs="Times New Roman"/>
        <w:sz w:val="20"/>
        <w:szCs w:val="24"/>
      </w:rPr>
      <w:t>29</w:t>
    </w:r>
    <w:r w:rsidRPr="00126B31">
      <w:rPr>
        <w:rFonts w:ascii="Times New Roman" w:hAnsi="Times New Roman" w:cs="Times New Roman"/>
        <w:sz w:val="20"/>
        <w:szCs w:val="24"/>
      </w:rPr>
      <w:t>0</w:t>
    </w:r>
    <w:r>
      <w:rPr>
        <w:rFonts w:ascii="Times New Roman" w:hAnsi="Times New Roman" w:cs="Times New Roman"/>
        <w:sz w:val="20"/>
        <w:szCs w:val="24"/>
      </w:rPr>
      <w:t>8</w:t>
    </w:r>
    <w:r w:rsidRPr="00126B31">
      <w:rPr>
        <w:rFonts w:ascii="Times New Roman" w:hAnsi="Times New Roman" w:cs="Times New Roman"/>
        <w:sz w:val="20"/>
        <w:szCs w:val="24"/>
      </w:rPr>
      <w:t>16</w:t>
    </w:r>
    <w:r w:rsidRPr="00993C26">
      <w:rPr>
        <w:rFonts w:ascii="Times New Roman" w:hAnsi="Times New Roman" w:cs="Times New Roman"/>
        <w:sz w:val="20"/>
        <w:szCs w:val="24"/>
      </w:rPr>
      <w:t xml:space="preserve">_not1529 ; </w:t>
    </w:r>
    <w:r w:rsidRPr="00993C26">
      <w:rPr>
        <w:rFonts w:ascii="Times New Roman" w:eastAsia="Times New Roman" w:hAnsi="Times New Roman" w:cs="Times New Roman"/>
        <w:sz w:val="20"/>
        <w:szCs w:val="24"/>
        <w:lang w:eastAsia="lv-LV"/>
      </w:rPr>
      <w:t xml:space="preserve">Ministru kabineta noteikumu projekta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 xml:space="preserve">Grozījumi Ministru kabineta 2013.gada 17.decembra noteikumos Nr.1529 </w:t>
    </w:r>
    <w:r>
      <w:rPr>
        <w:rFonts w:ascii="Times New Roman" w:eastAsia="Times New Roman" w:hAnsi="Times New Roman" w:cs="Times New Roman"/>
        <w:bCs/>
        <w:sz w:val="20"/>
        <w:szCs w:val="24"/>
        <w:lang w:eastAsia="lv-LV"/>
      </w:rPr>
      <w:t>„</w:t>
    </w:r>
    <w:r w:rsidRPr="00993C26">
      <w:rPr>
        <w:rFonts w:ascii="Times New Roman" w:eastAsia="Times New Roman" w:hAnsi="Times New Roman" w:cs="Times New Roman"/>
        <w:bCs/>
        <w:sz w:val="20"/>
        <w:szCs w:val="24"/>
        <w:lang w:eastAsia="lv-LV"/>
      </w:rPr>
      <w:t>Veselības aprūpes organizēšanas un finansēšanas kārtība</w:t>
    </w:r>
    <w:r>
      <w:rPr>
        <w:rFonts w:ascii="Times New Roman" w:eastAsia="Times New Roman" w:hAnsi="Times New Roman" w:cs="Times New Roman"/>
        <w:bCs/>
        <w:sz w:val="20"/>
        <w:szCs w:val="24"/>
        <w:lang w:eastAsia="lv-LV"/>
      </w:rPr>
      <w:t>””</w:t>
    </w:r>
    <w:r w:rsidRPr="00993C26">
      <w:rPr>
        <w:rFonts w:ascii="Times New Roman" w:hAnsi="Times New Roman" w:cs="Times New Roman"/>
        <w:sz w:val="20"/>
        <w:szCs w:val="24"/>
      </w:rPr>
      <w:t xml:space="preserve"> sākotnējās ietekmes n</w:t>
    </w:r>
    <w:r>
      <w:rPr>
        <w:rFonts w:ascii="Times New Roman" w:hAnsi="Times New Roman" w:cs="Times New Roman"/>
        <w:sz w:val="20"/>
        <w:szCs w:val="24"/>
      </w:rPr>
      <w:t>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0E" w:rsidRDefault="00D2680E" w:rsidP="00993C26">
      <w:r>
        <w:separator/>
      </w:r>
    </w:p>
  </w:footnote>
  <w:footnote w:type="continuationSeparator" w:id="0">
    <w:p w:rsidR="00D2680E" w:rsidRDefault="00D2680E" w:rsidP="00993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0E" w:rsidRDefault="00D2680E">
    <w:pPr>
      <w:pStyle w:val="Header"/>
      <w:jc w:val="center"/>
    </w:pPr>
    <w:sdt>
      <w:sdtPr>
        <w:id w:val="1743541876"/>
        <w:docPartObj>
          <w:docPartGallery w:val="Page Numbers (Top of Page)"/>
          <w:docPartUnique/>
        </w:docPartObj>
      </w:sdtPr>
      <w:sdtContent>
        <w:r w:rsidRPr="00495F5A">
          <w:rPr>
            <w:rFonts w:ascii="Times New Roman" w:hAnsi="Times New Roman" w:cs="Times New Roman"/>
            <w:sz w:val="24"/>
          </w:rPr>
          <w:fldChar w:fldCharType="begin"/>
        </w:r>
        <w:r w:rsidRPr="00495F5A">
          <w:rPr>
            <w:rFonts w:ascii="Times New Roman" w:hAnsi="Times New Roman" w:cs="Times New Roman"/>
            <w:sz w:val="24"/>
          </w:rPr>
          <w:instrText xml:space="preserve"> PAGE   \* MERGEFORMAT </w:instrText>
        </w:r>
        <w:r w:rsidRPr="00495F5A">
          <w:rPr>
            <w:rFonts w:ascii="Times New Roman" w:hAnsi="Times New Roman" w:cs="Times New Roman"/>
            <w:sz w:val="24"/>
          </w:rPr>
          <w:fldChar w:fldCharType="separate"/>
        </w:r>
        <w:r w:rsidR="00C3566A">
          <w:rPr>
            <w:rFonts w:ascii="Times New Roman" w:hAnsi="Times New Roman" w:cs="Times New Roman"/>
            <w:noProof/>
            <w:sz w:val="24"/>
          </w:rPr>
          <w:t>17</w:t>
        </w:r>
        <w:r w:rsidRPr="00495F5A">
          <w:rPr>
            <w:rFonts w:ascii="Times New Roman" w:hAnsi="Times New Roman" w:cs="Times New Roman"/>
            <w:sz w:val="24"/>
          </w:rPr>
          <w:fldChar w:fldCharType="end"/>
        </w:r>
      </w:sdtContent>
    </w:sdt>
  </w:p>
  <w:p w:rsidR="00D2680E" w:rsidRDefault="00D268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95"/>
    <w:multiLevelType w:val="hybridMultilevel"/>
    <w:tmpl w:val="86D405F8"/>
    <w:lvl w:ilvl="0" w:tplc="3BF0C5D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C560B0"/>
    <w:multiLevelType w:val="hybridMultilevel"/>
    <w:tmpl w:val="56E05244"/>
    <w:lvl w:ilvl="0" w:tplc="D048DEA8">
      <w:start w:val="1"/>
      <w:numFmt w:val="decimal"/>
      <w:lvlText w:val="%1)"/>
      <w:lvlJc w:val="left"/>
      <w:pPr>
        <w:ind w:left="1145" w:hanging="360"/>
      </w:pPr>
      <w:rPr>
        <w:rFonts w:hint="default"/>
      </w:r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
    <w:nsid w:val="13445D73"/>
    <w:multiLevelType w:val="hybridMultilevel"/>
    <w:tmpl w:val="356E21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CE66CF4"/>
    <w:multiLevelType w:val="hybridMultilevel"/>
    <w:tmpl w:val="54F00B5A"/>
    <w:lvl w:ilvl="0" w:tplc="04260011">
      <w:start w:val="1"/>
      <w:numFmt w:val="decimal"/>
      <w:lvlText w:val="%1)"/>
      <w:lvlJc w:val="left"/>
      <w:pPr>
        <w:ind w:left="785" w:hanging="360"/>
      </w:p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
    <w:nsid w:val="5DEE48E1"/>
    <w:multiLevelType w:val="hybridMultilevel"/>
    <w:tmpl w:val="23A275BE"/>
    <w:lvl w:ilvl="0" w:tplc="A8FC7B42">
      <w:start w:val="1"/>
      <w:numFmt w:val="decimal"/>
      <w:lvlText w:val="%1."/>
      <w:lvlJc w:val="left"/>
      <w:pPr>
        <w:ind w:left="696" w:hanging="360"/>
      </w:pPr>
      <w:rPr>
        <w:rFonts w:hint="default"/>
      </w:rPr>
    </w:lvl>
    <w:lvl w:ilvl="1" w:tplc="04260019" w:tentative="1">
      <w:start w:val="1"/>
      <w:numFmt w:val="lowerLetter"/>
      <w:lvlText w:val="%2."/>
      <w:lvlJc w:val="left"/>
      <w:pPr>
        <w:ind w:left="1416" w:hanging="360"/>
      </w:pPr>
    </w:lvl>
    <w:lvl w:ilvl="2" w:tplc="0426001B" w:tentative="1">
      <w:start w:val="1"/>
      <w:numFmt w:val="lowerRoman"/>
      <w:lvlText w:val="%3."/>
      <w:lvlJc w:val="right"/>
      <w:pPr>
        <w:ind w:left="2136" w:hanging="180"/>
      </w:pPr>
    </w:lvl>
    <w:lvl w:ilvl="3" w:tplc="0426000F" w:tentative="1">
      <w:start w:val="1"/>
      <w:numFmt w:val="decimal"/>
      <w:lvlText w:val="%4."/>
      <w:lvlJc w:val="left"/>
      <w:pPr>
        <w:ind w:left="2856" w:hanging="360"/>
      </w:pPr>
    </w:lvl>
    <w:lvl w:ilvl="4" w:tplc="04260019" w:tentative="1">
      <w:start w:val="1"/>
      <w:numFmt w:val="lowerLetter"/>
      <w:lvlText w:val="%5."/>
      <w:lvlJc w:val="left"/>
      <w:pPr>
        <w:ind w:left="3576" w:hanging="360"/>
      </w:pPr>
    </w:lvl>
    <w:lvl w:ilvl="5" w:tplc="0426001B" w:tentative="1">
      <w:start w:val="1"/>
      <w:numFmt w:val="lowerRoman"/>
      <w:lvlText w:val="%6."/>
      <w:lvlJc w:val="right"/>
      <w:pPr>
        <w:ind w:left="4296" w:hanging="180"/>
      </w:pPr>
    </w:lvl>
    <w:lvl w:ilvl="6" w:tplc="0426000F" w:tentative="1">
      <w:start w:val="1"/>
      <w:numFmt w:val="decimal"/>
      <w:lvlText w:val="%7."/>
      <w:lvlJc w:val="left"/>
      <w:pPr>
        <w:ind w:left="5016" w:hanging="360"/>
      </w:pPr>
    </w:lvl>
    <w:lvl w:ilvl="7" w:tplc="04260019" w:tentative="1">
      <w:start w:val="1"/>
      <w:numFmt w:val="lowerLetter"/>
      <w:lvlText w:val="%8."/>
      <w:lvlJc w:val="left"/>
      <w:pPr>
        <w:ind w:left="5736" w:hanging="360"/>
      </w:pPr>
    </w:lvl>
    <w:lvl w:ilvl="8" w:tplc="0426001B" w:tentative="1">
      <w:start w:val="1"/>
      <w:numFmt w:val="lowerRoman"/>
      <w:lvlText w:val="%9."/>
      <w:lvlJc w:val="right"/>
      <w:pPr>
        <w:ind w:left="6456" w:hanging="180"/>
      </w:pPr>
    </w:lvl>
  </w:abstractNum>
  <w:abstractNum w:abstractNumId="5">
    <w:nsid w:val="61302800"/>
    <w:multiLevelType w:val="hybridMultilevel"/>
    <w:tmpl w:val="1130E1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6AB4539"/>
    <w:multiLevelType w:val="hybridMultilevel"/>
    <w:tmpl w:val="44FA8D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rsids>
    <w:rsidRoot w:val="00993C26"/>
    <w:rsid w:val="00001EC2"/>
    <w:rsid w:val="00004067"/>
    <w:rsid w:val="00010760"/>
    <w:rsid w:val="00021B37"/>
    <w:rsid w:val="00032F0E"/>
    <w:rsid w:val="00033399"/>
    <w:rsid w:val="00036772"/>
    <w:rsid w:val="00045004"/>
    <w:rsid w:val="00060548"/>
    <w:rsid w:val="000641FD"/>
    <w:rsid w:val="00080CC0"/>
    <w:rsid w:val="000926F2"/>
    <w:rsid w:val="000A093B"/>
    <w:rsid w:val="000A1E4E"/>
    <w:rsid w:val="000B2A47"/>
    <w:rsid w:val="000C0C85"/>
    <w:rsid w:val="000C2CC6"/>
    <w:rsid w:val="000D7FF2"/>
    <w:rsid w:val="000E0041"/>
    <w:rsid w:val="000E70B6"/>
    <w:rsid w:val="000F446E"/>
    <w:rsid w:val="00111C6B"/>
    <w:rsid w:val="00120B5F"/>
    <w:rsid w:val="00126B31"/>
    <w:rsid w:val="00132AE4"/>
    <w:rsid w:val="0013591D"/>
    <w:rsid w:val="00162910"/>
    <w:rsid w:val="00173157"/>
    <w:rsid w:val="00180496"/>
    <w:rsid w:val="00180A05"/>
    <w:rsid w:val="001814A3"/>
    <w:rsid w:val="00184E62"/>
    <w:rsid w:val="001905D5"/>
    <w:rsid w:val="00193EAB"/>
    <w:rsid w:val="001942F6"/>
    <w:rsid w:val="00194A3D"/>
    <w:rsid w:val="00194F57"/>
    <w:rsid w:val="001A00E1"/>
    <w:rsid w:val="001A1854"/>
    <w:rsid w:val="001A344B"/>
    <w:rsid w:val="001A35A4"/>
    <w:rsid w:val="001A653C"/>
    <w:rsid w:val="001B3B9E"/>
    <w:rsid w:val="001B790A"/>
    <w:rsid w:val="001B7B33"/>
    <w:rsid w:val="001C01E0"/>
    <w:rsid w:val="001C119B"/>
    <w:rsid w:val="001C48C1"/>
    <w:rsid w:val="001C7DC4"/>
    <w:rsid w:val="001D6314"/>
    <w:rsid w:val="001E2BF3"/>
    <w:rsid w:val="001E4EE1"/>
    <w:rsid w:val="001E6272"/>
    <w:rsid w:val="001F17AA"/>
    <w:rsid w:val="001F51F1"/>
    <w:rsid w:val="001F5DB8"/>
    <w:rsid w:val="0020565A"/>
    <w:rsid w:val="002108D0"/>
    <w:rsid w:val="00210FFD"/>
    <w:rsid w:val="00215717"/>
    <w:rsid w:val="002202BB"/>
    <w:rsid w:val="00222AE2"/>
    <w:rsid w:val="00224304"/>
    <w:rsid w:val="00226EB6"/>
    <w:rsid w:val="002304A5"/>
    <w:rsid w:val="00233D44"/>
    <w:rsid w:val="00240587"/>
    <w:rsid w:val="00244366"/>
    <w:rsid w:val="00251A65"/>
    <w:rsid w:val="002557E7"/>
    <w:rsid w:val="002620A5"/>
    <w:rsid w:val="002703FA"/>
    <w:rsid w:val="0027500F"/>
    <w:rsid w:val="00275CEA"/>
    <w:rsid w:val="002862E0"/>
    <w:rsid w:val="00291B4A"/>
    <w:rsid w:val="002929D5"/>
    <w:rsid w:val="00295BA4"/>
    <w:rsid w:val="002A2430"/>
    <w:rsid w:val="002A6C6D"/>
    <w:rsid w:val="002A7D9D"/>
    <w:rsid w:val="002B06B2"/>
    <w:rsid w:val="002D218F"/>
    <w:rsid w:val="002D28E5"/>
    <w:rsid w:val="002D2A34"/>
    <w:rsid w:val="002D3DCA"/>
    <w:rsid w:val="002D59FB"/>
    <w:rsid w:val="002D6D78"/>
    <w:rsid w:val="002D74E0"/>
    <w:rsid w:val="002F055E"/>
    <w:rsid w:val="002F1587"/>
    <w:rsid w:val="002F1B21"/>
    <w:rsid w:val="002F29E7"/>
    <w:rsid w:val="002F3EED"/>
    <w:rsid w:val="00313056"/>
    <w:rsid w:val="00313DB6"/>
    <w:rsid w:val="00314EDD"/>
    <w:rsid w:val="00334EF6"/>
    <w:rsid w:val="0035705F"/>
    <w:rsid w:val="00361982"/>
    <w:rsid w:val="00365432"/>
    <w:rsid w:val="00375483"/>
    <w:rsid w:val="00375AB9"/>
    <w:rsid w:val="003817ED"/>
    <w:rsid w:val="00386200"/>
    <w:rsid w:val="003B3566"/>
    <w:rsid w:val="003C5B29"/>
    <w:rsid w:val="003C6024"/>
    <w:rsid w:val="003D4A84"/>
    <w:rsid w:val="003D6620"/>
    <w:rsid w:val="003D669F"/>
    <w:rsid w:val="003D6FF9"/>
    <w:rsid w:val="003E0CB9"/>
    <w:rsid w:val="003E17B1"/>
    <w:rsid w:val="003E3230"/>
    <w:rsid w:val="003E329D"/>
    <w:rsid w:val="003F165E"/>
    <w:rsid w:val="003F64DA"/>
    <w:rsid w:val="003F653C"/>
    <w:rsid w:val="0040154A"/>
    <w:rsid w:val="0040246D"/>
    <w:rsid w:val="004076A7"/>
    <w:rsid w:val="004163B0"/>
    <w:rsid w:val="00416A21"/>
    <w:rsid w:val="004213D9"/>
    <w:rsid w:val="004230E5"/>
    <w:rsid w:val="00425F19"/>
    <w:rsid w:val="0043106A"/>
    <w:rsid w:val="004325FC"/>
    <w:rsid w:val="00434313"/>
    <w:rsid w:val="00444C31"/>
    <w:rsid w:val="004559A4"/>
    <w:rsid w:val="004564E2"/>
    <w:rsid w:val="004603E9"/>
    <w:rsid w:val="00461C44"/>
    <w:rsid w:val="00482744"/>
    <w:rsid w:val="004914E9"/>
    <w:rsid w:val="00495F5A"/>
    <w:rsid w:val="004A1E63"/>
    <w:rsid w:val="004A5948"/>
    <w:rsid w:val="004B6AE5"/>
    <w:rsid w:val="004B7356"/>
    <w:rsid w:val="004C3D40"/>
    <w:rsid w:val="004D44ED"/>
    <w:rsid w:val="004D5766"/>
    <w:rsid w:val="004D67D7"/>
    <w:rsid w:val="004E1A58"/>
    <w:rsid w:val="004F0C09"/>
    <w:rsid w:val="004F6220"/>
    <w:rsid w:val="004F77B8"/>
    <w:rsid w:val="00500DF9"/>
    <w:rsid w:val="00522FBC"/>
    <w:rsid w:val="005417B4"/>
    <w:rsid w:val="005507EA"/>
    <w:rsid w:val="00566D5F"/>
    <w:rsid w:val="005762AF"/>
    <w:rsid w:val="00577C5F"/>
    <w:rsid w:val="00581578"/>
    <w:rsid w:val="00586780"/>
    <w:rsid w:val="00590978"/>
    <w:rsid w:val="00591124"/>
    <w:rsid w:val="00597C56"/>
    <w:rsid w:val="005A1B76"/>
    <w:rsid w:val="005B2227"/>
    <w:rsid w:val="005C0DA7"/>
    <w:rsid w:val="005C522F"/>
    <w:rsid w:val="005D15B6"/>
    <w:rsid w:val="005D1666"/>
    <w:rsid w:val="005D60AB"/>
    <w:rsid w:val="005E2C4F"/>
    <w:rsid w:val="005E5CF1"/>
    <w:rsid w:val="005E73C9"/>
    <w:rsid w:val="005E788E"/>
    <w:rsid w:val="005F3A53"/>
    <w:rsid w:val="005F5C10"/>
    <w:rsid w:val="0060043F"/>
    <w:rsid w:val="00614311"/>
    <w:rsid w:val="00620D63"/>
    <w:rsid w:val="006428B9"/>
    <w:rsid w:val="00646493"/>
    <w:rsid w:val="00653E05"/>
    <w:rsid w:val="00656BA1"/>
    <w:rsid w:val="006622A4"/>
    <w:rsid w:val="00662A5F"/>
    <w:rsid w:val="00672542"/>
    <w:rsid w:val="00675E65"/>
    <w:rsid w:val="006848A1"/>
    <w:rsid w:val="00685C6C"/>
    <w:rsid w:val="006A4BFE"/>
    <w:rsid w:val="006B3075"/>
    <w:rsid w:val="006C20BA"/>
    <w:rsid w:val="006C4006"/>
    <w:rsid w:val="006D20DC"/>
    <w:rsid w:val="006E06F4"/>
    <w:rsid w:val="006E1D60"/>
    <w:rsid w:val="006F79D3"/>
    <w:rsid w:val="00701DC8"/>
    <w:rsid w:val="007059E9"/>
    <w:rsid w:val="00706B67"/>
    <w:rsid w:val="00717DD5"/>
    <w:rsid w:val="00721628"/>
    <w:rsid w:val="00732DE4"/>
    <w:rsid w:val="007420BC"/>
    <w:rsid w:val="00743937"/>
    <w:rsid w:val="0075730F"/>
    <w:rsid w:val="00761299"/>
    <w:rsid w:val="007617C1"/>
    <w:rsid w:val="00765375"/>
    <w:rsid w:val="007655E8"/>
    <w:rsid w:val="007710CA"/>
    <w:rsid w:val="007741C4"/>
    <w:rsid w:val="0078094C"/>
    <w:rsid w:val="00784411"/>
    <w:rsid w:val="007A3635"/>
    <w:rsid w:val="007A563F"/>
    <w:rsid w:val="007B027B"/>
    <w:rsid w:val="007B0B30"/>
    <w:rsid w:val="007B2E1F"/>
    <w:rsid w:val="007B69B6"/>
    <w:rsid w:val="007C4E9F"/>
    <w:rsid w:val="007C5ECA"/>
    <w:rsid w:val="007D78FB"/>
    <w:rsid w:val="007E009D"/>
    <w:rsid w:val="007E4BB4"/>
    <w:rsid w:val="00807FCA"/>
    <w:rsid w:val="00810765"/>
    <w:rsid w:val="008144DC"/>
    <w:rsid w:val="0082633A"/>
    <w:rsid w:val="00831087"/>
    <w:rsid w:val="00833031"/>
    <w:rsid w:val="00841191"/>
    <w:rsid w:val="00846B2D"/>
    <w:rsid w:val="008470E4"/>
    <w:rsid w:val="00847DC9"/>
    <w:rsid w:val="00852E6B"/>
    <w:rsid w:val="008535DA"/>
    <w:rsid w:val="00855E1A"/>
    <w:rsid w:val="00856128"/>
    <w:rsid w:val="00861A9B"/>
    <w:rsid w:val="00863EE4"/>
    <w:rsid w:val="008724EE"/>
    <w:rsid w:val="00872597"/>
    <w:rsid w:val="00872765"/>
    <w:rsid w:val="00873503"/>
    <w:rsid w:val="008812B4"/>
    <w:rsid w:val="008813E8"/>
    <w:rsid w:val="00893862"/>
    <w:rsid w:val="008A48AA"/>
    <w:rsid w:val="008A7487"/>
    <w:rsid w:val="008A7CDE"/>
    <w:rsid w:val="008B0DB7"/>
    <w:rsid w:val="008B37A2"/>
    <w:rsid w:val="008D1B24"/>
    <w:rsid w:val="008D51CE"/>
    <w:rsid w:val="008D6DC2"/>
    <w:rsid w:val="008E25C5"/>
    <w:rsid w:val="008F0C01"/>
    <w:rsid w:val="008F5971"/>
    <w:rsid w:val="009019FE"/>
    <w:rsid w:val="00904966"/>
    <w:rsid w:val="00907806"/>
    <w:rsid w:val="009108ED"/>
    <w:rsid w:val="00925BF3"/>
    <w:rsid w:val="00927E58"/>
    <w:rsid w:val="009332C8"/>
    <w:rsid w:val="0093555B"/>
    <w:rsid w:val="009458C9"/>
    <w:rsid w:val="00965FB3"/>
    <w:rsid w:val="009703E4"/>
    <w:rsid w:val="009814AF"/>
    <w:rsid w:val="00993C26"/>
    <w:rsid w:val="009A2683"/>
    <w:rsid w:val="009A3CE2"/>
    <w:rsid w:val="009B097B"/>
    <w:rsid w:val="009B1218"/>
    <w:rsid w:val="009B47D3"/>
    <w:rsid w:val="009C05B8"/>
    <w:rsid w:val="009C4A51"/>
    <w:rsid w:val="009D6716"/>
    <w:rsid w:val="009F15D4"/>
    <w:rsid w:val="009F3167"/>
    <w:rsid w:val="00A04CDC"/>
    <w:rsid w:val="00A221BE"/>
    <w:rsid w:val="00A27EBE"/>
    <w:rsid w:val="00A366F6"/>
    <w:rsid w:val="00A4288D"/>
    <w:rsid w:val="00A429CF"/>
    <w:rsid w:val="00A43EDA"/>
    <w:rsid w:val="00A45A20"/>
    <w:rsid w:val="00A46008"/>
    <w:rsid w:val="00A62706"/>
    <w:rsid w:val="00A66412"/>
    <w:rsid w:val="00A72678"/>
    <w:rsid w:val="00A80F35"/>
    <w:rsid w:val="00A92B32"/>
    <w:rsid w:val="00A9327F"/>
    <w:rsid w:val="00A93F37"/>
    <w:rsid w:val="00A95DC8"/>
    <w:rsid w:val="00A962F2"/>
    <w:rsid w:val="00A97A10"/>
    <w:rsid w:val="00AA1916"/>
    <w:rsid w:val="00AC36F8"/>
    <w:rsid w:val="00AC5779"/>
    <w:rsid w:val="00AC670A"/>
    <w:rsid w:val="00AD0451"/>
    <w:rsid w:val="00AD6DE4"/>
    <w:rsid w:val="00AE1BB8"/>
    <w:rsid w:val="00AF5893"/>
    <w:rsid w:val="00B0397F"/>
    <w:rsid w:val="00B04FEE"/>
    <w:rsid w:val="00B15477"/>
    <w:rsid w:val="00B209F5"/>
    <w:rsid w:val="00B3022E"/>
    <w:rsid w:val="00B36299"/>
    <w:rsid w:val="00B43B52"/>
    <w:rsid w:val="00B43B64"/>
    <w:rsid w:val="00B720AF"/>
    <w:rsid w:val="00B767EF"/>
    <w:rsid w:val="00B86A97"/>
    <w:rsid w:val="00B90C1D"/>
    <w:rsid w:val="00BA3507"/>
    <w:rsid w:val="00BA3D52"/>
    <w:rsid w:val="00BB6008"/>
    <w:rsid w:val="00BC326A"/>
    <w:rsid w:val="00BC5C6F"/>
    <w:rsid w:val="00BC6FF2"/>
    <w:rsid w:val="00BD3C68"/>
    <w:rsid w:val="00BD420F"/>
    <w:rsid w:val="00BD5ED4"/>
    <w:rsid w:val="00BE7E0D"/>
    <w:rsid w:val="00BF6061"/>
    <w:rsid w:val="00BF6D61"/>
    <w:rsid w:val="00C01B32"/>
    <w:rsid w:val="00C053EF"/>
    <w:rsid w:val="00C075BF"/>
    <w:rsid w:val="00C10DBC"/>
    <w:rsid w:val="00C11AF3"/>
    <w:rsid w:val="00C22236"/>
    <w:rsid w:val="00C22510"/>
    <w:rsid w:val="00C30AFF"/>
    <w:rsid w:val="00C350D7"/>
    <w:rsid w:val="00C354F1"/>
    <w:rsid w:val="00C3566A"/>
    <w:rsid w:val="00C36B9F"/>
    <w:rsid w:val="00C41AD5"/>
    <w:rsid w:val="00C421D8"/>
    <w:rsid w:val="00C422DE"/>
    <w:rsid w:val="00C426A3"/>
    <w:rsid w:val="00C42F69"/>
    <w:rsid w:val="00C44720"/>
    <w:rsid w:val="00C4623D"/>
    <w:rsid w:val="00C62290"/>
    <w:rsid w:val="00C641E1"/>
    <w:rsid w:val="00C823EB"/>
    <w:rsid w:val="00C874D8"/>
    <w:rsid w:val="00C95D20"/>
    <w:rsid w:val="00CA1D0C"/>
    <w:rsid w:val="00CC3322"/>
    <w:rsid w:val="00CD66E4"/>
    <w:rsid w:val="00CD76E0"/>
    <w:rsid w:val="00CF114F"/>
    <w:rsid w:val="00D017BB"/>
    <w:rsid w:val="00D045BB"/>
    <w:rsid w:val="00D06D7A"/>
    <w:rsid w:val="00D07721"/>
    <w:rsid w:val="00D126B9"/>
    <w:rsid w:val="00D21DB0"/>
    <w:rsid w:val="00D250E7"/>
    <w:rsid w:val="00D2680E"/>
    <w:rsid w:val="00D274FA"/>
    <w:rsid w:val="00D323B5"/>
    <w:rsid w:val="00D362FB"/>
    <w:rsid w:val="00D47468"/>
    <w:rsid w:val="00D53CB2"/>
    <w:rsid w:val="00D54E03"/>
    <w:rsid w:val="00D616F4"/>
    <w:rsid w:val="00D663B9"/>
    <w:rsid w:val="00D75565"/>
    <w:rsid w:val="00D7648A"/>
    <w:rsid w:val="00DB5EDF"/>
    <w:rsid w:val="00DB6BB5"/>
    <w:rsid w:val="00DC27EA"/>
    <w:rsid w:val="00DC2951"/>
    <w:rsid w:val="00DC5883"/>
    <w:rsid w:val="00DD395D"/>
    <w:rsid w:val="00DD7515"/>
    <w:rsid w:val="00DE39A2"/>
    <w:rsid w:val="00DE6C16"/>
    <w:rsid w:val="00DE70FE"/>
    <w:rsid w:val="00DF02EB"/>
    <w:rsid w:val="00DF47D6"/>
    <w:rsid w:val="00DF787A"/>
    <w:rsid w:val="00E10A84"/>
    <w:rsid w:val="00E1330C"/>
    <w:rsid w:val="00E14141"/>
    <w:rsid w:val="00E14D4D"/>
    <w:rsid w:val="00E17545"/>
    <w:rsid w:val="00E2588C"/>
    <w:rsid w:val="00E27E35"/>
    <w:rsid w:val="00E30B7C"/>
    <w:rsid w:val="00E30B8A"/>
    <w:rsid w:val="00E30FEB"/>
    <w:rsid w:val="00E35626"/>
    <w:rsid w:val="00E37684"/>
    <w:rsid w:val="00E4783D"/>
    <w:rsid w:val="00E529DC"/>
    <w:rsid w:val="00E53B74"/>
    <w:rsid w:val="00E54FE9"/>
    <w:rsid w:val="00E648EE"/>
    <w:rsid w:val="00E67A8C"/>
    <w:rsid w:val="00E7556E"/>
    <w:rsid w:val="00E83C50"/>
    <w:rsid w:val="00E853C6"/>
    <w:rsid w:val="00E90086"/>
    <w:rsid w:val="00E9565E"/>
    <w:rsid w:val="00E9681A"/>
    <w:rsid w:val="00E9782A"/>
    <w:rsid w:val="00EA004B"/>
    <w:rsid w:val="00EA30AB"/>
    <w:rsid w:val="00EA5F83"/>
    <w:rsid w:val="00EB0B2F"/>
    <w:rsid w:val="00EC400B"/>
    <w:rsid w:val="00EC4EAC"/>
    <w:rsid w:val="00EC71CE"/>
    <w:rsid w:val="00EE4F47"/>
    <w:rsid w:val="00EF404B"/>
    <w:rsid w:val="00EF65FD"/>
    <w:rsid w:val="00F034AC"/>
    <w:rsid w:val="00F16E0B"/>
    <w:rsid w:val="00F27160"/>
    <w:rsid w:val="00F277B9"/>
    <w:rsid w:val="00F32F6A"/>
    <w:rsid w:val="00F34B1A"/>
    <w:rsid w:val="00F35136"/>
    <w:rsid w:val="00F41466"/>
    <w:rsid w:val="00F438BD"/>
    <w:rsid w:val="00F45649"/>
    <w:rsid w:val="00F61054"/>
    <w:rsid w:val="00F71D4F"/>
    <w:rsid w:val="00FA23FD"/>
    <w:rsid w:val="00FB0E99"/>
    <w:rsid w:val="00FC23EA"/>
    <w:rsid w:val="00FD0959"/>
    <w:rsid w:val="00FE2147"/>
    <w:rsid w:val="00FF0C06"/>
    <w:rsid w:val="00FF0DEA"/>
    <w:rsid w:val="00FF7DE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2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26"/>
    <w:pPr>
      <w:tabs>
        <w:tab w:val="center" w:pos="4153"/>
        <w:tab w:val="right" w:pos="8306"/>
      </w:tabs>
    </w:pPr>
    <w:rPr>
      <w:rFonts w:asciiTheme="minorHAnsi" w:hAnsiTheme="minorHAnsi"/>
      <w:sz w:val="22"/>
    </w:rPr>
  </w:style>
  <w:style w:type="character" w:customStyle="1" w:styleId="HeaderChar">
    <w:name w:val="Header Char"/>
    <w:basedOn w:val="DefaultParagraphFont"/>
    <w:link w:val="Header"/>
    <w:uiPriority w:val="99"/>
    <w:rsid w:val="00993C26"/>
  </w:style>
  <w:style w:type="paragraph" w:styleId="Footer">
    <w:name w:val="footer"/>
    <w:basedOn w:val="Normal"/>
    <w:link w:val="FooterChar"/>
    <w:uiPriority w:val="99"/>
    <w:unhideWhenUsed/>
    <w:rsid w:val="00993C26"/>
    <w:pPr>
      <w:tabs>
        <w:tab w:val="center" w:pos="4153"/>
        <w:tab w:val="right" w:pos="8306"/>
      </w:tabs>
    </w:pPr>
    <w:rPr>
      <w:rFonts w:asciiTheme="minorHAnsi" w:hAnsiTheme="minorHAnsi"/>
      <w:sz w:val="22"/>
    </w:rPr>
  </w:style>
  <w:style w:type="character" w:customStyle="1" w:styleId="FooterChar">
    <w:name w:val="Footer Char"/>
    <w:basedOn w:val="DefaultParagraphFont"/>
    <w:link w:val="Footer"/>
    <w:uiPriority w:val="99"/>
    <w:rsid w:val="00993C26"/>
  </w:style>
  <w:style w:type="paragraph" w:styleId="NormalWeb">
    <w:name w:val="Normal (Web)"/>
    <w:basedOn w:val="Normal"/>
    <w:uiPriority w:val="99"/>
    <w:unhideWhenUsed/>
    <w:rsid w:val="00993C26"/>
    <w:pPr>
      <w:spacing w:before="75" w:after="75"/>
    </w:pPr>
    <w:rPr>
      <w:rFonts w:eastAsia="Times New Roman" w:cs="Times New Roman"/>
      <w:szCs w:val="24"/>
      <w:lang w:eastAsia="lv-LV"/>
    </w:rPr>
  </w:style>
  <w:style w:type="paragraph" w:styleId="NoSpacing">
    <w:name w:val="No Spacing"/>
    <w:link w:val="NoSpacingChar"/>
    <w:uiPriority w:val="1"/>
    <w:qFormat/>
    <w:rsid w:val="00DC27E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C27E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27EA"/>
    <w:rPr>
      <w:color w:val="0000FF" w:themeColor="hyperlink"/>
      <w:u w:val="single"/>
    </w:rPr>
  </w:style>
  <w:style w:type="paragraph" w:customStyle="1" w:styleId="naisf">
    <w:name w:val="naisf"/>
    <w:basedOn w:val="Normal"/>
    <w:rsid w:val="004325FC"/>
    <w:pPr>
      <w:spacing w:before="75" w:after="75"/>
      <w:ind w:firstLine="375"/>
      <w:jc w:val="both"/>
    </w:pPr>
    <w:rPr>
      <w:rFonts w:eastAsia="Times New Roman" w:cs="Times New Roman"/>
      <w:szCs w:val="24"/>
      <w:lang w:eastAsia="lv-LV"/>
    </w:rPr>
  </w:style>
  <w:style w:type="character" w:styleId="CommentReference">
    <w:name w:val="annotation reference"/>
    <w:basedOn w:val="DefaultParagraphFont"/>
    <w:uiPriority w:val="99"/>
    <w:semiHidden/>
    <w:unhideWhenUsed/>
    <w:rsid w:val="002D28E5"/>
    <w:rPr>
      <w:sz w:val="16"/>
      <w:szCs w:val="16"/>
    </w:rPr>
  </w:style>
  <w:style w:type="paragraph" w:styleId="CommentText">
    <w:name w:val="annotation text"/>
    <w:basedOn w:val="Normal"/>
    <w:link w:val="CommentTextChar"/>
    <w:uiPriority w:val="99"/>
    <w:semiHidden/>
    <w:unhideWhenUsed/>
    <w:rsid w:val="002D28E5"/>
    <w:rPr>
      <w:sz w:val="20"/>
      <w:szCs w:val="20"/>
    </w:rPr>
  </w:style>
  <w:style w:type="character" w:customStyle="1" w:styleId="CommentTextChar">
    <w:name w:val="Comment Text Char"/>
    <w:basedOn w:val="DefaultParagraphFont"/>
    <w:link w:val="CommentText"/>
    <w:uiPriority w:val="99"/>
    <w:semiHidden/>
    <w:rsid w:val="002D28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28E5"/>
    <w:rPr>
      <w:b/>
      <w:bCs/>
    </w:rPr>
  </w:style>
  <w:style w:type="character" w:customStyle="1" w:styleId="CommentSubjectChar">
    <w:name w:val="Comment Subject Char"/>
    <w:basedOn w:val="CommentTextChar"/>
    <w:link w:val="CommentSubject"/>
    <w:uiPriority w:val="99"/>
    <w:semiHidden/>
    <w:rsid w:val="002D28E5"/>
    <w:rPr>
      <w:b/>
      <w:bCs/>
    </w:rPr>
  </w:style>
  <w:style w:type="paragraph" w:styleId="BalloonText">
    <w:name w:val="Balloon Text"/>
    <w:basedOn w:val="Normal"/>
    <w:link w:val="BalloonTextChar"/>
    <w:uiPriority w:val="99"/>
    <w:semiHidden/>
    <w:unhideWhenUsed/>
    <w:rsid w:val="002D28E5"/>
    <w:rPr>
      <w:rFonts w:ascii="Tahoma" w:hAnsi="Tahoma" w:cs="Tahoma"/>
      <w:sz w:val="16"/>
      <w:szCs w:val="16"/>
    </w:rPr>
  </w:style>
  <w:style w:type="character" w:customStyle="1" w:styleId="BalloonTextChar">
    <w:name w:val="Balloon Text Char"/>
    <w:basedOn w:val="DefaultParagraphFont"/>
    <w:link w:val="BalloonText"/>
    <w:uiPriority w:val="99"/>
    <w:semiHidden/>
    <w:rsid w:val="002D28E5"/>
    <w:rPr>
      <w:rFonts w:ascii="Tahoma" w:hAnsi="Tahoma" w:cs="Tahoma"/>
      <w:sz w:val="16"/>
      <w:szCs w:val="16"/>
    </w:rPr>
  </w:style>
  <w:style w:type="paragraph" w:styleId="ListParagraph">
    <w:name w:val="List Paragraph"/>
    <w:basedOn w:val="Normal"/>
    <w:uiPriority w:val="34"/>
    <w:qFormat/>
    <w:rsid w:val="004603E9"/>
    <w:pPr>
      <w:ind w:left="720"/>
      <w:contextualSpacing/>
    </w:pPr>
  </w:style>
</w:styles>
</file>

<file path=word/webSettings.xml><?xml version="1.0" encoding="utf-8"?>
<w:webSettings xmlns:r="http://schemas.openxmlformats.org/officeDocument/2006/relationships" xmlns:w="http://schemas.openxmlformats.org/wordprocessingml/2006/main">
  <w:divs>
    <w:div w:id="1296716042">
      <w:bodyDiv w:val="1"/>
      <w:marLeft w:val="0"/>
      <w:marRight w:val="0"/>
      <w:marTop w:val="0"/>
      <w:marBottom w:val="0"/>
      <w:divBdr>
        <w:top w:val="none" w:sz="0" w:space="0" w:color="auto"/>
        <w:left w:val="none" w:sz="0" w:space="0" w:color="auto"/>
        <w:bottom w:val="none" w:sz="0" w:space="0" w:color="auto"/>
        <w:right w:val="none" w:sz="0" w:space="0" w:color="auto"/>
      </w:divBdr>
    </w:div>
    <w:div w:id="1520124780">
      <w:bodyDiv w:val="1"/>
      <w:marLeft w:val="0"/>
      <w:marRight w:val="0"/>
      <w:marTop w:val="0"/>
      <w:marBottom w:val="0"/>
      <w:divBdr>
        <w:top w:val="none" w:sz="0" w:space="0" w:color="auto"/>
        <w:left w:val="none" w:sz="0" w:space="0" w:color="auto"/>
        <w:bottom w:val="none" w:sz="0" w:space="0" w:color="auto"/>
        <w:right w:val="none" w:sz="0" w:space="0" w:color="auto"/>
      </w:divBdr>
    </w:div>
    <w:div w:id="20455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ora.Eglite@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48150-4D34-408A-A71A-B3589485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5858</Words>
  <Characters>33394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17.decembra noteikumos Nr.1529 ”Veselības aprūpes organizēšanas un finansēšanas kārtība”” sākotnējās ietekmes novērtējuma ziņojums (anotācija)</vt:lpstr>
    </vt:vector>
  </TitlesOfParts>
  <Company>VM</Company>
  <LinksUpToDate>false</LinksUpToDate>
  <CharactersWithSpaces>39174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17.decembra noteikumos Nr.1529 ”Veselības aprūpes organizēšanas un finansēšanas kārtība”” sākotnējās ietekmes novērtējuma ziņojums (anotācija)</dc:title>
  <dc:subject>Anotācija</dc:subject>
  <dc:creator>Leonora Eglīte</dc:creator>
  <dc:description>67876091
Leonora.Eglite@vm.gov.lv</dc:description>
  <cp:lastModifiedBy>leglite</cp:lastModifiedBy>
  <cp:revision>7</cp:revision>
  <cp:lastPrinted>2016-08-08T15:00:00Z</cp:lastPrinted>
  <dcterms:created xsi:type="dcterms:W3CDTF">2016-08-30T08:35:00Z</dcterms:created>
  <dcterms:modified xsi:type="dcterms:W3CDTF">2016-08-30T08:47:00Z</dcterms:modified>
</cp:coreProperties>
</file>