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DD57C9"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D57C9">
        <w:rPr>
          <w:rFonts w:ascii="Times New Roman" w:eastAsia="Times New Roman" w:hAnsi="Times New Roman" w:cs="Times New Roman"/>
          <w:b/>
          <w:bCs/>
          <w:color w:val="414142"/>
          <w:sz w:val="24"/>
          <w:szCs w:val="24"/>
          <w:lang w:eastAsia="lv-LV"/>
        </w:rPr>
        <w:t xml:space="preserve"> </w:t>
      </w:r>
      <w:r w:rsidR="00DD57C9" w:rsidRPr="00DD57C9">
        <w:rPr>
          <w:rFonts w:ascii="Times New Roman" w:eastAsia="Times New Roman" w:hAnsi="Times New Roman" w:cs="Times New Roman"/>
          <w:b/>
          <w:bCs/>
          <w:sz w:val="24"/>
          <w:szCs w:val="24"/>
          <w:lang w:eastAsia="lv-LV"/>
        </w:rPr>
        <w:t xml:space="preserve">„Grozījumi Ministru kabineta 2011.gada 30.augusta noteikumos Nr.685 "Rezidentu sadales un rezidentūras finansēšanas noteikumi"” </w:t>
      </w:r>
      <w:r w:rsidRPr="00DD57C9">
        <w:rPr>
          <w:rFonts w:ascii="Times New Roman" w:eastAsia="Times New Roman" w:hAnsi="Times New Roman" w:cs="Times New Roman"/>
          <w:b/>
          <w:bCs/>
          <w:sz w:val="24"/>
          <w:szCs w:val="24"/>
          <w:lang w:eastAsia="lv-LV"/>
        </w:rPr>
        <w:t>projekta</w:t>
      </w:r>
      <w:r w:rsidR="003B0BF9" w:rsidRPr="00DD57C9">
        <w:rPr>
          <w:rFonts w:ascii="Times New Roman" w:eastAsia="Times New Roman" w:hAnsi="Times New Roman" w:cs="Times New Roman"/>
          <w:b/>
          <w:bCs/>
          <w:sz w:val="24"/>
          <w:szCs w:val="24"/>
          <w:lang w:eastAsia="lv-LV"/>
        </w:rPr>
        <w:br/>
      </w:r>
      <w:r w:rsidRPr="00DD57C9">
        <w:rPr>
          <w:rFonts w:ascii="Times New Roman" w:eastAsia="Times New Roman" w:hAnsi="Times New Roman" w:cs="Times New Roman"/>
          <w:b/>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2409"/>
        <w:gridCol w:w="6125"/>
      </w:tblGrid>
      <w:tr w:rsidR="00DD57C9" w:rsidRPr="00DD57C9" w:rsidTr="00DD57C9">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 Tiesību akta projekta izstrādes nepieciešamība</w:t>
            </w:r>
          </w:p>
        </w:tc>
      </w:tr>
      <w:tr w:rsidR="00DD57C9" w:rsidRPr="00DD57C9" w:rsidTr="00DD57C9">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1.</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Pamatojums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Ārstniecības likuma 57.pants.</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2.</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Pašreizējā situācija un problēmas, kuru risināšanai tiesību akta projekts izstrādāts, tiesiskā regulējuma mērķis un būtība</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410"/>
              <w:jc w:val="both"/>
              <w:rPr>
                <w:rFonts w:ascii="Times New Roman" w:hAnsi="Times New Roman" w:cs="Times New Roman"/>
                <w:sz w:val="24"/>
                <w:szCs w:val="24"/>
              </w:rPr>
            </w:pPr>
            <w:r w:rsidRPr="00DD57C9">
              <w:rPr>
                <w:rFonts w:ascii="Times New Roman" w:hAnsi="Times New Roman" w:cs="Times New Roman"/>
                <w:sz w:val="24"/>
                <w:szCs w:val="24"/>
              </w:rPr>
              <w:t>Rezidentu sadales un rezidentūras finansēšanas kārtību regulē Ministru kabineta 2011.gada 30.augusta noteikumi Nr.685 „Rezidentu sadales un rezidentūras finansēšanas noteikumi” (turpmāk – Noteikumi Nr.685).</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Šobrīd Noteikumu Nr.685 5. punkts nosaka, ka augstskolas, kuras īsteno augstāko profesionālo studiju programmu ārsta profesionālās kvalifikācijas iegūšanai (turpmāk – augstskola), ar augstskolu vienotās uzņemšanas komisijas (turpmāk – uzņemšanas komisija) starpniecību katru gadu līdz 8. jūlijam organizē rezidentūras pretendentu pieteikšanos rezidentūras studiju programmās saskaņā ar Noteikumu Nr.685 4. punktu apstiprinātajās specialitātēs un iesniedz Veselības ministrijā rezidentūras pretendentu sarakstu. Turklāt rezidentūras pretendents var pieteikties pretendēšanai ne vairāk kā uz divām specialitātēm vienā vai dažādās augstskolās. Piesakoties uz divām specialitātēm vienā augstskolā, pretendents norāda izvēles prioritāti (Noteikumu Nr.685 7.punkts). Noteikumu Nr.685 5. punkts attiecībā uz vienoto uzņemšanas komisiju un 7. punkts piemērojams ar 2017. gada 1. 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Latvijas Medicīnas studentu asociācijas pārstāvji diskusijā (2016.gada 25.augustā) Veselības ministrijā aktualizēja jautājumu par rezidentu uzņemšanas noteikumu izstrādi un vienotās uzņemšanas komisijas darbības uzsākšanu no 2017.gada 1.janvāra. Studējošie norādīja, ka būtiski ir  savlaicīgi (2-3 gadus iepriekš) zināt kādi būs uzņemšanas noteikumi rezidentūrā. Veselības ministrija atbalsta studējošo priekšlikumu noteikt, ka rezidentu vienotā uzņemšanas komisija darbu uzsāk divus gadus pēc vienotu uzņemšanas noteikumu izstrādes un to apstiprināšanas abās augstskolās, respektīvi, rezidentūras vien</w:t>
            </w:r>
            <w:bookmarkStart w:id="0" w:name="_GoBack"/>
            <w:bookmarkEnd w:id="0"/>
            <w:r w:rsidRPr="00DD57C9">
              <w:rPr>
                <w:rFonts w:ascii="Times New Roman" w:hAnsi="Times New Roman" w:cs="Times New Roman"/>
                <w:sz w:val="24"/>
                <w:szCs w:val="24"/>
              </w:rPr>
              <w:t>otā uzņemšanas komisija darbu sāk ar 2019.gada 1.janvāri.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 xml:space="preserve">Līdz ar to </w:t>
            </w:r>
            <w:r w:rsidRPr="00A2509D">
              <w:rPr>
                <w:rFonts w:ascii="Times New Roman" w:hAnsi="Times New Roman" w:cs="Times New Roman"/>
                <w:sz w:val="24"/>
                <w:szCs w:val="24"/>
                <w:u w:val="single"/>
              </w:rPr>
              <w:t>Veselības ministrija veic tehniskus grozījumus</w:t>
            </w:r>
            <w:r>
              <w:rPr>
                <w:rFonts w:ascii="Times New Roman" w:hAnsi="Times New Roman" w:cs="Times New Roman"/>
                <w:sz w:val="24"/>
                <w:szCs w:val="24"/>
              </w:rPr>
              <w:t xml:space="preserve"> un </w:t>
            </w:r>
            <w:r w:rsidRPr="00DD57C9">
              <w:rPr>
                <w:rFonts w:ascii="Times New Roman" w:hAnsi="Times New Roman" w:cs="Times New Roman"/>
                <w:sz w:val="24"/>
                <w:szCs w:val="24"/>
              </w:rPr>
              <w:t xml:space="preserve">izstrādājusi Ministru kabineta noteikumu projektu „Grozījumi Ministru kabineta 2011.gada 30.augusta noteikumos Nr.685 „Rezidentu sadales un rezidentūras finansēšanas noteikumi”” (turpmāk – noteikumu projekts), kura mērķis ir noteikt, ka rezidentu </w:t>
            </w:r>
            <w:proofErr w:type="spellStart"/>
            <w:r w:rsidRPr="00DD57C9">
              <w:rPr>
                <w:rFonts w:ascii="Times New Roman" w:hAnsi="Times New Roman" w:cs="Times New Roman"/>
                <w:sz w:val="24"/>
                <w:szCs w:val="24"/>
              </w:rPr>
              <w:t>vienātā</w:t>
            </w:r>
            <w:proofErr w:type="spellEnd"/>
            <w:r w:rsidRPr="00DD57C9">
              <w:rPr>
                <w:rFonts w:ascii="Times New Roman" w:hAnsi="Times New Roman" w:cs="Times New Roman"/>
                <w:sz w:val="24"/>
                <w:szCs w:val="24"/>
              </w:rPr>
              <w:t xml:space="preserve"> uzņemšanas </w:t>
            </w:r>
            <w:r w:rsidRPr="00DD57C9">
              <w:rPr>
                <w:rFonts w:ascii="Times New Roman" w:hAnsi="Times New Roman" w:cs="Times New Roman"/>
                <w:sz w:val="24"/>
                <w:szCs w:val="24"/>
              </w:rPr>
              <w:lastRenderedPageBreak/>
              <w:t>komisija darbu sāk ar 2019.gada 1.janvāri.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Rīgas Stradiņa universitāte un Latvijas Universitāte (augstskolas, kas realizē rezidentūras studiju programmas) ir uzsākušas darbu pie rezidentu vienotu uzņemšanas noteikumu izstrādes un vienotās uzņemšanas komisijas izveides. Ir notikušas vairākas sanāksmes (2016.gada 18.jūlijā, 7.septembrī un 21.septembrī), kurās pēc iepriekš minēto augstskolu aicinājuma ir piedalījušies studējošo un rezidentu pārstāvji, kā arī Veselības ministrijas pārstāvji. Šobrīd ir izstrādāti vienoti uzņemšanas kritēriji, kas tiks apstiprināti katrā augstskolā. Prognozējams, ka vienotie uzņemšanas noteikumi līdz 2017.gada 1.janvārim tiks apstiprināti augstskolās un studējošie varēs iepazīties ar tiem un tiks nodrošināts divu gadu periods, līdz vienotās uzņemšanas komisijas darbībai.</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izstrādē iesaistītās institūcijas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Nav</w:t>
            </w:r>
          </w:p>
        </w:tc>
      </w:tr>
      <w:tr w:rsidR="00DD57C9" w:rsidRPr="00DD57C9" w:rsidTr="00DD57C9">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4.</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Pr="00043AD9" w:rsidRDefault="00DD57C9" w:rsidP="00DD57C9">
      <w:pPr>
        <w:pStyle w:val="tvhtml"/>
        <w:shd w:val="clear" w:color="auto" w:fill="FFFFFF"/>
        <w:spacing w:before="0" w:beforeAutospacing="0" w:after="0" w:afterAutospacing="0" w:line="315" w:lineRule="atLeast"/>
        <w:ind w:firstLine="301"/>
        <w:rPr>
          <w:color w:val="414142"/>
          <w:sz w:val="28"/>
          <w:szCs w:val="28"/>
        </w:rPr>
      </w:pPr>
      <w:r>
        <w:rPr>
          <w:rFonts w:ascii="Arial" w:hAnsi="Arial" w:cs="Arial"/>
          <w:color w:val="414142"/>
          <w:sz w:val="21"/>
          <w:szCs w:val="21"/>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D57C9" w:rsidRPr="00DD57C9" w:rsidTr="00DD57C9">
        <w:trPr>
          <w:trHeight w:val="38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II. Tiesību akta projekta ietekme uz sabiedrību, tautsaimniecības attīstību un administratīvo slogu</w:t>
            </w:r>
          </w:p>
        </w:tc>
      </w:tr>
      <w:tr w:rsidR="00DD57C9" w:rsidRPr="00DD57C9" w:rsidTr="00DD57C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Noteikumu projektā ietvertais tiesiskais regulējums attieksies uz:</w:t>
            </w: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 Veselības ministriju;</w:t>
            </w: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 augstskolām, kuras realizē rezidentūras studiju programmas (RSU un LU);</w:t>
            </w:r>
          </w:p>
          <w:p w:rsidR="00DD57C9" w:rsidRPr="00DD57C9" w:rsidRDefault="00DD57C9" w:rsidP="00DD199C">
            <w:pPr>
              <w:jc w:val="both"/>
              <w:rPr>
                <w:rFonts w:ascii="Times New Roman" w:hAnsi="Times New Roman" w:cs="Times New Roman"/>
                <w:sz w:val="24"/>
                <w:szCs w:val="24"/>
              </w:rPr>
            </w:pPr>
            <w:r w:rsidRPr="00DD57C9">
              <w:rPr>
                <w:rFonts w:ascii="Times New Roman" w:hAnsi="Times New Roman" w:cs="Times New Roman"/>
                <w:sz w:val="24"/>
                <w:szCs w:val="24"/>
              </w:rPr>
              <w:t xml:space="preserve">- personām, kuras vēlas apgūt rezidentūras studiju programmas (plānots, ka </w:t>
            </w:r>
            <w:r w:rsidRPr="00F87FCA">
              <w:rPr>
                <w:rFonts w:ascii="Times New Roman" w:hAnsi="Times New Roman" w:cs="Times New Roman"/>
                <w:sz w:val="24"/>
                <w:szCs w:val="24"/>
              </w:rPr>
              <w:t>2019.gadā</w:t>
            </w:r>
            <w:r w:rsidRPr="00DD57C9">
              <w:rPr>
                <w:rFonts w:ascii="Times New Roman" w:hAnsi="Times New Roman" w:cs="Times New Roman"/>
                <w:sz w:val="24"/>
                <w:szCs w:val="24"/>
              </w:rPr>
              <w:t xml:space="preserve"> augstākās izglītības diplomu profesijā ārsts kopā RSU </w:t>
            </w:r>
            <w:r w:rsidR="00F87FCA">
              <w:rPr>
                <w:rFonts w:ascii="Times New Roman" w:hAnsi="Times New Roman" w:cs="Times New Roman"/>
                <w:sz w:val="24"/>
                <w:szCs w:val="24"/>
              </w:rPr>
              <w:t xml:space="preserve">iegūs 163 personas, LU  - </w:t>
            </w:r>
            <w:r w:rsidRPr="00DD57C9">
              <w:rPr>
                <w:rFonts w:ascii="Times New Roman" w:hAnsi="Times New Roman" w:cs="Times New Roman"/>
                <w:sz w:val="24"/>
                <w:szCs w:val="24"/>
              </w:rPr>
              <w:t xml:space="preserve">  </w:t>
            </w:r>
            <w:r w:rsidR="00DD199C">
              <w:rPr>
                <w:rFonts w:ascii="Times New Roman" w:hAnsi="Times New Roman" w:cs="Times New Roman"/>
                <w:sz w:val="24"/>
                <w:szCs w:val="24"/>
              </w:rPr>
              <w:t>96</w:t>
            </w:r>
            <w:r w:rsidR="00F87FCA">
              <w:rPr>
                <w:rFonts w:ascii="Times New Roman" w:hAnsi="Times New Roman" w:cs="Times New Roman"/>
                <w:sz w:val="24"/>
                <w:szCs w:val="24"/>
              </w:rPr>
              <w:t xml:space="preserve"> </w:t>
            </w:r>
            <w:r w:rsidRPr="00DD57C9">
              <w:rPr>
                <w:rFonts w:ascii="Times New Roman" w:hAnsi="Times New Roman" w:cs="Times New Roman"/>
                <w:sz w:val="24"/>
                <w:szCs w:val="24"/>
              </w:rPr>
              <w:t>personas).</w:t>
            </w:r>
          </w:p>
        </w:tc>
      </w:tr>
      <w:tr w:rsidR="00DD57C9" w:rsidRPr="00DD57C9" w:rsidTr="00DD57C9">
        <w:trPr>
          <w:trHeight w:val="517"/>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115"/>
              <w:jc w:val="both"/>
              <w:rPr>
                <w:rFonts w:ascii="Times New Roman" w:hAnsi="Times New Roman" w:cs="Times New Roman"/>
                <w:sz w:val="24"/>
                <w:szCs w:val="24"/>
              </w:rPr>
            </w:pPr>
            <w:r w:rsidRPr="00DD57C9">
              <w:rPr>
                <w:rFonts w:ascii="Times New Roman" w:hAnsi="Times New Roman" w:cs="Times New Roman"/>
                <w:sz w:val="24"/>
                <w:szCs w:val="24"/>
              </w:rPr>
              <w:t xml:space="preserve">Noteikumu projektā paredzētais tiesiskais regulējums nemaina tiesības un pienākumus augstskolām un studējošiem, </w:t>
            </w:r>
            <w:r w:rsidRPr="00DD57C9">
              <w:rPr>
                <w:rFonts w:ascii="Times New Roman" w:hAnsi="Times New Roman" w:cs="Times New Roman"/>
                <w:sz w:val="24"/>
                <w:szCs w:val="24"/>
                <w:lang w:eastAsia="zh-CN"/>
              </w:rPr>
              <w:t xml:space="preserve">jo noteikumu projektā ietvertās normas ir jau pastāvošas esošajā normatīvajā regulējumā. </w:t>
            </w:r>
          </w:p>
        </w:tc>
      </w:tr>
      <w:tr w:rsidR="00DD57C9" w:rsidRPr="00DD57C9" w:rsidTr="00DD57C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Nav</w:t>
            </w:r>
          </w:p>
        </w:tc>
      </w:tr>
      <w:tr w:rsidR="00DD57C9" w:rsidRPr="00DD57C9" w:rsidTr="00DD57C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5"/>
        <w:gridCol w:w="3472"/>
        <w:gridCol w:w="5206"/>
      </w:tblGrid>
      <w:tr w:rsidR="00DD57C9" w:rsidRPr="00DD57C9" w:rsidTr="00DD57C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lastRenderedPageBreak/>
              <w:t>VI. Sabiedrības līdzdalība un komunikācijas aktivitātes</w:t>
            </w:r>
          </w:p>
        </w:tc>
      </w:tr>
      <w:tr w:rsidR="00DD57C9" w:rsidRPr="00DD57C9" w:rsidTr="00DD57C9">
        <w:trPr>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Plānotās sabiedrības līdzdalības un komunikācijas aktivitātes saistībā ar projektu</w:t>
            </w:r>
          </w:p>
        </w:tc>
        <w:tc>
          <w:tcPr>
            <w:tcW w:w="28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p>
        </w:tc>
      </w:tr>
      <w:tr w:rsidR="00DD57C9" w:rsidRPr="00DD57C9" w:rsidTr="00DD57C9">
        <w:trPr>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 projekta izstrādē</w:t>
            </w:r>
          </w:p>
        </w:tc>
        <w:tc>
          <w:tcPr>
            <w:tcW w:w="2849" w:type="pct"/>
            <w:tcBorders>
              <w:top w:val="outset" w:sz="6" w:space="0" w:color="414142"/>
              <w:left w:val="outset" w:sz="6" w:space="0" w:color="414142"/>
              <w:bottom w:val="outset" w:sz="6" w:space="0" w:color="414142"/>
              <w:right w:val="outset" w:sz="6" w:space="0" w:color="414142"/>
            </w:tcBorders>
          </w:tcPr>
          <w:p w:rsidR="00DD57C9" w:rsidRPr="00DD57C9" w:rsidRDefault="00DD57C9" w:rsidP="00DD57C9">
            <w:pPr>
              <w:ind w:firstLine="149"/>
              <w:jc w:val="both"/>
              <w:rPr>
                <w:rFonts w:ascii="Times New Roman" w:hAnsi="Times New Roman" w:cs="Times New Roman"/>
                <w:sz w:val="24"/>
                <w:szCs w:val="24"/>
              </w:rPr>
            </w:pP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līdzdalības rezultāti</w:t>
            </w:r>
          </w:p>
        </w:tc>
        <w:tc>
          <w:tcPr>
            <w:tcW w:w="2849" w:type="pct"/>
            <w:tcBorders>
              <w:top w:val="outset" w:sz="6" w:space="0" w:color="414142"/>
              <w:left w:val="outset" w:sz="6" w:space="0" w:color="414142"/>
              <w:bottom w:val="outset" w:sz="6" w:space="0" w:color="414142"/>
              <w:right w:val="outset" w:sz="6" w:space="0" w:color="414142"/>
            </w:tcBorders>
            <w:shd w:val="clear" w:color="auto" w:fill="auto"/>
          </w:tcPr>
          <w:p w:rsidR="00DD57C9" w:rsidRPr="00DD57C9" w:rsidRDefault="00DD57C9" w:rsidP="00DD57C9">
            <w:pPr>
              <w:ind w:firstLine="291"/>
              <w:jc w:val="both"/>
              <w:rPr>
                <w:rFonts w:ascii="Times New Roman" w:hAnsi="Times New Roman" w:cs="Times New Roman"/>
                <w:sz w:val="24"/>
                <w:szCs w:val="24"/>
              </w:rPr>
            </w:pP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DD57C9" w:rsidRPr="00DD57C9" w:rsidTr="00DD57C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VII. Tiesību akta projekta izpildes nodrošināšana un tās ietekme uz institūcijām</w:t>
            </w:r>
          </w:p>
        </w:tc>
      </w:tr>
      <w:tr w:rsidR="00DD57C9" w:rsidRPr="00DD57C9" w:rsidTr="00DD57C9">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Rīgas Stradiņa universitāte</w:t>
            </w:r>
            <w:r>
              <w:rPr>
                <w:rFonts w:ascii="Times New Roman" w:hAnsi="Times New Roman" w:cs="Times New Roman"/>
                <w:sz w:val="24"/>
                <w:szCs w:val="24"/>
              </w:rPr>
              <w:t>,</w:t>
            </w:r>
            <w:r w:rsidRPr="00DD57C9">
              <w:rPr>
                <w:rFonts w:ascii="Times New Roman" w:hAnsi="Times New Roman" w:cs="Times New Roman"/>
                <w:sz w:val="24"/>
                <w:szCs w:val="24"/>
              </w:rPr>
              <w:t xml:space="preserve"> Latvijas Universitāte</w:t>
            </w:r>
            <w:r>
              <w:rPr>
                <w:rFonts w:ascii="Times New Roman" w:hAnsi="Times New Roman" w:cs="Times New Roman"/>
                <w:sz w:val="24"/>
                <w:szCs w:val="24"/>
              </w:rPr>
              <w:t xml:space="preserve"> un Veselības ministrija</w:t>
            </w:r>
            <w:r w:rsidRPr="00DD57C9">
              <w:rPr>
                <w:rFonts w:ascii="Times New Roman" w:hAnsi="Times New Roman" w:cs="Times New Roman"/>
                <w:sz w:val="24"/>
                <w:szCs w:val="24"/>
              </w:rPr>
              <w:t>.</w:t>
            </w:r>
          </w:p>
        </w:tc>
      </w:tr>
      <w:tr w:rsidR="00DD57C9" w:rsidRPr="00DD57C9" w:rsidTr="00DD57C9">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izpildes ietekme uz pārvaldes funkcijām un institucionālo struktūru.</w:t>
            </w:r>
          </w:p>
          <w:p w:rsidR="00DD57C9" w:rsidRPr="00DD57C9" w:rsidRDefault="00DD57C9" w:rsidP="00DD57C9">
            <w:pPr>
              <w:pStyle w:val="tvhtml"/>
              <w:spacing w:line="315" w:lineRule="atLeast"/>
            </w:pPr>
            <w:r w:rsidRPr="00DD57C9">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projekta izpildei nav nepieciešams paplašināt institūciju funkcijas un uzdevumus.</w:t>
            </w: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projekts tiks īstenots esošu institūciju un cilvēkresursu ietvaros.</w:t>
            </w:r>
          </w:p>
        </w:tc>
      </w:tr>
      <w:tr w:rsidR="00DD57C9" w:rsidRPr="00DD57C9" w:rsidTr="00DD57C9">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jc w:val="both"/>
        <w:rPr>
          <w:b/>
        </w:rPr>
      </w:pP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Anotācijas II, IV un V sadaļa – projekts šīs jomas neskar.</w:t>
      </w:r>
    </w:p>
    <w:p w:rsidR="00C25B49" w:rsidRPr="00DD57C9" w:rsidRDefault="00C25B49" w:rsidP="00894C55">
      <w:pPr>
        <w:spacing w:after="0" w:line="240" w:lineRule="auto"/>
        <w:rPr>
          <w:rFonts w:ascii="Times New Roman" w:hAnsi="Times New Roman" w:cs="Times New Roman"/>
          <w:sz w:val="24"/>
          <w:szCs w:val="24"/>
        </w:rPr>
      </w:pPr>
    </w:p>
    <w:p w:rsidR="005871D8" w:rsidRPr="00894C55" w:rsidRDefault="005871D8" w:rsidP="00894C55">
      <w:pPr>
        <w:spacing w:after="0" w:line="240" w:lineRule="auto"/>
        <w:rPr>
          <w:rFonts w:ascii="Times New Roman" w:hAnsi="Times New Roman" w:cs="Times New Roman"/>
          <w:sz w:val="28"/>
          <w:szCs w:val="28"/>
        </w:rPr>
      </w:pPr>
    </w:p>
    <w:p w:rsidR="005871D8" w:rsidRPr="00DD57C9" w:rsidRDefault="005871D8" w:rsidP="00DD57C9">
      <w:pPr>
        <w:tabs>
          <w:tab w:val="left" w:pos="7230"/>
        </w:tabs>
        <w:spacing w:after="360" w:line="240" w:lineRule="auto"/>
        <w:ind w:right="-765"/>
        <w:rPr>
          <w:rFonts w:ascii="Times New Roman" w:eastAsia="Calibri" w:hAnsi="Times New Roman" w:cs="Times New Roman"/>
          <w:sz w:val="24"/>
          <w:szCs w:val="24"/>
        </w:rPr>
      </w:pPr>
      <w:r w:rsidRPr="00DD57C9">
        <w:rPr>
          <w:rFonts w:ascii="Times New Roman" w:eastAsia="Calibri" w:hAnsi="Times New Roman" w:cs="Times New Roman"/>
          <w:sz w:val="24"/>
          <w:szCs w:val="24"/>
        </w:rPr>
        <w:t>Veselības ministre</w:t>
      </w:r>
      <w:r w:rsidRPr="00DD57C9">
        <w:rPr>
          <w:rFonts w:ascii="Times New Roman" w:eastAsia="Calibri" w:hAnsi="Times New Roman" w:cs="Times New Roman"/>
          <w:sz w:val="24"/>
          <w:szCs w:val="24"/>
        </w:rPr>
        <w:tab/>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 xml:space="preserve">Anda </w:t>
      </w:r>
      <w:proofErr w:type="spellStart"/>
      <w:r w:rsidRPr="00DD57C9">
        <w:rPr>
          <w:rFonts w:ascii="Times New Roman" w:eastAsia="Calibri" w:hAnsi="Times New Roman" w:cs="Times New Roman"/>
          <w:sz w:val="24"/>
          <w:szCs w:val="24"/>
        </w:rPr>
        <w:t>Čakša</w:t>
      </w:r>
      <w:proofErr w:type="spellEnd"/>
      <w:r w:rsidRPr="00DD57C9">
        <w:rPr>
          <w:rFonts w:ascii="Times New Roman" w:eastAsia="Calibri" w:hAnsi="Times New Roman" w:cs="Times New Roman"/>
          <w:sz w:val="24"/>
          <w:szCs w:val="24"/>
        </w:rPr>
        <w:tab/>
      </w:r>
    </w:p>
    <w:p w:rsidR="005871D8" w:rsidRPr="00DD57C9" w:rsidRDefault="005871D8" w:rsidP="00DD57C9">
      <w:pPr>
        <w:tabs>
          <w:tab w:val="right" w:pos="9072"/>
        </w:tabs>
        <w:spacing w:after="360" w:line="240" w:lineRule="auto"/>
        <w:rPr>
          <w:rFonts w:ascii="Times New Roman" w:eastAsia="Calibri" w:hAnsi="Times New Roman" w:cs="Times New Roman"/>
          <w:sz w:val="24"/>
          <w:szCs w:val="24"/>
        </w:rPr>
      </w:pPr>
      <w:r w:rsidRPr="00DD57C9">
        <w:rPr>
          <w:rFonts w:ascii="Times New Roman" w:eastAsia="Calibri" w:hAnsi="Times New Roman" w:cs="Times New Roman"/>
          <w:sz w:val="24"/>
          <w:szCs w:val="24"/>
        </w:rPr>
        <w:t xml:space="preserve">Vīza: Valsts sekretārs                                                                     </w:t>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 xml:space="preserve">Kārlis </w:t>
      </w:r>
      <w:proofErr w:type="spellStart"/>
      <w:r w:rsidRPr="00DD57C9">
        <w:rPr>
          <w:rFonts w:ascii="Times New Roman" w:eastAsia="Calibri" w:hAnsi="Times New Roman" w:cs="Times New Roman"/>
          <w:sz w:val="24"/>
          <w:szCs w:val="24"/>
        </w:rPr>
        <w:t>Ketners</w:t>
      </w:r>
      <w:proofErr w:type="spellEnd"/>
      <w:r w:rsidRPr="00DD57C9">
        <w:rPr>
          <w:rFonts w:ascii="Times New Roman" w:eastAsia="Calibri" w:hAnsi="Times New Roman" w:cs="Times New Roman"/>
          <w:sz w:val="24"/>
          <w:szCs w:val="24"/>
        </w:rPr>
        <w:t xml:space="preserve">   </w:t>
      </w:r>
    </w:p>
    <w:p w:rsidR="005871D8" w:rsidRPr="00DD57C9" w:rsidRDefault="005871D8" w:rsidP="005871D8">
      <w:pPr>
        <w:tabs>
          <w:tab w:val="right" w:pos="9072"/>
        </w:tabs>
        <w:spacing w:after="0" w:line="240" w:lineRule="auto"/>
        <w:ind w:right="-766"/>
        <w:rPr>
          <w:rFonts w:ascii="Times New Roman" w:eastAsia="Calibri" w:hAnsi="Times New Roman" w:cs="Times New Roman"/>
          <w:sz w:val="24"/>
          <w:szCs w:val="24"/>
        </w:rPr>
      </w:pPr>
    </w:p>
    <w:p w:rsid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DD57C9" w:rsidP="005871D8">
      <w:pPr>
        <w:tabs>
          <w:tab w:val="left" w:pos="6237"/>
        </w:tabs>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Roga</w:t>
      </w:r>
      <w:r w:rsidR="005871D8" w:rsidRPr="005871D8">
        <w:rPr>
          <w:rFonts w:ascii="Times New Roman" w:eastAsia="Calibri" w:hAnsi="Times New Roman" w:cs="Times New Roman"/>
          <w:sz w:val="24"/>
          <w:szCs w:val="28"/>
        </w:rPr>
        <w:t xml:space="preserve">, </w:t>
      </w:r>
      <w:r w:rsidR="005871D8" w:rsidRPr="005871D8">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093</w:t>
      </w:r>
    </w:p>
    <w:p w:rsidR="00894C55" w:rsidRPr="00894C55" w:rsidRDefault="00DD57C9" w:rsidP="00DD57C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dace.roga@vm.gov.lv</w:t>
      </w:r>
    </w:p>
    <w:sectPr w:rsidR="00894C55" w:rsidRPr="00894C55"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C9" w:rsidRDefault="00DD57C9" w:rsidP="00894C55">
      <w:pPr>
        <w:spacing w:after="0" w:line="240" w:lineRule="auto"/>
      </w:pPr>
      <w:r>
        <w:separator/>
      </w:r>
    </w:p>
  </w:endnote>
  <w:endnote w:type="continuationSeparator" w:id="0">
    <w:p w:rsidR="00DD57C9" w:rsidRDefault="00DD57C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C9" w:rsidRPr="00640DAB" w:rsidRDefault="00DD57C9" w:rsidP="00640DAB">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Pr>
        <w:rFonts w:ascii="Times New Roman" w:hAnsi="Times New Roman" w:cs="Times New Roman"/>
        <w:sz w:val="20"/>
        <w:szCs w:val="20"/>
      </w:rPr>
      <w:t>1710</w:t>
    </w:r>
    <w:r w:rsidRPr="005E5000">
      <w:rPr>
        <w:rFonts w:ascii="Times New Roman" w:hAnsi="Times New Roman" w:cs="Times New Roman"/>
        <w:sz w:val="20"/>
        <w:szCs w:val="20"/>
      </w:rPr>
      <w:t>16_</w:t>
    </w:r>
    <w:r>
      <w:rPr>
        <w:rFonts w:ascii="Times New Roman" w:hAnsi="Times New Roman" w:cs="Times New Roman"/>
        <w:sz w:val="20"/>
        <w:szCs w:val="20"/>
      </w:rPr>
      <w:t>groz_685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C9" w:rsidRDefault="00DD57C9">
    <w:pPr>
      <w:pStyle w:val="Footer"/>
      <w:rPr>
        <w:rFonts w:ascii="Times New Roman" w:hAnsi="Times New Roman" w:cs="Times New Roman"/>
        <w:sz w:val="20"/>
        <w:szCs w:val="20"/>
      </w:rPr>
    </w:pPr>
    <w:r>
      <w:rPr>
        <w:rFonts w:ascii="Times New Roman" w:hAnsi="Times New Roman" w:cs="Times New Roman"/>
        <w:sz w:val="20"/>
        <w:szCs w:val="20"/>
      </w:rPr>
      <w:t>V</w:t>
    </w:r>
    <w:r w:rsidRPr="005E5000">
      <w:rPr>
        <w:rFonts w:ascii="Times New Roman" w:hAnsi="Times New Roman" w:cs="Times New Roman"/>
        <w:sz w:val="20"/>
        <w:szCs w:val="20"/>
      </w:rPr>
      <w:t>Manot_</w:t>
    </w:r>
    <w:r>
      <w:rPr>
        <w:rFonts w:ascii="Times New Roman" w:hAnsi="Times New Roman" w:cs="Times New Roman"/>
        <w:sz w:val="20"/>
        <w:szCs w:val="20"/>
      </w:rPr>
      <w:t>1710</w:t>
    </w:r>
    <w:r w:rsidRPr="005E5000">
      <w:rPr>
        <w:rFonts w:ascii="Times New Roman" w:hAnsi="Times New Roman" w:cs="Times New Roman"/>
        <w:sz w:val="20"/>
        <w:szCs w:val="20"/>
      </w:rPr>
      <w:t>16_</w:t>
    </w:r>
    <w:r>
      <w:rPr>
        <w:rFonts w:ascii="Times New Roman" w:hAnsi="Times New Roman" w:cs="Times New Roman"/>
        <w:sz w:val="20"/>
        <w:szCs w:val="20"/>
      </w:rPr>
      <w:t>groz_685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C9" w:rsidRDefault="00DD57C9" w:rsidP="00894C55">
      <w:pPr>
        <w:spacing w:after="0" w:line="240" w:lineRule="auto"/>
      </w:pPr>
      <w:r>
        <w:separator/>
      </w:r>
    </w:p>
  </w:footnote>
  <w:footnote w:type="continuationSeparator" w:id="0">
    <w:p w:rsidR="00DD57C9" w:rsidRDefault="00DD57C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D57C9" w:rsidRPr="00C25B49" w:rsidRDefault="007729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D57C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199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894C55"/>
    <w:rsid w:val="000E3632"/>
    <w:rsid w:val="00122E58"/>
    <w:rsid w:val="00243426"/>
    <w:rsid w:val="003B0BF9"/>
    <w:rsid w:val="003E0791"/>
    <w:rsid w:val="003F28AC"/>
    <w:rsid w:val="004454FE"/>
    <w:rsid w:val="00471F27"/>
    <w:rsid w:val="0050178F"/>
    <w:rsid w:val="005722BE"/>
    <w:rsid w:val="005871D8"/>
    <w:rsid w:val="00640DAB"/>
    <w:rsid w:val="006E1081"/>
    <w:rsid w:val="00720585"/>
    <w:rsid w:val="007729DC"/>
    <w:rsid w:val="00773AF6"/>
    <w:rsid w:val="00816C11"/>
    <w:rsid w:val="00894C55"/>
    <w:rsid w:val="00A2509D"/>
    <w:rsid w:val="00AE5567"/>
    <w:rsid w:val="00B2165C"/>
    <w:rsid w:val="00B41DEB"/>
    <w:rsid w:val="00BC2C33"/>
    <w:rsid w:val="00BD4425"/>
    <w:rsid w:val="00BF59F6"/>
    <w:rsid w:val="00C25B49"/>
    <w:rsid w:val="00C80902"/>
    <w:rsid w:val="00CE5657"/>
    <w:rsid w:val="00D46C6F"/>
    <w:rsid w:val="00D74CEB"/>
    <w:rsid w:val="00DD199C"/>
    <w:rsid w:val="00DD57C9"/>
    <w:rsid w:val="00E90C01"/>
    <w:rsid w:val="00EA486E"/>
    <w:rsid w:val="00F10F38"/>
    <w:rsid w:val="00F32503"/>
    <w:rsid w:val="00F57B0C"/>
    <w:rsid w:val="00F87F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3417</Words>
  <Characters>1949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vt:lpstr>
    </vt:vector>
  </TitlesOfParts>
  <Company>Veselības ministrija</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dc:title>
  <dc:subject>Anotācija</dc:subject>
  <dc:creator>Dace Roga</dc:creator>
  <dc:description>67876093, dace.roga@vm.gov.lv</dc:description>
  <cp:lastModifiedBy>droga</cp:lastModifiedBy>
  <cp:revision>7</cp:revision>
  <dcterms:created xsi:type="dcterms:W3CDTF">2016-10-11T06:13:00Z</dcterms:created>
  <dcterms:modified xsi:type="dcterms:W3CDTF">2016-10-18T08:18:00Z</dcterms:modified>
</cp:coreProperties>
</file>