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55" w:rsidRPr="00DD57C9" w:rsidRDefault="00894C55" w:rsidP="00894C55">
      <w:pPr>
        <w:shd w:val="clear" w:color="auto" w:fill="FFFFFF"/>
        <w:spacing w:after="0" w:line="240" w:lineRule="auto"/>
        <w:jc w:val="center"/>
        <w:rPr>
          <w:rFonts w:ascii="Times New Roman" w:eastAsia="Times New Roman" w:hAnsi="Times New Roman" w:cs="Times New Roman"/>
          <w:b/>
          <w:bCs/>
          <w:sz w:val="24"/>
          <w:szCs w:val="24"/>
          <w:lang w:eastAsia="lv-LV"/>
        </w:rPr>
      </w:pPr>
      <w:r w:rsidRPr="00DD57C9">
        <w:rPr>
          <w:rFonts w:ascii="Times New Roman" w:eastAsia="Times New Roman" w:hAnsi="Times New Roman" w:cs="Times New Roman"/>
          <w:b/>
          <w:bCs/>
          <w:color w:val="414142"/>
          <w:sz w:val="24"/>
          <w:szCs w:val="24"/>
          <w:lang w:eastAsia="lv-LV"/>
        </w:rPr>
        <w:t xml:space="preserve"> </w:t>
      </w:r>
      <w:r w:rsidR="00DD57C9" w:rsidRPr="00DD57C9">
        <w:rPr>
          <w:rFonts w:ascii="Times New Roman" w:eastAsia="Times New Roman" w:hAnsi="Times New Roman" w:cs="Times New Roman"/>
          <w:b/>
          <w:bCs/>
          <w:sz w:val="24"/>
          <w:szCs w:val="24"/>
          <w:lang w:eastAsia="lv-LV"/>
        </w:rPr>
        <w:t xml:space="preserve">„Grozījumi Ministru kabineta 2011.gada 30.augusta noteikumos Nr.685 "Rezidentu sadales un rezidentūras finansēšanas noteikumi"” </w:t>
      </w:r>
      <w:r w:rsidRPr="00DD57C9">
        <w:rPr>
          <w:rFonts w:ascii="Times New Roman" w:eastAsia="Times New Roman" w:hAnsi="Times New Roman" w:cs="Times New Roman"/>
          <w:b/>
          <w:bCs/>
          <w:sz w:val="24"/>
          <w:szCs w:val="24"/>
          <w:lang w:eastAsia="lv-LV"/>
        </w:rPr>
        <w:t>projekta</w:t>
      </w:r>
      <w:r w:rsidR="003B0BF9" w:rsidRPr="00DD57C9">
        <w:rPr>
          <w:rFonts w:ascii="Times New Roman" w:eastAsia="Times New Roman" w:hAnsi="Times New Roman" w:cs="Times New Roman"/>
          <w:b/>
          <w:bCs/>
          <w:sz w:val="24"/>
          <w:szCs w:val="24"/>
          <w:lang w:eastAsia="lv-LV"/>
        </w:rPr>
        <w:br/>
      </w:r>
      <w:r w:rsidRPr="00DD57C9">
        <w:rPr>
          <w:rFonts w:ascii="Times New Roman" w:eastAsia="Times New Roman" w:hAnsi="Times New Roman" w:cs="Times New Roman"/>
          <w:b/>
          <w:bCs/>
          <w:sz w:val="24"/>
          <w:szCs w:val="24"/>
          <w:lang w:eastAsia="lv-LV"/>
        </w:rPr>
        <w:t>sākotnējās ietekmes novērtējuma ziņojums (anotācija)</w:t>
      </w:r>
    </w:p>
    <w:p w:rsidR="00894C55" w:rsidRPr="00894C55" w:rsidRDefault="00894C55" w:rsidP="00894C55">
      <w:pPr>
        <w:shd w:val="clear" w:color="auto" w:fill="FFFFFF"/>
        <w:spacing w:before="45" w:after="0" w:line="248" w:lineRule="atLeast"/>
        <w:ind w:firstLine="300"/>
        <w:jc w:val="center"/>
        <w:rPr>
          <w:rFonts w:ascii="Times New Roman" w:eastAsia="Times New Roman" w:hAnsi="Times New Roman" w:cs="Times New Roman"/>
          <w:i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597"/>
        <w:gridCol w:w="2409"/>
        <w:gridCol w:w="6125"/>
      </w:tblGrid>
      <w:tr w:rsidR="00DD57C9" w:rsidRPr="00DD57C9" w:rsidTr="00DD57C9">
        <w:trPr>
          <w:trHeight w:val="405"/>
        </w:trPr>
        <w:tc>
          <w:tcPr>
            <w:tcW w:w="9131" w:type="dxa"/>
            <w:gridSpan w:val="3"/>
            <w:tcBorders>
              <w:top w:val="outset" w:sz="6" w:space="0" w:color="414142"/>
              <w:left w:val="outset" w:sz="6" w:space="0" w:color="414142"/>
              <w:bottom w:val="outset" w:sz="6" w:space="0" w:color="414142"/>
              <w:right w:val="outset" w:sz="6" w:space="0" w:color="414142"/>
            </w:tcBorders>
            <w:vAlign w:val="center"/>
            <w:hideMark/>
          </w:tcPr>
          <w:p w:rsidR="00DD57C9" w:rsidRPr="00DD57C9" w:rsidRDefault="00DD57C9" w:rsidP="00DD57C9">
            <w:pPr>
              <w:pStyle w:val="tvhtml"/>
              <w:spacing w:line="315" w:lineRule="atLeast"/>
              <w:jc w:val="center"/>
              <w:rPr>
                <w:b/>
                <w:bCs/>
              </w:rPr>
            </w:pPr>
            <w:r w:rsidRPr="00DD57C9">
              <w:rPr>
                <w:b/>
                <w:bCs/>
              </w:rPr>
              <w:t>I. Tiesību akta projekta izstrādes nepieciešamība</w:t>
            </w:r>
          </w:p>
        </w:tc>
      </w:tr>
      <w:tr w:rsidR="00DD57C9" w:rsidRPr="00DD57C9" w:rsidTr="00DD57C9">
        <w:trPr>
          <w:trHeight w:val="405"/>
        </w:trPr>
        <w:tc>
          <w:tcPr>
            <w:tcW w:w="597" w:type="dxa"/>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pStyle w:val="tvhtml"/>
              <w:spacing w:line="315" w:lineRule="atLeast"/>
              <w:jc w:val="center"/>
            </w:pPr>
            <w:r w:rsidRPr="00DD57C9">
              <w:t>1.</w:t>
            </w:r>
          </w:p>
        </w:tc>
        <w:tc>
          <w:tcPr>
            <w:tcW w:w="2409" w:type="dxa"/>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Pamatojums</w:t>
            </w:r>
          </w:p>
        </w:tc>
        <w:tc>
          <w:tcPr>
            <w:tcW w:w="6125" w:type="dxa"/>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Ārstniecības likuma 57.pants.</w:t>
            </w:r>
          </w:p>
        </w:tc>
      </w:tr>
      <w:tr w:rsidR="00DD57C9" w:rsidRPr="00DD57C9" w:rsidTr="00DD57C9">
        <w:trPr>
          <w:trHeight w:val="465"/>
        </w:trPr>
        <w:tc>
          <w:tcPr>
            <w:tcW w:w="597" w:type="dxa"/>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pStyle w:val="tvhtml"/>
              <w:spacing w:line="315" w:lineRule="atLeast"/>
              <w:jc w:val="center"/>
            </w:pPr>
            <w:r w:rsidRPr="00DD57C9">
              <w:t>2.</w:t>
            </w:r>
          </w:p>
        </w:tc>
        <w:tc>
          <w:tcPr>
            <w:tcW w:w="2409" w:type="dxa"/>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Pašreizējā situācija un problēmas, kuru risināšanai tiesību akta projekts izstrādāts, tiesiskā regulējuma mērķis un būtība</w:t>
            </w:r>
          </w:p>
        </w:tc>
        <w:tc>
          <w:tcPr>
            <w:tcW w:w="6125" w:type="dxa"/>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ind w:firstLine="410"/>
              <w:jc w:val="both"/>
              <w:rPr>
                <w:rFonts w:ascii="Times New Roman" w:hAnsi="Times New Roman" w:cs="Times New Roman"/>
                <w:sz w:val="24"/>
                <w:szCs w:val="24"/>
              </w:rPr>
            </w:pPr>
            <w:r w:rsidRPr="00DD57C9">
              <w:rPr>
                <w:rFonts w:ascii="Times New Roman" w:hAnsi="Times New Roman" w:cs="Times New Roman"/>
                <w:sz w:val="24"/>
                <w:szCs w:val="24"/>
              </w:rPr>
              <w:t>Rezidentu sadales un rezidentūras finansēšanas kārtību regulē Ministru kabineta 2011.gada 30.augusta noteikumi Nr.685 „Rezidentu sadales un rezidentūras finansēšanas noteikumi” (turpmāk – Noteikumi Nr.685).</w:t>
            </w:r>
          </w:p>
          <w:p w:rsidR="00DD57C9" w:rsidRPr="00DD57C9" w:rsidRDefault="00DD57C9" w:rsidP="00DD57C9">
            <w:pPr>
              <w:ind w:firstLine="399"/>
              <w:jc w:val="both"/>
              <w:rPr>
                <w:rFonts w:ascii="Times New Roman" w:hAnsi="Times New Roman" w:cs="Times New Roman"/>
                <w:sz w:val="24"/>
                <w:szCs w:val="24"/>
              </w:rPr>
            </w:pPr>
            <w:r w:rsidRPr="00DD57C9">
              <w:rPr>
                <w:rFonts w:ascii="Times New Roman" w:hAnsi="Times New Roman" w:cs="Times New Roman"/>
                <w:sz w:val="24"/>
                <w:szCs w:val="24"/>
              </w:rPr>
              <w:t>Šobrīd Noteikumu Nr.685 5. punkts nosaka, ka augstskolas, kuras īsteno augstāko profesionālo studiju programmu ārsta profesionālās kvalifikācijas iegūšanai (turpmāk – augstskola), ar augstskolu vienotās uzņemšanas komisijas (turpmāk – uzņemšanas komisija) starpniecību katru gadu līdz 8. jūlijam organizē rezidentūras pretendentu pieteikšanos rezidentūras studiju programmās saskaņā ar Noteikumu Nr.685 4. punktu apstiprinātajās specialitātēs un iesniedz Veselības ministrijā rezidentūras pretendentu sarakstu. Turklāt rezidentūras pretendents var pieteikties pretendēšanai ne vairāk kā uz divām specialitātēm vienā vai dažādās augstskolās. Piesakoties uz divām specialitātēm vienā augstskolā, pretendents norāda izvēles prioritāti (Noteikumu Nr.685 7.punkts). Noteikumu Nr.685 5. punkts attiecībā uz vienoto uzņemšanas komisiju un 7. punkts piemērojams ar 2017. gada 1. janvāri.</w:t>
            </w:r>
          </w:p>
          <w:p w:rsidR="00DD57C9" w:rsidRPr="00DD57C9" w:rsidRDefault="00DD57C9" w:rsidP="00DD57C9">
            <w:pPr>
              <w:ind w:firstLine="399"/>
              <w:jc w:val="both"/>
              <w:rPr>
                <w:rFonts w:ascii="Times New Roman" w:hAnsi="Times New Roman" w:cs="Times New Roman"/>
                <w:sz w:val="24"/>
                <w:szCs w:val="24"/>
              </w:rPr>
            </w:pPr>
            <w:r w:rsidRPr="00DD57C9">
              <w:rPr>
                <w:rFonts w:ascii="Times New Roman" w:hAnsi="Times New Roman" w:cs="Times New Roman"/>
                <w:sz w:val="24"/>
                <w:szCs w:val="24"/>
              </w:rPr>
              <w:t>Latvijas Medicīnas studentu asociācijas pārstāvji diskusijā (2016.gada 25.augustā) Veselības ministrijā aktualizēja jautājumu par rezidentu uzņemšanas noteikumu izstrādi un vienotās uzņemšanas komisijas darbības uzsākšanu no 2017.gada 1.janvāra. Studējošie norādīja, ka būtiski ir  savlaicīgi (2-3 gadus iepriekš) zināt kādi būs uzņemšanas noteikumi rezidentūrā. Veselības ministrija atbalsta studējošo priekšlikumu noteikt, ka rezidentu vienotā uzņemšanas komisija darbu uzsāk divus gadus pēc vienotu uzņemšanas noteikumu izstrādes un to apstiprināšanas abās augstskolās, respektīvi, rezidentūras vien</w:t>
            </w:r>
            <w:bookmarkStart w:id="0" w:name="_GoBack"/>
            <w:bookmarkEnd w:id="0"/>
            <w:r w:rsidRPr="00DD57C9">
              <w:rPr>
                <w:rFonts w:ascii="Times New Roman" w:hAnsi="Times New Roman" w:cs="Times New Roman"/>
                <w:sz w:val="24"/>
                <w:szCs w:val="24"/>
              </w:rPr>
              <w:t>otā uzņemšanas komisija darbu sāk ar 2019.gada 1.janvāri.</w:t>
            </w:r>
          </w:p>
          <w:p w:rsidR="00DD57C9" w:rsidRPr="00DD57C9" w:rsidRDefault="00DD57C9" w:rsidP="00DD57C9">
            <w:pPr>
              <w:ind w:firstLine="399"/>
              <w:jc w:val="both"/>
              <w:rPr>
                <w:rFonts w:ascii="Times New Roman" w:hAnsi="Times New Roman" w:cs="Times New Roman"/>
                <w:sz w:val="24"/>
                <w:szCs w:val="24"/>
              </w:rPr>
            </w:pPr>
            <w:r w:rsidRPr="00DD57C9">
              <w:rPr>
                <w:rFonts w:ascii="Times New Roman" w:hAnsi="Times New Roman" w:cs="Times New Roman"/>
                <w:sz w:val="24"/>
                <w:szCs w:val="24"/>
              </w:rPr>
              <w:t xml:space="preserve">Līdz ar to </w:t>
            </w:r>
            <w:r w:rsidRPr="00A2509D">
              <w:rPr>
                <w:rFonts w:ascii="Times New Roman" w:hAnsi="Times New Roman" w:cs="Times New Roman"/>
                <w:sz w:val="24"/>
                <w:szCs w:val="24"/>
                <w:u w:val="single"/>
              </w:rPr>
              <w:t>Veselības ministrija veic tehniskus grozījumus</w:t>
            </w:r>
            <w:r>
              <w:rPr>
                <w:rFonts w:ascii="Times New Roman" w:hAnsi="Times New Roman" w:cs="Times New Roman"/>
                <w:sz w:val="24"/>
                <w:szCs w:val="24"/>
              </w:rPr>
              <w:t xml:space="preserve"> un </w:t>
            </w:r>
            <w:r w:rsidRPr="00DD57C9">
              <w:rPr>
                <w:rFonts w:ascii="Times New Roman" w:hAnsi="Times New Roman" w:cs="Times New Roman"/>
                <w:sz w:val="24"/>
                <w:szCs w:val="24"/>
              </w:rPr>
              <w:t xml:space="preserve">izstrādājusi Ministru kabineta noteikumu projektu „Grozījumi Ministru kabineta 2011.gada 30.augusta noteikumos Nr.685 „Rezidentu sadales un rezidentūras finansēšanas noteikumi”” (turpmāk – noteikumu projekts), kura mērķis ir noteikt, ka rezidentu </w:t>
            </w:r>
            <w:proofErr w:type="spellStart"/>
            <w:r w:rsidRPr="00DD57C9">
              <w:rPr>
                <w:rFonts w:ascii="Times New Roman" w:hAnsi="Times New Roman" w:cs="Times New Roman"/>
                <w:sz w:val="24"/>
                <w:szCs w:val="24"/>
              </w:rPr>
              <w:t>vienātā</w:t>
            </w:r>
            <w:proofErr w:type="spellEnd"/>
            <w:r w:rsidRPr="00DD57C9">
              <w:rPr>
                <w:rFonts w:ascii="Times New Roman" w:hAnsi="Times New Roman" w:cs="Times New Roman"/>
                <w:sz w:val="24"/>
                <w:szCs w:val="24"/>
              </w:rPr>
              <w:t xml:space="preserve"> uzņemšanas </w:t>
            </w:r>
            <w:r w:rsidRPr="00DD57C9">
              <w:rPr>
                <w:rFonts w:ascii="Times New Roman" w:hAnsi="Times New Roman" w:cs="Times New Roman"/>
                <w:sz w:val="24"/>
                <w:szCs w:val="24"/>
              </w:rPr>
              <w:lastRenderedPageBreak/>
              <w:t>komisija darbu sāk ar 2019.gada 1.janvāri.</w:t>
            </w:r>
          </w:p>
          <w:p w:rsidR="00DD57C9" w:rsidRPr="00DD57C9" w:rsidRDefault="00DD57C9" w:rsidP="00DD57C9">
            <w:pPr>
              <w:ind w:firstLine="399"/>
              <w:jc w:val="both"/>
              <w:rPr>
                <w:rFonts w:ascii="Times New Roman" w:hAnsi="Times New Roman" w:cs="Times New Roman"/>
                <w:sz w:val="24"/>
                <w:szCs w:val="24"/>
              </w:rPr>
            </w:pPr>
            <w:r w:rsidRPr="00DD57C9">
              <w:rPr>
                <w:rFonts w:ascii="Times New Roman" w:hAnsi="Times New Roman" w:cs="Times New Roman"/>
                <w:sz w:val="24"/>
                <w:szCs w:val="24"/>
              </w:rPr>
              <w:t>Rīgas Stradiņa universitāte un Latvijas Universitāte (augstskolas, kas realizē rezidentūras studiju programmas) ir uzsākušas darbu pie rezidentu vienotu uzņemšanas noteikumu izstrādes un vienotās uzņemšanas komisijas izveides. Ir notikušas vairākas sanāksmes (2016.gada 18.jūlijā, 7.septembrī un 21.septembrī), kurās pēc iepriekš minēto augstskolu aicinājuma ir piedalījušies studējošo un rezidentu pārstāvji, kā arī Veselības ministrijas pārstāvji. Šobrīd ir izstrādāti vienoti uzņemšanas kritēriji, kas tiks apstiprināti katrā augstskolā. Prognozējams, ka vienotie uzņemšanas noteikumi līdz 2017.gada 1.janvārim tiks apstiprināti augstskolās un studējošie varēs iepazīties ar tiem un tiks nodrošināts divu gadu periods, līdz vienotās uzņemšanas komisijas darbībai.</w:t>
            </w:r>
          </w:p>
        </w:tc>
      </w:tr>
      <w:tr w:rsidR="00DD57C9" w:rsidRPr="00DD57C9" w:rsidTr="00DD57C9">
        <w:trPr>
          <w:trHeight w:val="465"/>
        </w:trPr>
        <w:tc>
          <w:tcPr>
            <w:tcW w:w="597" w:type="dxa"/>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pStyle w:val="tvhtml"/>
              <w:spacing w:line="315" w:lineRule="atLeast"/>
              <w:jc w:val="center"/>
            </w:pPr>
            <w:r w:rsidRPr="00DD57C9">
              <w:lastRenderedPageBreak/>
              <w:t>3.</w:t>
            </w:r>
          </w:p>
        </w:tc>
        <w:tc>
          <w:tcPr>
            <w:tcW w:w="2409" w:type="dxa"/>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Projekta izstrādē iesaistītās institūcijas</w:t>
            </w:r>
          </w:p>
        </w:tc>
        <w:tc>
          <w:tcPr>
            <w:tcW w:w="6125" w:type="dxa"/>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Nav</w:t>
            </w:r>
          </w:p>
        </w:tc>
      </w:tr>
      <w:tr w:rsidR="00DD57C9" w:rsidRPr="00DD57C9" w:rsidTr="00DD57C9">
        <w:tc>
          <w:tcPr>
            <w:tcW w:w="597" w:type="dxa"/>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pStyle w:val="tvhtml"/>
              <w:spacing w:line="315" w:lineRule="atLeast"/>
              <w:jc w:val="center"/>
            </w:pPr>
            <w:r w:rsidRPr="00DD57C9">
              <w:t>4.</w:t>
            </w:r>
          </w:p>
        </w:tc>
        <w:tc>
          <w:tcPr>
            <w:tcW w:w="2409" w:type="dxa"/>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Cita informācija</w:t>
            </w:r>
          </w:p>
        </w:tc>
        <w:tc>
          <w:tcPr>
            <w:tcW w:w="6125" w:type="dxa"/>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pStyle w:val="tvhtml"/>
              <w:spacing w:line="315" w:lineRule="atLeast"/>
            </w:pPr>
            <w:r w:rsidRPr="00DD57C9">
              <w:t>Nav</w:t>
            </w:r>
          </w:p>
        </w:tc>
      </w:tr>
    </w:tbl>
    <w:p w:rsidR="00DD57C9" w:rsidRPr="00043AD9" w:rsidRDefault="00DD57C9" w:rsidP="00DD57C9">
      <w:pPr>
        <w:pStyle w:val="tvhtml"/>
        <w:shd w:val="clear" w:color="auto" w:fill="FFFFFF"/>
        <w:spacing w:before="0" w:beforeAutospacing="0" w:after="0" w:afterAutospacing="0" w:line="315" w:lineRule="atLeast"/>
        <w:ind w:firstLine="301"/>
        <w:rPr>
          <w:color w:val="414142"/>
          <w:sz w:val="28"/>
          <w:szCs w:val="28"/>
        </w:rPr>
      </w:pPr>
      <w:r>
        <w:rPr>
          <w:rFonts w:ascii="Arial" w:hAnsi="Arial" w:cs="Arial"/>
          <w:color w:val="414142"/>
          <w:sz w:val="21"/>
          <w:szCs w:val="21"/>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6"/>
        <w:gridCol w:w="2831"/>
        <w:gridCol w:w="5844"/>
      </w:tblGrid>
      <w:tr w:rsidR="00DD57C9" w:rsidRPr="00DD57C9" w:rsidTr="00DD57C9">
        <w:trPr>
          <w:trHeight w:val="381"/>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DD57C9" w:rsidRPr="00DD57C9" w:rsidRDefault="00DD57C9" w:rsidP="00DD57C9">
            <w:pPr>
              <w:pStyle w:val="tvhtml"/>
              <w:spacing w:line="315" w:lineRule="atLeast"/>
              <w:jc w:val="center"/>
              <w:rPr>
                <w:b/>
                <w:bCs/>
              </w:rPr>
            </w:pPr>
            <w:r w:rsidRPr="00DD57C9">
              <w:rPr>
                <w:b/>
                <w:bCs/>
              </w:rPr>
              <w:t>II. Tiesību akta projekta ietekme uz sabiedrību, tautsaimniecības attīstību un administratīvo slogu</w:t>
            </w:r>
          </w:p>
        </w:tc>
      </w:tr>
      <w:tr w:rsidR="00DD57C9" w:rsidRPr="00DD57C9" w:rsidTr="00DD57C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1.</w:t>
            </w:r>
          </w:p>
        </w:tc>
        <w:tc>
          <w:tcPr>
            <w:tcW w:w="15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jc w:val="both"/>
              <w:rPr>
                <w:rFonts w:ascii="Times New Roman" w:hAnsi="Times New Roman" w:cs="Times New Roman"/>
                <w:sz w:val="24"/>
                <w:szCs w:val="24"/>
              </w:rPr>
            </w:pPr>
            <w:r w:rsidRPr="00DD57C9">
              <w:rPr>
                <w:rFonts w:ascii="Times New Roman" w:hAnsi="Times New Roman" w:cs="Times New Roman"/>
                <w:sz w:val="24"/>
                <w:szCs w:val="24"/>
              </w:rPr>
              <w:t>Noteikumu projektā ietvertais tiesiskais regulējums attieksies uz:</w:t>
            </w:r>
          </w:p>
          <w:p w:rsidR="00DD57C9" w:rsidRPr="00DD57C9" w:rsidRDefault="00DD57C9" w:rsidP="00DD57C9">
            <w:pPr>
              <w:jc w:val="both"/>
              <w:rPr>
                <w:rFonts w:ascii="Times New Roman" w:hAnsi="Times New Roman" w:cs="Times New Roman"/>
                <w:sz w:val="24"/>
                <w:szCs w:val="24"/>
              </w:rPr>
            </w:pPr>
            <w:r w:rsidRPr="00DD57C9">
              <w:rPr>
                <w:rFonts w:ascii="Times New Roman" w:hAnsi="Times New Roman" w:cs="Times New Roman"/>
                <w:sz w:val="24"/>
                <w:szCs w:val="24"/>
              </w:rPr>
              <w:t>- Veselības ministriju;</w:t>
            </w:r>
          </w:p>
          <w:p w:rsidR="00DD57C9" w:rsidRPr="00DD57C9" w:rsidRDefault="00DD57C9" w:rsidP="00DD57C9">
            <w:pPr>
              <w:jc w:val="both"/>
              <w:rPr>
                <w:rFonts w:ascii="Times New Roman" w:hAnsi="Times New Roman" w:cs="Times New Roman"/>
                <w:sz w:val="24"/>
                <w:szCs w:val="24"/>
              </w:rPr>
            </w:pPr>
            <w:r w:rsidRPr="00DD57C9">
              <w:rPr>
                <w:rFonts w:ascii="Times New Roman" w:hAnsi="Times New Roman" w:cs="Times New Roman"/>
                <w:sz w:val="24"/>
                <w:szCs w:val="24"/>
              </w:rPr>
              <w:t>- augstskolām, kuras realizē rezidentūras studiju programmas (RSU un LU);</w:t>
            </w:r>
          </w:p>
          <w:p w:rsidR="00DD57C9" w:rsidRPr="00DD57C9" w:rsidRDefault="00DD57C9" w:rsidP="00DD199C">
            <w:pPr>
              <w:jc w:val="both"/>
              <w:rPr>
                <w:rFonts w:ascii="Times New Roman" w:hAnsi="Times New Roman" w:cs="Times New Roman"/>
                <w:sz w:val="24"/>
                <w:szCs w:val="24"/>
              </w:rPr>
            </w:pPr>
            <w:r w:rsidRPr="00DD57C9">
              <w:rPr>
                <w:rFonts w:ascii="Times New Roman" w:hAnsi="Times New Roman" w:cs="Times New Roman"/>
                <w:sz w:val="24"/>
                <w:szCs w:val="24"/>
              </w:rPr>
              <w:t xml:space="preserve">- personām, kuras vēlas apgūt rezidentūras studiju programmas (plānots, ka </w:t>
            </w:r>
            <w:r w:rsidRPr="00F87FCA">
              <w:rPr>
                <w:rFonts w:ascii="Times New Roman" w:hAnsi="Times New Roman" w:cs="Times New Roman"/>
                <w:sz w:val="24"/>
                <w:szCs w:val="24"/>
              </w:rPr>
              <w:t>2019.gadā</w:t>
            </w:r>
            <w:r w:rsidRPr="00DD57C9">
              <w:rPr>
                <w:rFonts w:ascii="Times New Roman" w:hAnsi="Times New Roman" w:cs="Times New Roman"/>
                <w:sz w:val="24"/>
                <w:szCs w:val="24"/>
              </w:rPr>
              <w:t xml:space="preserve"> augstākās izglītības diplomu profesijā ārsts kopā RSU </w:t>
            </w:r>
            <w:r w:rsidR="00F87FCA">
              <w:rPr>
                <w:rFonts w:ascii="Times New Roman" w:hAnsi="Times New Roman" w:cs="Times New Roman"/>
                <w:sz w:val="24"/>
                <w:szCs w:val="24"/>
              </w:rPr>
              <w:t xml:space="preserve">iegūs 163 personas, LU  - </w:t>
            </w:r>
            <w:r w:rsidRPr="00DD57C9">
              <w:rPr>
                <w:rFonts w:ascii="Times New Roman" w:hAnsi="Times New Roman" w:cs="Times New Roman"/>
                <w:sz w:val="24"/>
                <w:szCs w:val="24"/>
              </w:rPr>
              <w:t xml:space="preserve">  </w:t>
            </w:r>
            <w:r w:rsidR="00DD199C">
              <w:rPr>
                <w:rFonts w:ascii="Times New Roman" w:hAnsi="Times New Roman" w:cs="Times New Roman"/>
                <w:sz w:val="24"/>
                <w:szCs w:val="24"/>
              </w:rPr>
              <w:t>96</w:t>
            </w:r>
            <w:r w:rsidR="00F87FCA">
              <w:rPr>
                <w:rFonts w:ascii="Times New Roman" w:hAnsi="Times New Roman" w:cs="Times New Roman"/>
                <w:sz w:val="24"/>
                <w:szCs w:val="24"/>
              </w:rPr>
              <w:t xml:space="preserve"> </w:t>
            </w:r>
            <w:r w:rsidRPr="00DD57C9">
              <w:rPr>
                <w:rFonts w:ascii="Times New Roman" w:hAnsi="Times New Roman" w:cs="Times New Roman"/>
                <w:sz w:val="24"/>
                <w:szCs w:val="24"/>
              </w:rPr>
              <w:t>personas).</w:t>
            </w:r>
          </w:p>
        </w:tc>
      </w:tr>
      <w:tr w:rsidR="00DD57C9" w:rsidRPr="00DD57C9" w:rsidTr="00DD57C9">
        <w:trPr>
          <w:trHeight w:val="517"/>
        </w:trPr>
        <w:tc>
          <w:tcPr>
            <w:tcW w:w="2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2.</w:t>
            </w:r>
          </w:p>
        </w:tc>
        <w:tc>
          <w:tcPr>
            <w:tcW w:w="15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ind w:firstLine="115"/>
              <w:jc w:val="both"/>
              <w:rPr>
                <w:rFonts w:ascii="Times New Roman" w:hAnsi="Times New Roman" w:cs="Times New Roman"/>
                <w:sz w:val="24"/>
                <w:szCs w:val="24"/>
              </w:rPr>
            </w:pPr>
            <w:r w:rsidRPr="00DD57C9">
              <w:rPr>
                <w:rFonts w:ascii="Times New Roman" w:hAnsi="Times New Roman" w:cs="Times New Roman"/>
                <w:sz w:val="24"/>
                <w:szCs w:val="24"/>
              </w:rPr>
              <w:t xml:space="preserve">Noteikumu projektā paredzētais tiesiskais regulējums nemaina tiesības un pienākumus augstskolām un studējošiem, </w:t>
            </w:r>
            <w:r w:rsidRPr="00DD57C9">
              <w:rPr>
                <w:rFonts w:ascii="Times New Roman" w:hAnsi="Times New Roman" w:cs="Times New Roman"/>
                <w:sz w:val="24"/>
                <w:szCs w:val="24"/>
                <w:lang w:eastAsia="zh-CN"/>
              </w:rPr>
              <w:t xml:space="preserve">jo noteikumu projektā ietvertās normas ir jau pastāvošas esošajā normatīvajā regulējumā. </w:t>
            </w:r>
          </w:p>
        </w:tc>
      </w:tr>
      <w:tr w:rsidR="00DD57C9" w:rsidRPr="00DD57C9" w:rsidTr="00DD57C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3.</w:t>
            </w:r>
          </w:p>
        </w:tc>
        <w:tc>
          <w:tcPr>
            <w:tcW w:w="15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jc w:val="both"/>
              <w:rPr>
                <w:rFonts w:ascii="Times New Roman" w:hAnsi="Times New Roman" w:cs="Times New Roman"/>
                <w:sz w:val="24"/>
                <w:szCs w:val="24"/>
              </w:rPr>
            </w:pPr>
            <w:r w:rsidRPr="00DD57C9">
              <w:rPr>
                <w:rFonts w:ascii="Times New Roman" w:hAnsi="Times New Roman" w:cs="Times New Roman"/>
                <w:sz w:val="24"/>
                <w:szCs w:val="24"/>
              </w:rPr>
              <w:t>Nav</w:t>
            </w:r>
          </w:p>
        </w:tc>
      </w:tr>
      <w:tr w:rsidR="00DD57C9" w:rsidRPr="00DD57C9" w:rsidTr="00DD57C9">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4.</w:t>
            </w:r>
          </w:p>
        </w:tc>
        <w:tc>
          <w:tcPr>
            <w:tcW w:w="15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pStyle w:val="tvhtml"/>
              <w:spacing w:line="315" w:lineRule="atLeast"/>
            </w:pPr>
            <w:r w:rsidRPr="00DD57C9">
              <w:t>Nav</w:t>
            </w:r>
          </w:p>
        </w:tc>
      </w:tr>
    </w:tbl>
    <w:p w:rsidR="00DD57C9" w:rsidRDefault="00DD57C9" w:rsidP="00DD57C9">
      <w:pPr>
        <w:pStyle w:val="tvhtml"/>
        <w:shd w:val="clear" w:color="auto" w:fill="FFFFFF"/>
        <w:spacing w:before="0" w:beforeAutospacing="0" w:after="0" w:afterAutospacing="0" w:line="315" w:lineRule="atLeast"/>
        <w:ind w:firstLine="301"/>
        <w:rPr>
          <w:rFonts w:ascii="Arial" w:hAnsi="Arial" w:cs="Arial"/>
          <w:color w:val="414142"/>
          <w:sz w:val="21"/>
          <w:szCs w:val="21"/>
        </w:rPr>
      </w:pPr>
      <w:r>
        <w:rPr>
          <w:rFonts w:ascii="Arial" w:hAnsi="Arial" w:cs="Arial"/>
          <w:color w:val="414142"/>
          <w:sz w:val="21"/>
          <w:szCs w:val="21"/>
        </w:rPr>
        <w:t> </w:t>
      </w:r>
    </w:p>
    <w:tbl>
      <w:tblPr>
        <w:tblW w:w="5001"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455"/>
        <w:gridCol w:w="3472"/>
        <w:gridCol w:w="5206"/>
      </w:tblGrid>
      <w:tr w:rsidR="00DD57C9" w:rsidRPr="00DD57C9" w:rsidTr="00DD57C9">
        <w:trPr>
          <w:trHeight w:val="42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DD57C9" w:rsidRPr="00DD57C9" w:rsidRDefault="00DD57C9" w:rsidP="00DD57C9">
            <w:pPr>
              <w:pStyle w:val="tvhtml"/>
              <w:spacing w:line="315" w:lineRule="atLeast"/>
              <w:jc w:val="center"/>
              <w:rPr>
                <w:b/>
                <w:bCs/>
              </w:rPr>
            </w:pPr>
            <w:r w:rsidRPr="00DD57C9">
              <w:rPr>
                <w:b/>
                <w:bCs/>
              </w:rPr>
              <w:lastRenderedPageBreak/>
              <w:t>VI. Sabiedrības līdzdalība un komunikācijas aktivitātes</w:t>
            </w:r>
          </w:p>
        </w:tc>
      </w:tr>
      <w:tr w:rsidR="00DD57C9" w:rsidRPr="00DD57C9" w:rsidTr="00DD57C9">
        <w:trPr>
          <w:trHeight w:val="540"/>
          <w:jc w:val="center"/>
        </w:trPr>
        <w:tc>
          <w:tcPr>
            <w:tcW w:w="249"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1.</w:t>
            </w:r>
          </w:p>
        </w:tc>
        <w:tc>
          <w:tcPr>
            <w:tcW w:w="1901"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Plānotās sabiedrības līdzdalības un komunikācijas aktivitātes saistībā ar projektu</w:t>
            </w:r>
          </w:p>
        </w:tc>
        <w:tc>
          <w:tcPr>
            <w:tcW w:w="2849"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jc w:val="both"/>
              <w:rPr>
                <w:rFonts w:ascii="Times New Roman" w:hAnsi="Times New Roman" w:cs="Times New Roman"/>
                <w:sz w:val="24"/>
                <w:szCs w:val="24"/>
              </w:rPr>
            </w:pPr>
          </w:p>
        </w:tc>
      </w:tr>
      <w:tr w:rsidR="00DD57C9" w:rsidRPr="00DD57C9" w:rsidTr="00DD57C9">
        <w:trPr>
          <w:trHeight w:val="330"/>
          <w:jc w:val="center"/>
        </w:trPr>
        <w:tc>
          <w:tcPr>
            <w:tcW w:w="249"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2.</w:t>
            </w:r>
          </w:p>
        </w:tc>
        <w:tc>
          <w:tcPr>
            <w:tcW w:w="1901"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Sabiedrības līdzdalība projekta izstrādē</w:t>
            </w:r>
          </w:p>
        </w:tc>
        <w:tc>
          <w:tcPr>
            <w:tcW w:w="2849" w:type="pct"/>
            <w:tcBorders>
              <w:top w:val="outset" w:sz="6" w:space="0" w:color="414142"/>
              <w:left w:val="outset" w:sz="6" w:space="0" w:color="414142"/>
              <w:bottom w:val="outset" w:sz="6" w:space="0" w:color="414142"/>
              <w:right w:val="outset" w:sz="6" w:space="0" w:color="414142"/>
            </w:tcBorders>
          </w:tcPr>
          <w:p w:rsidR="00DD57C9" w:rsidRPr="00DD57C9" w:rsidRDefault="00DD57C9" w:rsidP="00DD57C9">
            <w:pPr>
              <w:ind w:firstLine="149"/>
              <w:jc w:val="both"/>
              <w:rPr>
                <w:rFonts w:ascii="Times New Roman" w:hAnsi="Times New Roman" w:cs="Times New Roman"/>
                <w:sz w:val="24"/>
                <w:szCs w:val="24"/>
              </w:rPr>
            </w:pPr>
          </w:p>
        </w:tc>
      </w:tr>
      <w:tr w:rsidR="00DD57C9" w:rsidRPr="00DD57C9" w:rsidTr="00DD57C9">
        <w:trPr>
          <w:trHeight w:val="465"/>
          <w:jc w:val="center"/>
        </w:trPr>
        <w:tc>
          <w:tcPr>
            <w:tcW w:w="249"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3.</w:t>
            </w:r>
          </w:p>
        </w:tc>
        <w:tc>
          <w:tcPr>
            <w:tcW w:w="1901"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Sabiedrības līdzdalības rezultāti</w:t>
            </w:r>
          </w:p>
        </w:tc>
        <w:tc>
          <w:tcPr>
            <w:tcW w:w="2849" w:type="pct"/>
            <w:tcBorders>
              <w:top w:val="outset" w:sz="6" w:space="0" w:color="414142"/>
              <w:left w:val="outset" w:sz="6" w:space="0" w:color="414142"/>
              <w:bottom w:val="outset" w:sz="6" w:space="0" w:color="414142"/>
              <w:right w:val="outset" w:sz="6" w:space="0" w:color="414142"/>
            </w:tcBorders>
            <w:shd w:val="clear" w:color="auto" w:fill="auto"/>
          </w:tcPr>
          <w:p w:rsidR="00DD57C9" w:rsidRPr="00DD57C9" w:rsidRDefault="00DD57C9" w:rsidP="00DD57C9">
            <w:pPr>
              <w:ind w:firstLine="291"/>
              <w:jc w:val="both"/>
              <w:rPr>
                <w:rFonts w:ascii="Times New Roman" w:hAnsi="Times New Roman" w:cs="Times New Roman"/>
                <w:sz w:val="24"/>
                <w:szCs w:val="24"/>
              </w:rPr>
            </w:pPr>
          </w:p>
        </w:tc>
      </w:tr>
      <w:tr w:rsidR="00DD57C9" w:rsidRPr="00DD57C9" w:rsidTr="00DD57C9">
        <w:trPr>
          <w:trHeight w:val="465"/>
          <w:jc w:val="center"/>
        </w:trPr>
        <w:tc>
          <w:tcPr>
            <w:tcW w:w="249"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4.</w:t>
            </w:r>
          </w:p>
        </w:tc>
        <w:tc>
          <w:tcPr>
            <w:tcW w:w="1901"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Cita informācija</w:t>
            </w:r>
          </w:p>
        </w:tc>
        <w:tc>
          <w:tcPr>
            <w:tcW w:w="2849"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pStyle w:val="tvhtml"/>
              <w:spacing w:line="315" w:lineRule="atLeast"/>
            </w:pPr>
            <w:r w:rsidRPr="00DD57C9">
              <w:t>Nav</w:t>
            </w:r>
          </w:p>
        </w:tc>
      </w:tr>
    </w:tbl>
    <w:p w:rsidR="00DD57C9" w:rsidRDefault="00DD57C9" w:rsidP="00DD57C9">
      <w:pPr>
        <w:pStyle w:val="tvhtml"/>
        <w:shd w:val="clear" w:color="auto" w:fill="FFFFFF"/>
        <w:spacing w:before="0" w:beforeAutospacing="0" w:after="0" w:afterAutospacing="0" w:line="315" w:lineRule="atLeast"/>
        <w:ind w:firstLine="301"/>
        <w:rPr>
          <w:rFonts w:ascii="Arial" w:hAnsi="Arial" w:cs="Arial"/>
          <w:color w:val="414142"/>
          <w:sz w:val="21"/>
          <w:szCs w:val="21"/>
        </w:rPr>
      </w:pPr>
      <w:r>
        <w:rPr>
          <w:rFonts w:ascii="Arial" w:hAnsi="Arial" w:cs="Arial"/>
          <w:color w:val="414142"/>
          <w:sz w:val="21"/>
          <w:szCs w:val="21"/>
        </w:rPr>
        <w:t> </w:t>
      </w: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6"/>
        <w:gridCol w:w="3470"/>
        <w:gridCol w:w="5205"/>
      </w:tblGrid>
      <w:tr w:rsidR="00DD57C9" w:rsidRPr="00DD57C9" w:rsidTr="00DD57C9">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DD57C9" w:rsidRPr="00DD57C9" w:rsidRDefault="00DD57C9" w:rsidP="00DD57C9">
            <w:pPr>
              <w:pStyle w:val="tvhtml"/>
              <w:spacing w:line="315" w:lineRule="atLeast"/>
              <w:jc w:val="center"/>
              <w:rPr>
                <w:b/>
                <w:bCs/>
              </w:rPr>
            </w:pPr>
            <w:r w:rsidRPr="00DD57C9">
              <w:rPr>
                <w:b/>
                <w:bCs/>
              </w:rPr>
              <w:t>VII. Tiesību akta projekta izpildes nodrošināšana un tās ietekme uz institūcijām</w:t>
            </w:r>
          </w:p>
        </w:tc>
      </w:tr>
      <w:tr w:rsidR="00DD57C9" w:rsidRPr="00DD57C9" w:rsidTr="00DD57C9">
        <w:trPr>
          <w:trHeight w:val="420"/>
          <w:jc w:val="center"/>
        </w:trPr>
        <w:tc>
          <w:tcPr>
            <w:tcW w:w="2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1.</w:t>
            </w:r>
          </w:p>
        </w:tc>
        <w:tc>
          <w:tcPr>
            <w:tcW w:w="190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jc w:val="both"/>
              <w:rPr>
                <w:rFonts w:ascii="Times New Roman" w:hAnsi="Times New Roman" w:cs="Times New Roman"/>
                <w:sz w:val="24"/>
                <w:szCs w:val="24"/>
              </w:rPr>
            </w:pPr>
            <w:r w:rsidRPr="00DD57C9">
              <w:rPr>
                <w:rFonts w:ascii="Times New Roman" w:hAnsi="Times New Roman" w:cs="Times New Roman"/>
                <w:sz w:val="24"/>
                <w:szCs w:val="24"/>
              </w:rPr>
              <w:t>Rīgas Stradiņa universitāte</w:t>
            </w:r>
            <w:r>
              <w:rPr>
                <w:rFonts w:ascii="Times New Roman" w:hAnsi="Times New Roman" w:cs="Times New Roman"/>
                <w:sz w:val="24"/>
                <w:szCs w:val="24"/>
              </w:rPr>
              <w:t>,</w:t>
            </w:r>
            <w:r w:rsidRPr="00DD57C9">
              <w:rPr>
                <w:rFonts w:ascii="Times New Roman" w:hAnsi="Times New Roman" w:cs="Times New Roman"/>
                <w:sz w:val="24"/>
                <w:szCs w:val="24"/>
              </w:rPr>
              <w:t xml:space="preserve"> Latvijas Universitāte</w:t>
            </w:r>
            <w:r>
              <w:rPr>
                <w:rFonts w:ascii="Times New Roman" w:hAnsi="Times New Roman" w:cs="Times New Roman"/>
                <w:sz w:val="24"/>
                <w:szCs w:val="24"/>
              </w:rPr>
              <w:t xml:space="preserve"> un Veselības ministrija</w:t>
            </w:r>
            <w:r w:rsidRPr="00DD57C9">
              <w:rPr>
                <w:rFonts w:ascii="Times New Roman" w:hAnsi="Times New Roman" w:cs="Times New Roman"/>
                <w:sz w:val="24"/>
                <w:szCs w:val="24"/>
              </w:rPr>
              <w:t>.</w:t>
            </w:r>
          </w:p>
        </w:tc>
      </w:tr>
      <w:tr w:rsidR="00DD57C9" w:rsidRPr="00DD57C9" w:rsidTr="00DD57C9">
        <w:trPr>
          <w:trHeight w:val="450"/>
          <w:jc w:val="center"/>
        </w:trPr>
        <w:tc>
          <w:tcPr>
            <w:tcW w:w="2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2.</w:t>
            </w:r>
          </w:p>
        </w:tc>
        <w:tc>
          <w:tcPr>
            <w:tcW w:w="190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Projekta izpildes ietekme uz pārvaldes funkcijām un institucionālo struktūru.</w:t>
            </w:r>
          </w:p>
          <w:p w:rsidR="00DD57C9" w:rsidRPr="00DD57C9" w:rsidRDefault="00DD57C9" w:rsidP="00DD57C9">
            <w:pPr>
              <w:pStyle w:val="tvhtml"/>
              <w:spacing w:line="315" w:lineRule="atLeast"/>
            </w:pPr>
            <w:r w:rsidRPr="00DD57C9">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ind w:firstLine="185"/>
              <w:jc w:val="both"/>
              <w:rPr>
                <w:rFonts w:ascii="Times New Roman" w:hAnsi="Times New Roman" w:cs="Times New Roman"/>
                <w:sz w:val="24"/>
                <w:szCs w:val="24"/>
              </w:rPr>
            </w:pPr>
            <w:r w:rsidRPr="00DD57C9">
              <w:rPr>
                <w:rFonts w:ascii="Times New Roman" w:hAnsi="Times New Roman" w:cs="Times New Roman"/>
                <w:sz w:val="24"/>
                <w:szCs w:val="24"/>
              </w:rPr>
              <w:t>Noteikumu projekta izpildei nav nepieciešams paplašināt institūciju funkcijas un uzdevumus.</w:t>
            </w:r>
          </w:p>
          <w:p w:rsidR="00DD57C9" w:rsidRPr="00DD57C9" w:rsidRDefault="00DD57C9" w:rsidP="00DD57C9">
            <w:pPr>
              <w:ind w:firstLine="185"/>
              <w:jc w:val="both"/>
              <w:rPr>
                <w:rFonts w:ascii="Times New Roman" w:hAnsi="Times New Roman" w:cs="Times New Roman"/>
                <w:sz w:val="24"/>
                <w:szCs w:val="24"/>
              </w:rPr>
            </w:pPr>
          </w:p>
          <w:p w:rsidR="00DD57C9" w:rsidRPr="00DD57C9" w:rsidRDefault="00DD57C9" w:rsidP="00DD57C9">
            <w:pPr>
              <w:ind w:firstLine="185"/>
              <w:jc w:val="both"/>
              <w:rPr>
                <w:rFonts w:ascii="Times New Roman" w:hAnsi="Times New Roman" w:cs="Times New Roman"/>
                <w:sz w:val="24"/>
                <w:szCs w:val="24"/>
              </w:rPr>
            </w:pPr>
          </w:p>
          <w:p w:rsidR="00DD57C9" w:rsidRPr="00DD57C9" w:rsidRDefault="00DD57C9" w:rsidP="00DD57C9">
            <w:pPr>
              <w:ind w:firstLine="185"/>
              <w:jc w:val="both"/>
              <w:rPr>
                <w:rFonts w:ascii="Times New Roman" w:hAnsi="Times New Roman" w:cs="Times New Roman"/>
                <w:sz w:val="24"/>
                <w:szCs w:val="24"/>
              </w:rPr>
            </w:pPr>
            <w:r w:rsidRPr="00DD57C9">
              <w:rPr>
                <w:rFonts w:ascii="Times New Roman" w:hAnsi="Times New Roman" w:cs="Times New Roman"/>
                <w:sz w:val="24"/>
                <w:szCs w:val="24"/>
              </w:rPr>
              <w:t>Noteikumu projekts tiks īstenots esošu institūciju un cilvēkresursu ietvaros.</w:t>
            </w:r>
          </w:p>
        </w:tc>
      </w:tr>
      <w:tr w:rsidR="00DD57C9" w:rsidRPr="00DD57C9" w:rsidTr="00DD57C9">
        <w:trPr>
          <w:trHeight w:val="390"/>
          <w:jc w:val="center"/>
        </w:trPr>
        <w:tc>
          <w:tcPr>
            <w:tcW w:w="2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3.</w:t>
            </w:r>
          </w:p>
        </w:tc>
        <w:tc>
          <w:tcPr>
            <w:tcW w:w="190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rPr>
                <w:rFonts w:ascii="Times New Roman" w:hAnsi="Times New Roman" w:cs="Times New Roman"/>
                <w:sz w:val="24"/>
                <w:szCs w:val="24"/>
              </w:rPr>
            </w:pPr>
            <w:r w:rsidRPr="00DD57C9">
              <w:rPr>
                <w:rFonts w:ascii="Times New Roman" w:hAnsi="Times New Roman" w:cs="Times New Roman"/>
                <w:sz w:val="24"/>
                <w:szCs w:val="24"/>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DD57C9" w:rsidRPr="00DD57C9" w:rsidRDefault="00DD57C9" w:rsidP="00DD57C9">
            <w:pPr>
              <w:pStyle w:val="tvhtml"/>
              <w:spacing w:line="315" w:lineRule="atLeast"/>
            </w:pPr>
            <w:r w:rsidRPr="00DD57C9">
              <w:t>Nav</w:t>
            </w:r>
          </w:p>
        </w:tc>
      </w:tr>
    </w:tbl>
    <w:p w:rsidR="00DD57C9" w:rsidRDefault="00DD57C9" w:rsidP="00DD57C9">
      <w:pPr>
        <w:jc w:val="both"/>
        <w:rPr>
          <w:b/>
        </w:rPr>
      </w:pPr>
    </w:p>
    <w:p w:rsidR="00DD57C9" w:rsidRPr="00DD57C9" w:rsidRDefault="00DD57C9" w:rsidP="00DD57C9">
      <w:pPr>
        <w:jc w:val="both"/>
        <w:rPr>
          <w:rFonts w:ascii="Times New Roman" w:hAnsi="Times New Roman" w:cs="Times New Roman"/>
          <w:sz w:val="24"/>
          <w:szCs w:val="24"/>
        </w:rPr>
      </w:pPr>
      <w:r w:rsidRPr="00DD57C9">
        <w:rPr>
          <w:rFonts w:ascii="Times New Roman" w:hAnsi="Times New Roman" w:cs="Times New Roman"/>
          <w:sz w:val="24"/>
          <w:szCs w:val="24"/>
        </w:rPr>
        <w:t>Anotācijas II, IV un V sadaļa – projekts šīs jomas neskar.</w:t>
      </w:r>
    </w:p>
    <w:p w:rsidR="00C25B49" w:rsidRPr="00DD57C9" w:rsidRDefault="00C25B49" w:rsidP="00894C55">
      <w:pPr>
        <w:spacing w:after="0" w:line="240" w:lineRule="auto"/>
        <w:rPr>
          <w:rFonts w:ascii="Times New Roman" w:hAnsi="Times New Roman" w:cs="Times New Roman"/>
          <w:sz w:val="24"/>
          <w:szCs w:val="24"/>
        </w:rPr>
      </w:pPr>
    </w:p>
    <w:p w:rsidR="005871D8" w:rsidRPr="00894C55" w:rsidRDefault="005871D8" w:rsidP="00894C55">
      <w:pPr>
        <w:spacing w:after="0" w:line="240" w:lineRule="auto"/>
        <w:rPr>
          <w:rFonts w:ascii="Times New Roman" w:hAnsi="Times New Roman" w:cs="Times New Roman"/>
          <w:sz w:val="28"/>
          <w:szCs w:val="28"/>
        </w:rPr>
      </w:pPr>
    </w:p>
    <w:p w:rsidR="005871D8" w:rsidRPr="00DD57C9" w:rsidRDefault="005871D8" w:rsidP="00DD57C9">
      <w:pPr>
        <w:tabs>
          <w:tab w:val="left" w:pos="7230"/>
        </w:tabs>
        <w:spacing w:after="360" w:line="240" w:lineRule="auto"/>
        <w:ind w:right="-765"/>
        <w:rPr>
          <w:rFonts w:ascii="Times New Roman" w:eastAsia="Calibri" w:hAnsi="Times New Roman" w:cs="Times New Roman"/>
          <w:sz w:val="24"/>
          <w:szCs w:val="24"/>
        </w:rPr>
      </w:pPr>
      <w:r w:rsidRPr="00DD57C9">
        <w:rPr>
          <w:rFonts w:ascii="Times New Roman" w:eastAsia="Calibri" w:hAnsi="Times New Roman" w:cs="Times New Roman"/>
          <w:sz w:val="24"/>
          <w:szCs w:val="24"/>
        </w:rPr>
        <w:t>Veselības ministre</w:t>
      </w:r>
      <w:r w:rsidRPr="00DD57C9">
        <w:rPr>
          <w:rFonts w:ascii="Times New Roman" w:eastAsia="Calibri" w:hAnsi="Times New Roman" w:cs="Times New Roman"/>
          <w:sz w:val="24"/>
          <w:szCs w:val="24"/>
        </w:rPr>
        <w:tab/>
      </w:r>
      <w:r w:rsidR="00DD57C9">
        <w:rPr>
          <w:rFonts w:ascii="Times New Roman" w:eastAsia="Calibri" w:hAnsi="Times New Roman" w:cs="Times New Roman"/>
          <w:sz w:val="24"/>
          <w:szCs w:val="24"/>
        </w:rPr>
        <w:tab/>
      </w:r>
      <w:r w:rsidRPr="00DD57C9">
        <w:rPr>
          <w:rFonts w:ascii="Times New Roman" w:eastAsia="Calibri" w:hAnsi="Times New Roman" w:cs="Times New Roman"/>
          <w:sz w:val="24"/>
          <w:szCs w:val="24"/>
        </w:rPr>
        <w:t xml:space="preserve">Anda </w:t>
      </w:r>
      <w:proofErr w:type="spellStart"/>
      <w:r w:rsidRPr="00DD57C9">
        <w:rPr>
          <w:rFonts w:ascii="Times New Roman" w:eastAsia="Calibri" w:hAnsi="Times New Roman" w:cs="Times New Roman"/>
          <w:sz w:val="24"/>
          <w:szCs w:val="24"/>
        </w:rPr>
        <w:t>Čakša</w:t>
      </w:r>
      <w:proofErr w:type="spellEnd"/>
      <w:r w:rsidRPr="00DD57C9">
        <w:rPr>
          <w:rFonts w:ascii="Times New Roman" w:eastAsia="Calibri" w:hAnsi="Times New Roman" w:cs="Times New Roman"/>
          <w:sz w:val="24"/>
          <w:szCs w:val="24"/>
        </w:rPr>
        <w:tab/>
      </w:r>
    </w:p>
    <w:p w:rsidR="005871D8" w:rsidRPr="00DD57C9" w:rsidRDefault="005871D8" w:rsidP="00DD57C9">
      <w:pPr>
        <w:tabs>
          <w:tab w:val="right" w:pos="9072"/>
        </w:tabs>
        <w:spacing w:after="360" w:line="240" w:lineRule="auto"/>
        <w:rPr>
          <w:rFonts w:ascii="Times New Roman" w:eastAsia="Calibri" w:hAnsi="Times New Roman" w:cs="Times New Roman"/>
          <w:sz w:val="24"/>
          <w:szCs w:val="24"/>
        </w:rPr>
      </w:pPr>
      <w:r w:rsidRPr="00DD57C9">
        <w:rPr>
          <w:rFonts w:ascii="Times New Roman" w:eastAsia="Calibri" w:hAnsi="Times New Roman" w:cs="Times New Roman"/>
          <w:sz w:val="24"/>
          <w:szCs w:val="24"/>
        </w:rPr>
        <w:t xml:space="preserve">Vīza: Valsts sekretārs                                                                     </w:t>
      </w:r>
      <w:r w:rsidR="00DD57C9">
        <w:rPr>
          <w:rFonts w:ascii="Times New Roman" w:eastAsia="Calibri" w:hAnsi="Times New Roman" w:cs="Times New Roman"/>
          <w:sz w:val="24"/>
          <w:szCs w:val="24"/>
        </w:rPr>
        <w:tab/>
      </w:r>
      <w:r w:rsidRPr="00DD57C9">
        <w:rPr>
          <w:rFonts w:ascii="Times New Roman" w:eastAsia="Calibri" w:hAnsi="Times New Roman" w:cs="Times New Roman"/>
          <w:sz w:val="24"/>
          <w:szCs w:val="24"/>
        </w:rPr>
        <w:t xml:space="preserve">Kārlis </w:t>
      </w:r>
      <w:proofErr w:type="spellStart"/>
      <w:r w:rsidRPr="00DD57C9">
        <w:rPr>
          <w:rFonts w:ascii="Times New Roman" w:eastAsia="Calibri" w:hAnsi="Times New Roman" w:cs="Times New Roman"/>
          <w:sz w:val="24"/>
          <w:szCs w:val="24"/>
        </w:rPr>
        <w:t>Ketners</w:t>
      </w:r>
      <w:proofErr w:type="spellEnd"/>
      <w:r w:rsidRPr="00DD57C9">
        <w:rPr>
          <w:rFonts w:ascii="Times New Roman" w:eastAsia="Calibri" w:hAnsi="Times New Roman" w:cs="Times New Roman"/>
          <w:sz w:val="24"/>
          <w:szCs w:val="24"/>
        </w:rPr>
        <w:t xml:space="preserve">   </w:t>
      </w:r>
    </w:p>
    <w:p w:rsidR="005871D8" w:rsidRPr="00DD57C9" w:rsidRDefault="005871D8" w:rsidP="005871D8">
      <w:pPr>
        <w:tabs>
          <w:tab w:val="right" w:pos="9072"/>
        </w:tabs>
        <w:spacing w:after="0" w:line="240" w:lineRule="auto"/>
        <w:ind w:right="-766"/>
        <w:rPr>
          <w:rFonts w:ascii="Times New Roman" w:eastAsia="Calibri" w:hAnsi="Times New Roman" w:cs="Times New Roman"/>
          <w:sz w:val="24"/>
          <w:szCs w:val="24"/>
        </w:rPr>
      </w:pPr>
    </w:p>
    <w:p w:rsidR="005871D8" w:rsidRDefault="005871D8" w:rsidP="005871D8">
      <w:pPr>
        <w:tabs>
          <w:tab w:val="right" w:pos="9072"/>
        </w:tabs>
        <w:spacing w:after="0" w:line="240" w:lineRule="auto"/>
        <w:ind w:right="-766"/>
        <w:rPr>
          <w:rFonts w:ascii="Times New Roman" w:eastAsia="Calibri" w:hAnsi="Times New Roman" w:cs="Times New Roman"/>
          <w:sz w:val="28"/>
          <w:szCs w:val="28"/>
        </w:rPr>
      </w:pPr>
    </w:p>
    <w:p w:rsidR="005871D8" w:rsidRPr="005871D8" w:rsidRDefault="005871D8" w:rsidP="005871D8">
      <w:pPr>
        <w:tabs>
          <w:tab w:val="right" w:pos="9072"/>
        </w:tabs>
        <w:spacing w:after="0" w:line="240" w:lineRule="auto"/>
        <w:ind w:right="-766"/>
        <w:rPr>
          <w:rFonts w:ascii="Times New Roman" w:eastAsia="Calibri" w:hAnsi="Times New Roman" w:cs="Times New Roman"/>
          <w:sz w:val="28"/>
          <w:szCs w:val="28"/>
        </w:rPr>
      </w:pPr>
    </w:p>
    <w:p w:rsidR="005871D8" w:rsidRPr="005871D8" w:rsidRDefault="00DD57C9" w:rsidP="005871D8">
      <w:pPr>
        <w:tabs>
          <w:tab w:val="left" w:pos="6237"/>
        </w:tabs>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Roga</w:t>
      </w:r>
      <w:r w:rsidR="005871D8" w:rsidRPr="005871D8">
        <w:rPr>
          <w:rFonts w:ascii="Times New Roman" w:eastAsia="Calibri" w:hAnsi="Times New Roman" w:cs="Times New Roman"/>
          <w:sz w:val="24"/>
          <w:szCs w:val="28"/>
        </w:rPr>
        <w:t xml:space="preserve">, </w:t>
      </w:r>
      <w:r w:rsidR="005871D8" w:rsidRPr="005871D8">
        <w:rPr>
          <w:rFonts w:ascii="Times New Roman" w:eastAsia="Times New Roman" w:hAnsi="Times New Roman" w:cs="Times New Roman"/>
          <w:sz w:val="24"/>
          <w:szCs w:val="24"/>
        </w:rPr>
        <w:t>67876</w:t>
      </w:r>
      <w:r>
        <w:rPr>
          <w:rFonts w:ascii="Times New Roman" w:eastAsia="Times New Roman" w:hAnsi="Times New Roman" w:cs="Times New Roman"/>
          <w:sz w:val="24"/>
          <w:szCs w:val="24"/>
        </w:rPr>
        <w:t>093</w:t>
      </w:r>
    </w:p>
    <w:p w:rsidR="00894C55" w:rsidRPr="00894C55" w:rsidRDefault="00DD57C9" w:rsidP="00DD57C9">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dace.roga@vm.gov.lv</w:t>
      </w:r>
    </w:p>
    <w:sectPr w:rsidR="00894C55" w:rsidRPr="00894C55" w:rsidSect="005722BE">
      <w:headerReference w:type="default" r:id="rId6"/>
      <w:footerReference w:type="defaul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7C9" w:rsidRDefault="00DD57C9" w:rsidP="00894C55">
      <w:pPr>
        <w:spacing w:after="0" w:line="240" w:lineRule="auto"/>
      </w:pPr>
      <w:r>
        <w:separator/>
      </w:r>
    </w:p>
  </w:endnote>
  <w:endnote w:type="continuationSeparator" w:id="0">
    <w:p w:rsidR="00DD57C9" w:rsidRDefault="00DD57C9" w:rsidP="00894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C9" w:rsidRPr="00640DAB" w:rsidRDefault="00DD57C9" w:rsidP="00640DAB">
    <w:pPr>
      <w:pStyle w:val="Footer"/>
    </w:pPr>
    <w:r>
      <w:rPr>
        <w:rFonts w:ascii="Times New Roman" w:hAnsi="Times New Roman" w:cs="Times New Roman"/>
        <w:sz w:val="20"/>
        <w:szCs w:val="20"/>
      </w:rPr>
      <w:t>V</w:t>
    </w:r>
    <w:r w:rsidRPr="005E5000">
      <w:rPr>
        <w:rFonts w:ascii="Times New Roman" w:hAnsi="Times New Roman" w:cs="Times New Roman"/>
        <w:sz w:val="20"/>
        <w:szCs w:val="20"/>
      </w:rPr>
      <w:t>Manot_</w:t>
    </w:r>
    <w:r>
      <w:rPr>
        <w:rFonts w:ascii="Times New Roman" w:hAnsi="Times New Roman" w:cs="Times New Roman"/>
        <w:sz w:val="20"/>
        <w:szCs w:val="20"/>
      </w:rPr>
      <w:t>1710</w:t>
    </w:r>
    <w:r w:rsidRPr="005E5000">
      <w:rPr>
        <w:rFonts w:ascii="Times New Roman" w:hAnsi="Times New Roman" w:cs="Times New Roman"/>
        <w:sz w:val="20"/>
        <w:szCs w:val="20"/>
      </w:rPr>
      <w:t>16_</w:t>
    </w:r>
    <w:r>
      <w:rPr>
        <w:rFonts w:ascii="Times New Roman" w:hAnsi="Times New Roman" w:cs="Times New Roman"/>
        <w:sz w:val="20"/>
        <w:szCs w:val="20"/>
      </w:rPr>
      <w:t>groz_685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C9" w:rsidRDefault="00DD57C9">
    <w:pPr>
      <w:pStyle w:val="Footer"/>
      <w:rPr>
        <w:rFonts w:ascii="Times New Roman" w:hAnsi="Times New Roman" w:cs="Times New Roman"/>
        <w:sz w:val="20"/>
        <w:szCs w:val="20"/>
      </w:rPr>
    </w:pPr>
    <w:r>
      <w:rPr>
        <w:rFonts w:ascii="Times New Roman" w:hAnsi="Times New Roman" w:cs="Times New Roman"/>
        <w:sz w:val="20"/>
        <w:szCs w:val="20"/>
      </w:rPr>
      <w:t>V</w:t>
    </w:r>
    <w:r w:rsidRPr="005E5000">
      <w:rPr>
        <w:rFonts w:ascii="Times New Roman" w:hAnsi="Times New Roman" w:cs="Times New Roman"/>
        <w:sz w:val="20"/>
        <w:szCs w:val="20"/>
      </w:rPr>
      <w:t>Manot_</w:t>
    </w:r>
    <w:r>
      <w:rPr>
        <w:rFonts w:ascii="Times New Roman" w:hAnsi="Times New Roman" w:cs="Times New Roman"/>
        <w:sz w:val="20"/>
        <w:szCs w:val="20"/>
      </w:rPr>
      <w:t>1710</w:t>
    </w:r>
    <w:r w:rsidRPr="005E5000">
      <w:rPr>
        <w:rFonts w:ascii="Times New Roman" w:hAnsi="Times New Roman" w:cs="Times New Roman"/>
        <w:sz w:val="20"/>
        <w:szCs w:val="20"/>
      </w:rPr>
      <w:t>16_</w:t>
    </w:r>
    <w:r>
      <w:rPr>
        <w:rFonts w:ascii="Times New Roman" w:hAnsi="Times New Roman" w:cs="Times New Roman"/>
        <w:sz w:val="20"/>
        <w:szCs w:val="20"/>
      </w:rPr>
      <w:t>groz_685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7C9" w:rsidRDefault="00DD57C9" w:rsidP="00894C55">
      <w:pPr>
        <w:spacing w:after="0" w:line="240" w:lineRule="auto"/>
      </w:pPr>
      <w:r>
        <w:separator/>
      </w:r>
    </w:p>
  </w:footnote>
  <w:footnote w:type="continuationSeparator" w:id="0">
    <w:p w:rsidR="00DD57C9" w:rsidRDefault="00DD57C9" w:rsidP="00894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856943"/>
      <w:docPartObj>
        <w:docPartGallery w:val="Page Numbers (Top of Page)"/>
        <w:docPartUnique/>
      </w:docPartObj>
    </w:sdtPr>
    <w:sdtEndPr>
      <w:rPr>
        <w:rFonts w:ascii="Times New Roman" w:hAnsi="Times New Roman" w:cs="Times New Roman"/>
        <w:noProof/>
        <w:sz w:val="24"/>
        <w:szCs w:val="20"/>
      </w:rPr>
    </w:sdtEndPr>
    <w:sdtContent>
      <w:p w:rsidR="00DD57C9" w:rsidRPr="00C25B49" w:rsidRDefault="007729DC">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DD57C9"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DD199C">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rsids>
    <w:rsidRoot w:val="00894C55"/>
    <w:rsid w:val="000E3632"/>
    <w:rsid w:val="00122E58"/>
    <w:rsid w:val="00243426"/>
    <w:rsid w:val="003B0BF9"/>
    <w:rsid w:val="003E0791"/>
    <w:rsid w:val="003F28AC"/>
    <w:rsid w:val="004454FE"/>
    <w:rsid w:val="00471F27"/>
    <w:rsid w:val="0050178F"/>
    <w:rsid w:val="005722BE"/>
    <w:rsid w:val="005871D8"/>
    <w:rsid w:val="00640DAB"/>
    <w:rsid w:val="006E1081"/>
    <w:rsid w:val="00720585"/>
    <w:rsid w:val="007729DC"/>
    <w:rsid w:val="00773AF6"/>
    <w:rsid w:val="00816C11"/>
    <w:rsid w:val="00894C55"/>
    <w:rsid w:val="00A2509D"/>
    <w:rsid w:val="00AE5567"/>
    <w:rsid w:val="00B2165C"/>
    <w:rsid w:val="00B41DEB"/>
    <w:rsid w:val="00BC2C33"/>
    <w:rsid w:val="00BD4425"/>
    <w:rsid w:val="00BF59F6"/>
    <w:rsid w:val="00C25B49"/>
    <w:rsid w:val="00C80902"/>
    <w:rsid w:val="00CE5657"/>
    <w:rsid w:val="00D46C6F"/>
    <w:rsid w:val="00D74CEB"/>
    <w:rsid w:val="00DD199C"/>
    <w:rsid w:val="00DD57C9"/>
    <w:rsid w:val="00E90C01"/>
    <w:rsid w:val="00EA486E"/>
    <w:rsid w:val="00F10F38"/>
    <w:rsid w:val="00F32503"/>
    <w:rsid w:val="00F57B0C"/>
    <w:rsid w:val="00F87FC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3417</Words>
  <Characters>1949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2011.gada 30.augusta noteikumos Nr.685 "Rezidentu sadales un rezidentūras finansēšanas noteikumi"”</vt:lpstr>
    </vt:vector>
  </TitlesOfParts>
  <Company>Veselības ministrija</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2011.gada 30.augusta noteikumos Nr.685 "Rezidentu sadales un rezidentūras finansēšanas noteikumi"”</dc:title>
  <dc:subject>Anotācija</dc:subject>
  <dc:creator>Dace Roga</dc:creator>
  <dc:description>67876093, dace.roga@vm.gov.lv</dc:description>
  <cp:lastModifiedBy>droga</cp:lastModifiedBy>
  <cp:revision>7</cp:revision>
  <dcterms:created xsi:type="dcterms:W3CDTF">2016-10-11T06:13:00Z</dcterms:created>
  <dcterms:modified xsi:type="dcterms:W3CDTF">2016-10-18T08:18:00Z</dcterms:modified>
</cp:coreProperties>
</file>