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F92CC7" w:rsidRDefault="00F22689"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Pr>
          <w:rFonts w:ascii="Times New Roman" w:eastAsia="Times New Roman" w:hAnsi="Times New Roman" w:cs="Times New Roman"/>
          <w:b/>
          <w:bCs/>
          <w:color w:val="414142"/>
          <w:sz w:val="28"/>
          <w:szCs w:val="24"/>
          <w:lang w:eastAsia="lv-LV"/>
        </w:rPr>
        <w:t xml:space="preserve">Ministru kabineta noteikumu </w:t>
      </w:r>
      <w:r w:rsidR="00894C55" w:rsidRPr="00F92CC7">
        <w:rPr>
          <w:rFonts w:ascii="Times New Roman" w:eastAsia="Times New Roman" w:hAnsi="Times New Roman" w:cs="Times New Roman"/>
          <w:b/>
          <w:bCs/>
          <w:color w:val="414142"/>
          <w:sz w:val="28"/>
          <w:szCs w:val="24"/>
          <w:lang w:eastAsia="lv-LV"/>
        </w:rPr>
        <w:t>projekta</w:t>
      </w:r>
      <w:r>
        <w:rPr>
          <w:rFonts w:ascii="Times New Roman" w:eastAsia="Times New Roman" w:hAnsi="Times New Roman" w:cs="Times New Roman"/>
          <w:b/>
          <w:bCs/>
          <w:color w:val="414142"/>
          <w:sz w:val="28"/>
          <w:szCs w:val="24"/>
          <w:lang w:eastAsia="lv-LV"/>
        </w:rPr>
        <w:t xml:space="preserve"> “</w:t>
      </w:r>
      <w:r w:rsidR="002A4C68" w:rsidRPr="002A4C68">
        <w:rPr>
          <w:rFonts w:ascii="Times New Roman" w:eastAsia="Times New Roman" w:hAnsi="Times New Roman" w:cs="Times New Roman"/>
          <w:b/>
          <w:bCs/>
          <w:color w:val="414142"/>
          <w:sz w:val="28"/>
          <w:szCs w:val="24"/>
          <w:lang w:eastAsia="lv-LV"/>
        </w:rPr>
        <w:t>Kārtībā, kādā Latvijā kontrolējamās II un III saraksta narkotiskās vielas, psihotropās vielas un prekursorus izmanto rūpniecībā</w:t>
      </w:r>
      <w:bookmarkStart w:id="0" w:name="_GoBack"/>
      <w:bookmarkEnd w:id="0"/>
      <w:r>
        <w:rPr>
          <w:rFonts w:ascii="Times New Roman" w:eastAsia="Times New Roman" w:hAnsi="Times New Roman" w:cs="Times New Roman"/>
          <w:b/>
          <w:bCs/>
          <w:color w:val="414142"/>
          <w:sz w:val="28"/>
          <w:szCs w:val="24"/>
          <w:lang w:eastAsia="lv-LV"/>
        </w:rPr>
        <w:t xml:space="preserve">” </w:t>
      </w:r>
      <w:r w:rsidR="00894C55" w:rsidRPr="00F92CC7">
        <w:rPr>
          <w:rFonts w:ascii="Times New Roman" w:eastAsia="Times New Roman" w:hAnsi="Times New Roman" w:cs="Times New Roman"/>
          <w:b/>
          <w:bCs/>
          <w:color w:val="414142"/>
          <w:sz w:val="28"/>
          <w:szCs w:val="24"/>
          <w:lang w:eastAsia="lv-LV"/>
        </w:rPr>
        <w:t>sākotnējās ietekmes novērtējuma ziņojums (anotācija)</w:t>
      </w:r>
    </w:p>
    <w:p w:rsidR="00E5323B" w:rsidRPr="00F92CC7"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F92CC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Tiesību akta projekta anotācijas kopsavilkums</w:t>
            </w:r>
          </w:p>
        </w:tc>
      </w:tr>
      <w:tr w:rsidR="00E5323B" w:rsidRPr="00F92CC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E5323B" w:rsidRPr="00E545B2" w:rsidRDefault="008B32D8"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Projekta mērķis ir </w:t>
            </w:r>
            <w:r w:rsidR="00CA53CD">
              <w:rPr>
                <w:rFonts w:ascii="Times New Roman" w:eastAsia="Times New Roman" w:hAnsi="Times New Roman" w:cs="Times New Roman"/>
                <w:iCs/>
                <w:color w:val="000000" w:themeColor="text1"/>
                <w:sz w:val="24"/>
                <w:szCs w:val="24"/>
                <w:lang w:eastAsia="lv-LV"/>
              </w:rPr>
              <w:t xml:space="preserve">noteikt kārtību, kādā </w:t>
            </w:r>
            <w:r w:rsidRPr="0010700A">
              <w:rPr>
                <w:rFonts w:ascii="Times New Roman" w:eastAsia="Times New Roman" w:hAnsi="Times New Roman" w:cs="Times New Roman"/>
                <w:iCs/>
                <w:color w:val="000000" w:themeColor="text1"/>
                <w:sz w:val="24"/>
                <w:szCs w:val="24"/>
                <w:lang w:eastAsia="lv-LV"/>
              </w:rPr>
              <w:t>Latvijas komersanti savā komercdarbībā rūpnieciskiem mērķiem</w:t>
            </w:r>
            <w:r w:rsidR="00CA53CD">
              <w:rPr>
                <w:rFonts w:ascii="Times New Roman" w:eastAsia="Times New Roman" w:hAnsi="Times New Roman" w:cs="Times New Roman"/>
                <w:iCs/>
                <w:color w:val="000000" w:themeColor="text1"/>
                <w:sz w:val="24"/>
                <w:szCs w:val="24"/>
                <w:lang w:eastAsia="lv-LV"/>
              </w:rPr>
              <w:t xml:space="preserve"> var</w:t>
            </w:r>
            <w:r w:rsidRPr="0010700A">
              <w:rPr>
                <w:rFonts w:ascii="Times New Roman" w:eastAsia="Times New Roman" w:hAnsi="Times New Roman" w:cs="Times New Roman"/>
                <w:iCs/>
                <w:color w:val="000000" w:themeColor="text1"/>
                <w:sz w:val="24"/>
                <w:szCs w:val="24"/>
                <w:lang w:eastAsia="lv-LV"/>
              </w:rPr>
              <w:t xml:space="preserve"> izmantot šobrīd Latvijā kontrolējamo narkotisko </w:t>
            </w:r>
            <w:r w:rsidR="008E4D82">
              <w:rPr>
                <w:rFonts w:ascii="Times New Roman" w:eastAsia="Times New Roman" w:hAnsi="Times New Roman" w:cs="Times New Roman"/>
                <w:iCs/>
                <w:color w:val="000000" w:themeColor="text1"/>
                <w:sz w:val="24"/>
                <w:szCs w:val="24"/>
                <w:lang w:eastAsia="lv-LV"/>
              </w:rPr>
              <w:t>un</w:t>
            </w:r>
            <w:r w:rsidRPr="0010700A">
              <w:rPr>
                <w:rFonts w:ascii="Times New Roman" w:eastAsia="Times New Roman" w:hAnsi="Times New Roman" w:cs="Times New Roman"/>
                <w:iCs/>
                <w:color w:val="000000" w:themeColor="text1"/>
                <w:sz w:val="24"/>
                <w:szCs w:val="24"/>
                <w:lang w:eastAsia="lv-LV"/>
              </w:rPr>
              <w:t xml:space="preserve"> ps</w:t>
            </w:r>
            <w:r>
              <w:rPr>
                <w:rFonts w:ascii="Times New Roman" w:eastAsia="Times New Roman" w:hAnsi="Times New Roman" w:cs="Times New Roman"/>
                <w:iCs/>
                <w:color w:val="000000" w:themeColor="text1"/>
                <w:sz w:val="24"/>
                <w:szCs w:val="24"/>
                <w:lang w:eastAsia="lv-LV"/>
              </w:rPr>
              <w:t>ihotropo vielu II un III</w:t>
            </w:r>
            <w:r w:rsidRPr="0010700A">
              <w:rPr>
                <w:rFonts w:ascii="Times New Roman" w:eastAsia="Times New Roman" w:hAnsi="Times New Roman" w:cs="Times New Roman"/>
                <w:iCs/>
                <w:color w:val="000000" w:themeColor="text1"/>
                <w:sz w:val="24"/>
                <w:szCs w:val="24"/>
                <w:lang w:eastAsia="lv-LV"/>
              </w:rPr>
              <w:t xml:space="preserve"> s</w:t>
            </w:r>
            <w:r>
              <w:rPr>
                <w:rFonts w:ascii="Times New Roman" w:eastAsia="Times New Roman" w:hAnsi="Times New Roman" w:cs="Times New Roman"/>
                <w:iCs/>
                <w:color w:val="000000" w:themeColor="text1"/>
                <w:sz w:val="24"/>
                <w:szCs w:val="24"/>
                <w:lang w:eastAsia="lv-LV"/>
              </w:rPr>
              <w:t>arakstā iekļautās</w:t>
            </w:r>
            <w:r w:rsidRPr="0010700A">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 xml:space="preserve">vielas vai  šo vielu atvasinājumus, izomērus, </w:t>
            </w:r>
            <w:proofErr w:type="spellStart"/>
            <w:r>
              <w:rPr>
                <w:rFonts w:ascii="Times New Roman" w:eastAsia="Times New Roman" w:hAnsi="Times New Roman" w:cs="Times New Roman"/>
                <w:iCs/>
                <w:color w:val="000000" w:themeColor="text1"/>
                <w:sz w:val="24"/>
                <w:szCs w:val="24"/>
                <w:lang w:eastAsia="lv-LV"/>
              </w:rPr>
              <w:t>struktūranalogus</w:t>
            </w:r>
            <w:proofErr w:type="spellEnd"/>
            <w:r>
              <w:rPr>
                <w:rFonts w:ascii="Times New Roman" w:eastAsia="Times New Roman" w:hAnsi="Times New Roman" w:cs="Times New Roman"/>
                <w:iCs/>
                <w:color w:val="000000" w:themeColor="text1"/>
                <w:sz w:val="24"/>
                <w:szCs w:val="24"/>
                <w:lang w:eastAsia="lv-LV"/>
              </w:rPr>
              <w:t>, aktīvos metabolītus, esterus, ēterus un sāļus</w:t>
            </w:r>
            <w:r w:rsidRPr="008E742F">
              <w:rPr>
                <w:rFonts w:ascii="Times New Roman" w:eastAsia="Times New Roman" w:hAnsi="Times New Roman" w:cs="Times New Roman"/>
                <w:iCs/>
                <w:color w:val="000000" w:themeColor="text1"/>
                <w:sz w:val="24"/>
                <w:szCs w:val="24"/>
                <w:lang w:eastAsia="lv-LV"/>
              </w:rPr>
              <w:t xml:space="preserve"> (ieskaitot izomēru, </w:t>
            </w:r>
            <w:proofErr w:type="spellStart"/>
            <w:r w:rsidRPr="008E742F">
              <w:rPr>
                <w:rFonts w:ascii="Times New Roman" w:eastAsia="Times New Roman" w:hAnsi="Times New Roman" w:cs="Times New Roman"/>
                <w:iCs/>
                <w:color w:val="000000" w:themeColor="text1"/>
                <w:sz w:val="24"/>
                <w:szCs w:val="24"/>
                <w:lang w:eastAsia="lv-LV"/>
              </w:rPr>
              <w:t>struktūranalogu</w:t>
            </w:r>
            <w:proofErr w:type="spellEnd"/>
            <w:r w:rsidRPr="008E742F">
              <w:rPr>
                <w:rFonts w:ascii="Times New Roman" w:eastAsia="Times New Roman" w:hAnsi="Times New Roman" w:cs="Times New Roman"/>
                <w:iCs/>
                <w:color w:val="000000" w:themeColor="text1"/>
                <w:sz w:val="24"/>
                <w:szCs w:val="24"/>
                <w:lang w:eastAsia="lv-LV"/>
              </w:rPr>
              <w:t>, aktīvo metabolītu, esteru un ēteru sāļus)</w:t>
            </w:r>
            <w:r w:rsidR="00CA53CD">
              <w:rPr>
                <w:rFonts w:ascii="Times New Roman" w:eastAsia="Times New Roman" w:hAnsi="Times New Roman" w:cs="Times New Roman"/>
                <w:iCs/>
                <w:color w:val="000000" w:themeColor="text1"/>
                <w:sz w:val="24"/>
                <w:szCs w:val="24"/>
                <w:lang w:eastAsia="lv-LV"/>
              </w:rPr>
              <w:t xml:space="preserve">. </w:t>
            </w:r>
            <w:r w:rsidR="00F219FE">
              <w:rPr>
                <w:rFonts w:ascii="Times New Roman" w:eastAsia="Times New Roman" w:hAnsi="Times New Roman" w:cs="Times New Roman"/>
                <w:iCs/>
                <w:color w:val="000000" w:themeColor="text1"/>
                <w:sz w:val="24"/>
                <w:szCs w:val="24"/>
                <w:lang w:eastAsia="lv-LV"/>
              </w:rPr>
              <w:t>Projekts stā</w:t>
            </w:r>
            <w:r w:rsidR="004B54B4">
              <w:rPr>
                <w:rFonts w:ascii="Times New Roman" w:eastAsia="Times New Roman" w:hAnsi="Times New Roman" w:cs="Times New Roman"/>
                <w:iCs/>
                <w:color w:val="000000" w:themeColor="text1"/>
                <w:sz w:val="24"/>
                <w:szCs w:val="24"/>
                <w:lang w:eastAsia="lv-LV"/>
              </w:rPr>
              <w:t xml:space="preserve">jas spēkā </w:t>
            </w:r>
            <w:r w:rsidR="0068694E">
              <w:rPr>
                <w:rFonts w:ascii="Times New Roman" w:eastAsia="Times New Roman" w:hAnsi="Times New Roman" w:cs="Times New Roman"/>
                <w:iCs/>
                <w:color w:val="000000" w:themeColor="text1"/>
                <w:sz w:val="24"/>
                <w:szCs w:val="24"/>
                <w:lang w:eastAsia="lv-LV"/>
              </w:rPr>
              <w:t>2019.gada 1.</w:t>
            </w:r>
            <w:r w:rsidR="00E732A8">
              <w:rPr>
                <w:rFonts w:ascii="Times New Roman" w:eastAsia="Times New Roman" w:hAnsi="Times New Roman" w:cs="Times New Roman"/>
                <w:iCs/>
                <w:color w:val="000000" w:themeColor="text1"/>
                <w:sz w:val="24"/>
                <w:szCs w:val="24"/>
                <w:lang w:eastAsia="lv-LV"/>
              </w:rPr>
              <w:t>septembrī</w:t>
            </w:r>
            <w:r w:rsidR="004B54B4">
              <w:rPr>
                <w:rFonts w:ascii="Times New Roman" w:eastAsia="Times New Roman" w:hAnsi="Times New Roman" w:cs="Times New Roman"/>
                <w:iCs/>
                <w:color w:val="000000" w:themeColor="text1"/>
                <w:sz w:val="24"/>
                <w:szCs w:val="24"/>
                <w:lang w:eastAsia="lv-LV"/>
              </w:rPr>
              <w:t>.</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tcPr>
          <w:p w:rsidR="0068694E" w:rsidRPr="00F92CC7" w:rsidRDefault="00CD486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color w:val="000000" w:themeColor="text1"/>
                <w:sz w:val="24"/>
                <w:szCs w:val="24"/>
                <w:lang w:eastAsia="lv-LV"/>
              </w:rPr>
              <w:t>L</w:t>
            </w:r>
            <w:r w:rsidRPr="002651BC">
              <w:rPr>
                <w:rFonts w:ascii="Times New Roman" w:eastAsia="Times New Roman" w:hAnsi="Times New Roman" w:cs="Times New Roman"/>
                <w:iCs/>
                <w:color w:val="000000" w:themeColor="text1"/>
                <w:sz w:val="24"/>
                <w:szCs w:val="24"/>
                <w:lang w:eastAsia="lv-LV"/>
              </w:rPr>
              <w:t>ikumprojekt</w:t>
            </w:r>
            <w:r>
              <w:rPr>
                <w:rFonts w:ascii="Times New Roman" w:eastAsia="Times New Roman" w:hAnsi="Times New Roman" w:cs="Times New Roman"/>
                <w:iCs/>
                <w:color w:val="000000" w:themeColor="text1"/>
                <w:sz w:val="24"/>
                <w:szCs w:val="24"/>
                <w:lang w:eastAsia="lv-LV"/>
              </w:rPr>
              <w:t>ā</w:t>
            </w:r>
            <w:r w:rsidRPr="002651BC">
              <w:rPr>
                <w:rFonts w:ascii="Times New Roman" w:eastAsia="Times New Roman" w:hAnsi="Times New Roman" w:cs="Times New Roman"/>
                <w:iCs/>
                <w:color w:val="000000" w:themeColor="text1"/>
                <w:sz w:val="24"/>
                <w:szCs w:val="24"/>
                <w:lang w:eastAsia="lv-LV"/>
              </w:rPr>
              <w:t xml:space="preserve">  “Grozījumi likumā “Par narkotisko un psihotropo vielu un zāļu likumīgās aprites kārtību””</w:t>
            </w:r>
            <w:r>
              <w:rPr>
                <w:rFonts w:ascii="Times New Roman" w:eastAsia="Times New Roman" w:hAnsi="Times New Roman" w:cs="Times New Roman"/>
                <w:iCs/>
                <w:color w:val="000000" w:themeColor="text1"/>
                <w:sz w:val="24"/>
                <w:szCs w:val="24"/>
                <w:lang w:eastAsia="lv-LV"/>
              </w:rPr>
              <w:t xml:space="preserve"> (VSS-592, </w:t>
            </w:r>
            <w:r w:rsidRPr="00F94E33">
              <w:rPr>
                <w:rFonts w:ascii="Times New Roman" w:eastAsia="Times New Roman" w:hAnsi="Times New Roman" w:cs="Times New Roman"/>
                <w:iCs/>
                <w:color w:val="000000" w:themeColor="text1"/>
                <w:sz w:val="24"/>
                <w:szCs w:val="24"/>
                <w:lang w:eastAsia="lv-LV"/>
              </w:rPr>
              <w:t>TA-2696</w:t>
            </w:r>
            <w:r>
              <w:rPr>
                <w:rFonts w:ascii="Times New Roman" w:eastAsia="Times New Roman" w:hAnsi="Times New Roman" w:cs="Times New Roman"/>
                <w:iCs/>
                <w:color w:val="000000" w:themeColor="text1"/>
                <w:sz w:val="24"/>
                <w:szCs w:val="24"/>
                <w:lang w:eastAsia="lv-LV"/>
              </w:rPr>
              <w:t>, Ministru kabineta sēdē izskatīts 2019.gada 15.janvārī</w:t>
            </w:r>
            <w:r w:rsidR="00414787">
              <w:rPr>
                <w:rFonts w:ascii="Times New Roman" w:eastAsia="Times New Roman" w:hAnsi="Times New Roman" w:cs="Times New Roman"/>
                <w:iCs/>
                <w:color w:val="000000" w:themeColor="text1"/>
                <w:sz w:val="24"/>
                <w:szCs w:val="24"/>
                <w:lang w:eastAsia="lv-LV"/>
              </w:rPr>
              <w:t>, Latvijas Republikas Saeimas likumprojekts Nr.</w:t>
            </w:r>
            <w:r w:rsidR="00414787">
              <w:t xml:space="preserve"> </w:t>
            </w:r>
            <w:r w:rsidR="00414787">
              <w:rPr>
                <w:rFonts w:ascii="Times New Roman" w:eastAsia="Times New Roman" w:hAnsi="Times New Roman" w:cs="Times New Roman"/>
                <w:iCs/>
                <w:color w:val="000000" w:themeColor="text1"/>
                <w:sz w:val="24"/>
                <w:szCs w:val="24"/>
                <w:lang w:eastAsia="lv-LV"/>
              </w:rPr>
              <w:t>212/Lp13</w:t>
            </w:r>
            <w:r>
              <w:rPr>
                <w:rFonts w:ascii="Times New Roman" w:eastAsia="Times New Roman" w:hAnsi="Times New Roman" w:cs="Times New Roman"/>
                <w:iCs/>
                <w:color w:val="000000" w:themeColor="text1"/>
                <w:sz w:val="24"/>
                <w:szCs w:val="24"/>
                <w:lang w:eastAsia="lv-LV"/>
              </w:rPr>
              <w:t>) paredzētā likuma pārejas noteikumu 3.punkts</w:t>
            </w:r>
            <w:r w:rsidR="0017126C">
              <w:rPr>
                <w:rFonts w:ascii="Times New Roman" w:eastAsia="Times New Roman" w:hAnsi="Times New Roman" w:cs="Times New Roman"/>
                <w:iCs/>
                <w:color w:val="000000" w:themeColor="text1"/>
                <w:sz w:val="24"/>
                <w:szCs w:val="24"/>
                <w:lang w:eastAsia="lv-LV"/>
              </w:rPr>
              <w:t xml:space="preserve"> - </w:t>
            </w:r>
            <w:r w:rsidR="0017126C" w:rsidRPr="0017126C">
              <w:rPr>
                <w:rFonts w:ascii="Times New Roman" w:eastAsia="Times New Roman" w:hAnsi="Times New Roman" w:cs="Times New Roman"/>
                <w:iCs/>
                <w:color w:val="000000" w:themeColor="text1"/>
                <w:sz w:val="24"/>
                <w:szCs w:val="24"/>
                <w:lang w:eastAsia="lv-LV"/>
              </w:rPr>
              <w:t>Ministru kabinets līdz 2019. gada 1.</w:t>
            </w:r>
            <w:r w:rsidR="00E732A8">
              <w:rPr>
                <w:rFonts w:ascii="Times New Roman" w:eastAsia="Times New Roman" w:hAnsi="Times New Roman" w:cs="Times New Roman"/>
                <w:iCs/>
                <w:color w:val="000000" w:themeColor="text1"/>
                <w:sz w:val="24"/>
                <w:szCs w:val="24"/>
                <w:lang w:eastAsia="lv-LV"/>
              </w:rPr>
              <w:t>septembri</w:t>
            </w:r>
            <w:r w:rsidR="0017126C" w:rsidRPr="0017126C">
              <w:rPr>
                <w:rFonts w:ascii="Times New Roman" w:eastAsia="Times New Roman" w:hAnsi="Times New Roman" w:cs="Times New Roman"/>
                <w:iCs/>
                <w:color w:val="000000" w:themeColor="text1"/>
                <w:sz w:val="24"/>
                <w:szCs w:val="24"/>
                <w:lang w:eastAsia="lv-LV"/>
              </w:rPr>
              <w:t>m izdod:</w:t>
            </w:r>
            <w:r w:rsidR="0017126C">
              <w:rPr>
                <w:rFonts w:ascii="Times New Roman" w:eastAsia="Times New Roman" w:hAnsi="Times New Roman" w:cs="Times New Roman"/>
                <w:iCs/>
                <w:color w:val="000000" w:themeColor="text1"/>
                <w:sz w:val="24"/>
                <w:szCs w:val="24"/>
                <w:lang w:eastAsia="lv-LV"/>
              </w:rPr>
              <w:t xml:space="preserve"> </w:t>
            </w:r>
            <w:r w:rsidR="00CA53CD">
              <w:rPr>
                <w:rFonts w:ascii="Times New Roman" w:eastAsia="Times New Roman" w:hAnsi="Times New Roman" w:cs="Times New Roman"/>
                <w:iCs/>
                <w:color w:val="000000" w:themeColor="text1"/>
                <w:sz w:val="24"/>
                <w:szCs w:val="24"/>
                <w:lang w:eastAsia="lv-LV"/>
              </w:rPr>
              <w:t>1</w:t>
            </w:r>
            <w:r w:rsidR="00CA53CD" w:rsidRPr="00CA53CD">
              <w:rPr>
                <w:rFonts w:ascii="Times New Roman" w:eastAsia="Times New Roman" w:hAnsi="Times New Roman" w:cs="Times New Roman"/>
                <w:iCs/>
                <w:color w:val="000000" w:themeColor="text1"/>
                <w:sz w:val="24"/>
                <w:szCs w:val="24"/>
                <w:lang w:eastAsia="lv-LV"/>
              </w:rPr>
              <w:t>) šā likuma 7.</w:t>
            </w:r>
            <w:r w:rsidR="00CA53CD" w:rsidRPr="00CA53CD">
              <w:rPr>
                <w:rFonts w:ascii="Times New Roman" w:eastAsia="Times New Roman" w:hAnsi="Times New Roman" w:cs="Times New Roman"/>
                <w:iCs/>
                <w:color w:val="000000" w:themeColor="text1"/>
                <w:sz w:val="24"/>
                <w:szCs w:val="24"/>
                <w:vertAlign w:val="superscript"/>
                <w:lang w:eastAsia="lv-LV"/>
              </w:rPr>
              <w:t>1</w:t>
            </w:r>
            <w:r w:rsidR="00CA53CD" w:rsidRPr="00CA53CD">
              <w:rPr>
                <w:rFonts w:ascii="Times New Roman" w:eastAsia="Times New Roman" w:hAnsi="Times New Roman" w:cs="Times New Roman"/>
                <w:iCs/>
                <w:color w:val="000000" w:themeColor="text1"/>
                <w:sz w:val="24"/>
                <w:szCs w:val="24"/>
                <w:lang w:eastAsia="lv-LV"/>
              </w:rPr>
              <w:t xml:space="preserve"> panta otrajā un trešajā daļā paredzētos noteikumus;</w:t>
            </w:r>
            <w:r w:rsidR="00CA53CD">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w:t>
            </w:r>
          </w:p>
        </w:tc>
      </w:tr>
      <w:tr w:rsidR="00CD486E" w:rsidRPr="00F92CC7" w:rsidTr="00CA53C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0234CA"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Pr="000234CA" w:rsidRDefault="000234CA" w:rsidP="000234CA">
            <w:pPr>
              <w:rPr>
                <w:rFonts w:ascii="Times New Roman" w:eastAsia="Times New Roman" w:hAnsi="Times New Roman" w:cs="Times New Roman"/>
                <w:sz w:val="24"/>
                <w:szCs w:val="24"/>
                <w:lang w:eastAsia="lv-LV"/>
              </w:rPr>
            </w:pPr>
          </w:p>
          <w:p w:rsidR="000234CA" w:rsidRDefault="000234CA" w:rsidP="000234CA">
            <w:pPr>
              <w:rPr>
                <w:rFonts w:ascii="Times New Roman" w:eastAsia="Times New Roman" w:hAnsi="Times New Roman" w:cs="Times New Roman"/>
                <w:sz w:val="24"/>
                <w:szCs w:val="24"/>
                <w:lang w:eastAsia="lv-LV"/>
              </w:rPr>
            </w:pPr>
          </w:p>
          <w:p w:rsidR="00CD486E" w:rsidRPr="000234CA" w:rsidRDefault="00CD486E" w:rsidP="000234CA">
            <w:pPr>
              <w:ind w:firstLine="720"/>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rsidR="00B37CD4" w:rsidRPr="00EA5425" w:rsidRDefault="00B37CD4" w:rsidP="00B37CD4">
            <w:pPr>
              <w:spacing w:after="0" w:line="240" w:lineRule="auto"/>
              <w:rPr>
                <w:rFonts w:ascii="Times New Roman" w:eastAsia="Times New Roman" w:hAnsi="Times New Roman" w:cs="Times New Roman"/>
                <w:iCs/>
                <w:color w:val="000000" w:themeColor="text1"/>
                <w:sz w:val="24"/>
                <w:szCs w:val="24"/>
                <w:lang w:eastAsia="lv-LV"/>
              </w:rPr>
            </w:pPr>
            <w:r w:rsidRPr="00EA5425">
              <w:rPr>
                <w:rFonts w:ascii="Times New Roman" w:eastAsia="Times New Roman" w:hAnsi="Times New Roman" w:cs="Times New Roman"/>
                <w:iCs/>
                <w:color w:val="000000" w:themeColor="text1"/>
                <w:sz w:val="24"/>
                <w:szCs w:val="24"/>
                <w:lang w:eastAsia="lv-LV"/>
              </w:rPr>
              <w:t>Latvijā kontrolējamo narkotisko vielu un psihotropo vielu sarakstus nosaka Ministru kabineta 2005. gada 8. novembra noteikumi Nr. 847 „Noteikumi par Latvijā kontrolējamajām narkotiskajām vielām, psihotropajām vielām un prekursoriem” (turpmāk – MK noteikumi Nr. 847), kas izstrādāti saskaņā ar Apvienoto Nāciju Organizācijas 1961. gada 30. marta Vienoto Konvenciju par narkotiskajām vielām (grozīta ar 1972. gada Protokolu, ar ko groza 1961. gada 30. marta Vienoto Konvenciju par narkotiskajām vielām), 1971. gada 21. februāra Konvenciju par psihotropām vielām un 1988. gada 19. decembra Konvenciju pret narkotisko un psihotropo vielu nelegālu apriti.</w:t>
            </w:r>
          </w:p>
          <w:p w:rsidR="00CD486E" w:rsidRDefault="00B37CD4" w:rsidP="00B37CD4">
            <w:pPr>
              <w:spacing w:after="0" w:line="240" w:lineRule="auto"/>
              <w:rPr>
                <w:rFonts w:ascii="Times New Roman" w:eastAsia="Times New Roman" w:hAnsi="Times New Roman" w:cs="Times New Roman"/>
                <w:iCs/>
                <w:color w:val="000000" w:themeColor="text1"/>
                <w:sz w:val="24"/>
                <w:szCs w:val="24"/>
                <w:lang w:eastAsia="lv-LV"/>
              </w:rPr>
            </w:pPr>
            <w:r w:rsidRPr="00471481">
              <w:rPr>
                <w:rFonts w:ascii="Times New Roman" w:eastAsia="Times New Roman" w:hAnsi="Times New Roman" w:cs="Times New Roman"/>
                <w:iCs/>
                <w:color w:val="000000" w:themeColor="text1"/>
                <w:sz w:val="24"/>
                <w:szCs w:val="24"/>
                <w:lang w:eastAsia="lv-LV"/>
              </w:rPr>
              <w:t xml:space="preserve">1961. gada 30. marta Vienotās konvencijas par narkotiskajām vielām 39. pantā, 1971. gada 21. februāra Konvencijas par psihotropām vielām 23. pantā, kā arī 1988. gada 19. decembra Konvencijas pret narkotisko un psihotropo vielu nelegālu apriti 24. pantā ir noteikts, ka valstīm ir tiesības pieņemt stingrākus pasākumus nekā noteikts šajās Konvencijās, ja tās uzskata šādus pasākumus par vēlamiem vai nepieciešamiem narkotisko un psihotropo vielu nelegālā apgrozījuma novēršanai vai </w:t>
            </w:r>
            <w:r w:rsidRPr="00471481">
              <w:rPr>
                <w:rFonts w:ascii="Times New Roman" w:eastAsia="Times New Roman" w:hAnsi="Times New Roman" w:cs="Times New Roman"/>
                <w:iCs/>
                <w:color w:val="000000" w:themeColor="text1"/>
                <w:sz w:val="24"/>
                <w:szCs w:val="24"/>
                <w:lang w:eastAsia="lv-LV"/>
              </w:rPr>
              <w:lastRenderedPageBreak/>
              <w:t>likvidēšanai, kā arī, lai aizsargātu sabiedrības veselību un labklājību.</w:t>
            </w:r>
          </w:p>
          <w:p w:rsidR="00B37CD4" w:rsidRDefault="00B37CD4" w:rsidP="00B37CD4">
            <w:pPr>
              <w:spacing w:after="0" w:line="240" w:lineRule="auto"/>
              <w:rPr>
                <w:rFonts w:ascii="Times New Roman" w:eastAsia="Times New Roman" w:hAnsi="Times New Roman" w:cs="Times New Roman"/>
                <w:iCs/>
                <w:color w:val="000000" w:themeColor="text1"/>
                <w:sz w:val="24"/>
                <w:szCs w:val="24"/>
                <w:lang w:eastAsia="lv-LV"/>
              </w:rPr>
            </w:pPr>
            <w:r w:rsidRPr="00471481">
              <w:rPr>
                <w:rFonts w:ascii="Times New Roman" w:eastAsia="Times New Roman" w:hAnsi="Times New Roman" w:cs="Times New Roman"/>
                <w:iCs/>
                <w:color w:val="000000" w:themeColor="text1"/>
                <w:sz w:val="24"/>
                <w:szCs w:val="24"/>
                <w:lang w:eastAsia="lv-LV"/>
              </w:rPr>
              <w:t xml:space="preserve">Piemēram, pamatojoties uz </w:t>
            </w:r>
            <w:r>
              <w:rPr>
                <w:rFonts w:ascii="Times New Roman" w:eastAsia="Times New Roman" w:hAnsi="Times New Roman" w:cs="Times New Roman"/>
                <w:iCs/>
                <w:color w:val="000000" w:themeColor="text1"/>
                <w:sz w:val="24"/>
                <w:szCs w:val="24"/>
                <w:lang w:eastAsia="lv-LV"/>
              </w:rPr>
              <w:t>augstāk</w:t>
            </w:r>
            <w:r w:rsidRPr="00471481">
              <w:rPr>
                <w:rFonts w:ascii="Times New Roman" w:eastAsia="Times New Roman" w:hAnsi="Times New Roman" w:cs="Times New Roman"/>
                <w:iCs/>
                <w:color w:val="000000" w:themeColor="text1"/>
                <w:sz w:val="24"/>
                <w:szCs w:val="24"/>
                <w:lang w:eastAsia="lv-LV"/>
              </w:rPr>
              <w:t xml:space="preserve"> minēto, Latvijas kontrolējamo narkotisko vielu un psihotropo vielu II sarakstā ir iekļauta viela gamma-</w:t>
            </w:r>
            <w:proofErr w:type="spellStart"/>
            <w:r w:rsidRPr="00471481">
              <w:rPr>
                <w:rFonts w:ascii="Times New Roman" w:eastAsia="Times New Roman" w:hAnsi="Times New Roman" w:cs="Times New Roman"/>
                <w:iCs/>
                <w:color w:val="000000" w:themeColor="text1"/>
                <w:sz w:val="24"/>
                <w:szCs w:val="24"/>
                <w:lang w:eastAsia="lv-LV"/>
              </w:rPr>
              <w:t>hidroksibutirskābe</w:t>
            </w:r>
            <w:proofErr w:type="spellEnd"/>
            <w:r w:rsidRPr="00471481">
              <w:rPr>
                <w:rFonts w:ascii="Times New Roman" w:eastAsia="Times New Roman" w:hAnsi="Times New Roman" w:cs="Times New Roman"/>
                <w:iCs/>
                <w:color w:val="000000" w:themeColor="text1"/>
                <w:sz w:val="24"/>
                <w:szCs w:val="24"/>
                <w:lang w:eastAsia="lv-LV"/>
              </w:rPr>
              <w:t xml:space="preserve"> (turpmāk – GHB), tostarp MK noteikumos Nr. 847 ir noteikts, ka narkotisko un psihotropo zāļu un vielu apriti regulējošos normatīvajos aktos noteiktajā kārtībā Latvijā kontrolē Latvijā kontrolējamo narkotisko vielu, psihotropo vielu un prekursoru I, II vai III sarakstā iekļauto narkotisko un psihotropo vielu atvasinājumus, izomērus, </w:t>
            </w:r>
            <w:proofErr w:type="spellStart"/>
            <w:r w:rsidRPr="00471481">
              <w:rPr>
                <w:rFonts w:ascii="Times New Roman" w:eastAsia="Times New Roman" w:hAnsi="Times New Roman" w:cs="Times New Roman"/>
                <w:iCs/>
                <w:color w:val="000000" w:themeColor="text1"/>
                <w:sz w:val="24"/>
                <w:szCs w:val="24"/>
                <w:lang w:eastAsia="lv-LV"/>
              </w:rPr>
              <w:t>struktūranalogus</w:t>
            </w:r>
            <w:proofErr w:type="spellEnd"/>
            <w:r w:rsidRPr="00471481">
              <w:rPr>
                <w:rFonts w:ascii="Times New Roman" w:eastAsia="Times New Roman" w:hAnsi="Times New Roman" w:cs="Times New Roman"/>
                <w:iCs/>
                <w:color w:val="000000" w:themeColor="text1"/>
                <w:sz w:val="24"/>
                <w:szCs w:val="24"/>
                <w:lang w:eastAsia="lv-LV"/>
              </w:rPr>
              <w:t xml:space="preserve">, aktīvos metabolītus, esterus, ēterus un sāļus (arī izomēru, </w:t>
            </w:r>
            <w:proofErr w:type="spellStart"/>
            <w:r w:rsidRPr="00471481">
              <w:rPr>
                <w:rFonts w:ascii="Times New Roman" w:eastAsia="Times New Roman" w:hAnsi="Times New Roman" w:cs="Times New Roman"/>
                <w:iCs/>
                <w:color w:val="000000" w:themeColor="text1"/>
                <w:sz w:val="24"/>
                <w:szCs w:val="24"/>
                <w:lang w:eastAsia="lv-LV"/>
              </w:rPr>
              <w:t>struktūranalogu</w:t>
            </w:r>
            <w:proofErr w:type="spellEnd"/>
            <w:r w:rsidRPr="00471481">
              <w:rPr>
                <w:rFonts w:ascii="Times New Roman" w:eastAsia="Times New Roman" w:hAnsi="Times New Roman" w:cs="Times New Roman"/>
                <w:iCs/>
                <w:color w:val="000000" w:themeColor="text1"/>
                <w:sz w:val="24"/>
                <w:szCs w:val="24"/>
                <w:lang w:eastAsia="lv-LV"/>
              </w:rPr>
              <w:t>, aktīvo metabolītu, esteru un ēteru sāļus). Līdz ar to kontrolei pakļauts ir arī GHB cikliskais esteris gamma-</w:t>
            </w:r>
            <w:proofErr w:type="spellStart"/>
            <w:r w:rsidRPr="00471481">
              <w:rPr>
                <w:rFonts w:ascii="Times New Roman" w:eastAsia="Times New Roman" w:hAnsi="Times New Roman" w:cs="Times New Roman"/>
                <w:iCs/>
                <w:color w:val="000000" w:themeColor="text1"/>
                <w:sz w:val="24"/>
                <w:szCs w:val="24"/>
                <w:lang w:eastAsia="lv-LV"/>
              </w:rPr>
              <w:t>butirolaktons</w:t>
            </w:r>
            <w:proofErr w:type="spellEnd"/>
            <w:r w:rsidRPr="00471481">
              <w:rPr>
                <w:rFonts w:ascii="Times New Roman" w:eastAsia="Times New Roman" w:hAnsi="Times New Roman" w:cs="Times New Roman"/>
                <w:iCs/>
                <w:color w:val="000000" w:themeColor="text1"/>
                <w:sz w:val="24"/>
                <w:szCs w:val="24"/>
                <w:lang w:eastAsia="lv-LV"/>
              </w:rPr>
              <w:t xml:space="preserve"> (turpmāk – GBL). Viela GBL Latvijā ir pakļauta kontrolei, jo tā var tikt izmantota apreibināšanās nolūkiem</w:t>
            </w:r>
            <w:r w:rsidR="001C0259">
              <w:rPr>
                <w:rFonts w:ascii="Times New Roman" w:eastAsia="Times New Roman" w:hAnsi="Times New Roman" w:cs="Times New Roman"/>
                <w:iCs/>
                <w:color w:val="000000" w:themeColor="text1"/>
                <w:sz w:val="24"/>
                <w:szCs w:val="24"/>
                <w:lang w:eastAsia="lv-LV"/>
              </w:rPr>
              <w:t>, tā ir bez smaržas, krāsas un garšas, un to pārdozējot, var iestāties nāve</w:t>
            </w:r>
            <w:r w:rsidRPr="00471481">
              <w:rPr>
                <w:rFonts w:ascii="Times New Roman" w:eastAsia="Times New Roman" w:hAnsi="Times New Roman" w:cs="Times New Roman"/>
                <w:iCs/>
                <w:color w:val="000000" w:themeColor="text1"/>
                <w:sz w:val="24"/>
                <w:szCs w:val="24"/>
                <w:lang w:eastAsia="lv-LV"/>
              </w:rPr>
              <w:t>. Vienlaikus saskaņā ar  Latvijas Vides, ģeoloģijas un meteoroloģijas centra sniegto informāciju viela GBL tiek plaši izmantota arī industriāliem mērķiem tādās jomās, kā čuguna liešanā, metāla lējumu, elektromotoru, ģeneratoru un transformatoru ražošanā, printeru kārtridžu tintēs un tīrīšanas līdzekļos drukas industrijā.</w:t>
            </w:r>
          </w:p>
          <w:p w:rsidR="00B37CD4" w:rsidRDefault="00B37CD4" w:rsidP="00B37CD4">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Projektā atbilstoši likumprojektā </w:t>
            </w:r>
            <w:r w:rsidRPr="002651BC">
              <w:rPr>
                <w:rFonts w:ascii="Times New Roman" w:eastAsia="Times New Roman" w:hAnsi="Times New Roman" w:cs="Times New Roman"/>
                <w:iCs/>
                <w:color w:val="000000" w:themeColor="text1"/>
                <w:sz w:val="24"/>
                <w:szCs w:val="24"/>
                <w:lang w:eastAsia="lv-LV"/>
              </w:rPr>
              <w:t>“Grozījumi likumā “Par narkotisko un psihotropo vielu un zāļu likumīgās aprites kārtību””</w:t>
            </w:r>
            <w:r>
              <w:rPr>
                <w:rFonts w:ascii="Times New Roman" w:eastAsia="Times New Roman" w:hAnsi="Times New Roman" w:cs="Times New Roman"/>
                <w:iCs/>
                <w:color w:val="000000" w:themeColor="text1"/>
                <w:sz w:val="24"/>
                <w:szCs w:val="24"/>
                <w:lang w:eastAsia="lv-LV"/>
              </w:rPr>
              <w:t xml:space="preserve"> (VSS-592, </w:t>
            </w:r>
            <w:r w:rsidRPr="00F94E33">
              <w:rPr>
                <w:rFonts w:ascii="Times New Roman" w:eastAsia="Times New Roman" w:hAnsi="Times New Roman" w:cs="Times New Roman"/>
                <w:iCs/>
                <w:color w:val="000000" w:themeColor="text1"/>
                <w:sz w:val="24"/>
                <w:szCs w:val="24"/>
                <w:lang w:eastAsia="lv-LV"/>
              </w:rPr>
              <w:t>TA-2696</w:t>
            </w:r>
            <w:r>
              <w:rPr>
                <w:rFonts w:ascii="Times New Roman" w:eastAsia="Times New Roman" w:hAnsi="Times New Roman" w:cs="Times New Roman"/>
                <w:iCs/>
                <w:color w:val="000000" w:themeColor="text1"/>
                <w:sz w:val="24"/>
                <w:szCs w:val="24"/>
                <w:lang w:eastAsia="lv-LV"/>
              </w:rPr>
              <w:t>, Ministru kabineta sēdē izskatīts 2019.gada 15.janvārī</w:t>
            </w:r>
            <w:r w:rsidR="00B01CBC">
              <w:rPr>
                <w:rFonts w:ascii="Times New Roman" w:eastAsia="Times New Roman" w:hAnsi="Times New Roman" w:cs="Times New Roman"/>
                <w:iCs/>
                <w:color w:val="000000" w:themeColor="text1"/>
                <w:sz w:val="24"/>
                <w:szCs w:val="24"/>
                <w:lang w:eastAsia="lv-LV"/>
              </w:rPr>
              <w:t>, Latvijas Republikas Saeimas likumprojekts Nr.</w:t>
            </w:r>
            <w:r w:rsidR="00B01CBC">
              <w:t xml:space="preserve"> </w:t>
            </w:r>
            <w:r w:rsidR="00B01CBC">
              <w:rPr>
                <w:rFonts w:ascii="Times New Roman" w:eastAsia="Times New Roman" w:hAnsi="Times New Roman" w:cs="Times New Roman"/>
                <w:iCs/>
                <w:color w:val="000000" w:themeColor="text1"/>
                <w:sz w:val="24"/>
                <w:szCs w:val="24"/>
                <w:lang w:eastAsia="lv-LV"/>
              </w:rPr>
              <w:t>212/Lp13</w:t>
            </w:r>
            <w:r>
              <w:rPr>
                <w:rFonts w:ascii="Times New Roman" w:eastAsia="Times New Roman" w:hAnsi="Times New Roman" w:cs="Times New Roman"/>
                <w:iCs/>
                <w:color w:val="000000" w:themeColor="text1"/>
                <w:sz w:val="24"/>
                <w:szCs w:val="24"/>
                <w:lang w:eastAsia="lv-LV"/>
              </w:rPr>
              <w:t xml:space="preserve">) dotajam deleģējumam </w:t>
            </w:r>
            <w:r w:rsidR="001A5F62">
              <w:rPr>
                <w:rFonts w:ascii="Times New Roman" w:eastAsia="Times New Roman" w:hAnsi="Times New Roman" w:cs="Times New Roman"/>
                <w:iCs/>
                <w:color w:val="000000" w:themeColor="text1"/>
                <w:sz w:val="24"/>
                <w:szCs w:val="24"/>
                <w:lang w:eastAsia="lv-LV"/>
              </w:rPr>
              <w:t>tiek noteikta</w:t>
            </w:r>
            <w:r>
              <w:rPr>
                <w:rFonts w:ascii="Times New Roman" w:eastAsia="Times New Roman" w:hAnsi="Times New Roman" w:cs="Times New Roman"/>
                <w:iCs/>
                <w:color w:val="000000" w:themeColor="text1"/>
                <w:sz w:val="24"/>
                <w:szCs w:val="24"/>
                <w:lang w:eastAsia="lv-LV"/>
              </w:rPr>
              <w:t xml:space="preserve"> </w:t>
            </w:r>
            <w:r w:rsidR="001A5F62">
              <w:rPr>
                <w:rFonts w:ascii="Times New Roman" w:eastAsia="Times New Roman" w:hAnsi="Times New Roman" w:cs="Times New Roman"/>
                <w:iCs/>
                <w:color w:val="000000" w:themeColor="text1"/>
                <w:sz w:val="24"/>
                <w:szCs w:val="24"/>
                <w:lang w:eastAsia="lv-LV"/>
              </w:rPr>
              <w:t xml:space="preserve">kārtība, kādā </w:t>
            </w:r>
            <w:r w:rsidR="00A57B9E" w:rsidRPr="00A57B9E">
              <w:rPr>
                <w:rFonts w:ascii="Times New Roman" w:eastAsia="Times New Roman" w:hAnsi="Times New Roman" w:cs="Times New Roman"/>
                <w:iCs/>
                <w:color w:val="000000" w:themeColor="text1"/>
                <w:sz w:val="24"/>
                <w:szCs w:val="24"/>
                <w:lang w:eastAsia="lv-LV"/>
              </w:rPr>
              <w:t xml:space="preserve">izsniedz un anulē </w:t>
            </w:r>
            <w:r w:rsidR="00A57B9E">
              <w:rPr>
                <w:rFonts w:ascii="Times New Roman" w:eastAsia="Times New Roman" w:hAnsi="Times New Roman" w:cs="Times New Roman"/>
                <w:iCs/>
                <w:color w:val="000000" w:themeColor="text1"/>
                <w:sz w:val="24"/>
                <w:szCs w:val="24"/>
                <w:lang w:eastAsia="lv-LV"/>
              </w:rPr>
              <w:t xml:space="preserve">atļauju </w:t>
            </w:r>
            <w:r w:rsidR="00A57B9E" w:rsidRPr="001A5F62">
              <w:rPr>
                <w:rFonts w:ascii="Times New Roman" w:eastAsia="Times New Roman" w:hAnsi="Times New Roman" w:cs="Times New Roman"/>
                <w:iCs/>
                <w:color w:val="000000" w:themeColor="text1"/>
                <w:sz w:val="24"/>
                <w:szCs w:val="24"/>
                <w:lang w:eastAsia="lv-LV"/>
              </w:rPr>
              <w:t>II un III sarakstā iekļaut</w:t>
            </w:r>
            <w:r w:rsidR="00A57B9E">
              <w:rPr>
                <w:rFonts w:ascii="Times New Roman" w:eastAsia="Times New Roman" w:hAnsi="Times New Roman" w:cs="Times New Roman"/>
                <w:iCs/>
                <w:color w:val="000000" w:themeColor="text1"/>
                <w:sz w:val="24"/>
                <w:szCs w:val="24"/>
                <w:lang w:eastAsia="lv-LV"/>
              </w:rPr>
              <w:t>o</w:t>
            </w:r>
            <w:r w:rsidR="00A57B9E" w:rsidRPr="001A5F62">
              <w:rPr>
                <w:rFonts w:ascii="Times New Roman" w:eastAsia="Times New Roman" w:hAnsi="Times New Roman" w:cs="Times New Roman"/>
                <w:iCs/>
                <w:color w:val="000000" w:themeColor="text1"/>
                <w:sz w:val="24"/>
                <w:szCs w:val="24"/>
                <w:lang w:eastAsia="lv-LV"/>
              </w:rPr>
              <w:t xml:space="preserve"> viel</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xml:space="preserve"> vai  šo vielu atvasinājum</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izomēr</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xml:space="preserve">, </w:t>
            </w:r>
            <w:proofErr w:type="spellStart"/>
            <w:r w:rsidR="00A57B9E" w:rsidRPr="001A5F62">
              <w:rPr>
                <w:rFonts w:ascii="Times New Roman" w:eastAsia="Times New Roman" w:hAnsi="Times New Roman" w:cs="Times New Roman"/>
                <w:iCs/>
                <w:color w:val="000000" w:themeColor="text1"/>
                <w:sz w:val="24"/>
                <w:szCs w:val="24"/>
                <w:lang w:eastAsia="lv-LV"/>
              </w:rPr>
              <w:t>struktūranalog</w:t>
            </w:r>
            <w:r w:rsidR="00A57B9E">
              <w:rPr>
                <w:rFonts w:ascii="Times New Roman" w:eastAsia="Times New Roman" w:hAnsi="Times New Roman" w:cs="Times New Roman"/>
                <w:iCs/>
                <w:color w:val="000000" w:themeColor="text1"/>
                <w:sz w:val="24"/>
                <w:szCs w:val="24"/>
                <w:lang w:eastAsia="lv-LV"/>
              </w:rPr>
              <w:t>u</w:t>
            </w:r>
            <w:proofErr w:type="spellEnd"/>
            <w:r w:rsidR="00A57B9E" w:rsidRPr="001A5F62">
              <w:rPr>
                <w:rFonts w:ascii="Times New Roman" w:eastAsia="Times New Roman" w:hAnsi="Times New Roman" w:cs="Times New Roman"/>
                <w:iCs/>
                <w:color w:val="000000" w:themeColor="text1"/>
                <w:sz w:val="24"/>
                <w:szCs w:val="24"/>
                <w:lang w:eastAsia="lv-LV"/>
              </w:rPr>
              <w:t>, aktīv</w:t>
            </w:r>
            <w:r w:rsidR="00A57B9E">
              <w:rPr>
                <w:rFonts w:ascii="Times New Roman" w:eastAsia="Times New Roman" w:hAnsi="Times New Roman" w:cs="Times New Roman"/>
                <w:iCs/>
                <w:color w:val="000000" w:themeColor="text1"/>
                <w:sz w:val="24"/>
                <w:szCs w:val="24"/>
                <w:lang w:eastAsia="lv-LV"/>
              </w:rPr>
              <w:t>o</w:t>
            </w:r>
            <w:r w:rsidR="00A57B9E" w:rsidRPr="001A5F62">
              <w:rPr>
                <w:rFonts w:ascii="Times New Roman" w:eastAsia="Times New Roman" w:hAnsi="Times New Roman" w:cs="Times New Roman"/>
                <w:iCs/>
                <w:color w:val="000000" w:themeColor="text1"/>
                <w:sz w:val="24"/>
                <w:szCs w:val="24"/>
                <w:lang w:eastAsia="lv-LV"/>
              </w:rPr>
              <w:t xml:space="preserve"> metabolīt</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ester</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ēter</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xml:space="preserve"> un sāļ</w:t>
            </w:r>
            <w:r w:rsidR="00A57B9E">
              <w:rPr>
                <w:rFonts w:ascii="Times New Roman" w:eastAsia="Times New Roman" w:hAnsi="Times New Roman" w:cs="Times New Roman"/>
                <w:iCs/>
                <w:color w:val="000000" w:themeColor="text1"/>
                <w:sz w:val="24"/>
                <w:szCs w:val="24"/>
                <w:lang w:eastAsia="lv-LV"/>
              </w:rPr>
              <w:t>u</w:t>
            </w:r>
            <w:r w:rsidR="00A57B9E" w:rsidRPr="001A5F62">
              <w:rPr>
                <w:rFonts w:ascii="Times New Roman" w:eastAsia="Times New Roman" w:hAnsi="Times New Roman" w:cs="Times New Roman"/>
                <w:iCs/>
                <w:color w:val="000000" w:themeColor="text1"/>
                <w:sz w:val="24"/>
                <w:szCs w:val="24"/>
                <w:lang w:eastAsia="lv-LV"/>
              </w:rPr>
              <w:t xml:space="preserve"> (ieskaitot izomēru, </w:t>
            </w:r>
            <w:proofErr w:type="spellStart"/>
            <w:r w:rsidR="00A57B9E" w:rsidRPr="001A5F62">
              <w:rPr>
                <w:rFonts w:ascii="Times New Roman" w:eastAsia="Times New Roman" w:hAnsi="Times New Roman" w:cs="Times New Roman"/>
                <w:iCs/>
                <w:color w:val="000000" w:themeColor="text1"/>
                <w:sz w:val="24"/>
                <w:szCs w:val="24"/>
                <w:lang w:eastAsia="lv-LV"/>
              </w:rPr>
              <w:t>struktūranalogu</w:t>
            </w:r>
            <w:proofErr w:type="spellEnd"/>
            <w:r w:rsidR="00A57B9E" w:rsidRPr="001A5F62">
              <w:rPr>
                <w:rFonts w:ascii="Times New Roman" w:eastAsia="Times New Roman" w:hAnsi="Times New Roman" w:cs="Times New Roman"/>
                <w:iCs/>
                <w:color w:val="000000" w:themeColor="text1"/>
                <w:sz w:val="24"/>
                <w:szCs w:val="24"/>
                <w:lang w:eastAsia="lv-LV"/>
              </w:rPr>
              <w:t>, aktīvo metabolītu, esteru un ēteru sāļus) izmantošanai rūpniecībā (izņemot farmaceitiskiem mērķiem)</w:t>
            </w:r>
            <w:r w:rsidR="00A57B9E">
              <w:rPr>
                <w:rFonts w:ascii="Times New Roman" w:eastAsia="Times New Roman" w:hAnsi="Times New Roman" w:cs="Times New Roman"/>
                <w:iCs/>
                <w:color w:val="000000" w:themeColor="text1"/>
                <w:sz w:val="24"/>
                <w:szCs w:val="24"/>
                <w:lang w:eastAsia="lv-LV"/>
              </w:rPr>
              <w:t>,</w:t>
            </w:r>
            <w:r w:rsidR="00A57B9E" w:rsidRPr="00A57B9E">
              <w:rPr>
                <w:rFonts w:ascii="Times New Roman" w:eastAsia="Times New Roman" w:hAnsi="Times New Roman" w:cs="Times New Roman"/>
                <w:iCs/>
                <w:color w:val="000000" w:themeColor="text1"/>
                <w:sz w:val="24"/>
                <w:szCs w:val="24"/>
                <w:lang w:eastAsia="lv-LV"/>
              </w:rPr>
              <w:t xml:space="preserve"> </w:t>
            </w:r>
            <w:r w:rsidR="00A57B9E">
              <w:rPr>
                <w:rFonts w:ascii="Times New Roman" w:eastAsia="Times New Roman" w:hAnsi="Times New Roman" w:cs="Times New Roman"/>
                <w:iCs/>
                <w:color w:val="000000" w:themeColor="text1"/>
                <w:sz w:val="24"/>
                <w:szCs w:val="24"/>
                <w:lang w:eastAsia="lv-LV"/>
              </w:rPr>
              <w:t>tiek noteiktas</w:t>
            </w:r>
            <w:r w:rsidR="00A57B9E" w:rsidRPr="00A57B9E">
              <w:rPr>
                <w:rFonts w:ascii="Times New Roman" w:eastAsia="Times New Roman" w:hAnsi="Times New Roman" w:cs="Times New Roman"/>
                <w:iCs/>
                <w:color w:val="000000" w:themeColor="text1"/>
                <w:sz w:val="24"/>
                <w:szCs w:val="24"/>
                <w:lang w:eastAsia="lv-LV"/>
              </w:rPr>
              <w:t xml:space="preserve"> </w:t>
            </w:r>
            <w:bookmarkStart w:id="1" w:name="_Hlk536450509"/>
            <w:r w:rsidR="00A57B9E" w:rsidRPr="00A57B9E">
              <w:rPr>
                <w:rFonts w:ascii="Times New Roman" w:eastAsia="Times New Roman" w:hAnsi="Times New Roman" w:cs="Times New Roman"/>
                <w:iCs/>
                <w:color w:val="000000" w:themeColor="text1"/>
                <w:sz w:val="24"/>
                <w:szCs w:val="24"/>
                <w:lang w:eastAsia="lv-LV"/>
              </w:rPr>
              <w:t xml:space="preserve">prasības, kuru izpildi nodrošina atļaujas saņēmējs, saņemot, </w:t>
            </w:r>
            <w:r w:rsidR="00370E1F">
              <w:rPr>
                <w:rFonts w:ascii="Times New Roman" w:eastAsia="Times New Roman" w:hAnsi="Times New Roman" w:cs="Times New Roman"/>
                <w:iCs/>
                <w:color w:val="000000" w:themeColor="text1"/>
                <w:sz w:val="24"/>
                <w:szCs w:val="24"/>
                <w:lang w:eastAsia="lv-LV"/>
              </w:rPr>
              <w:t>atsavinot</w:t>
            </w:r>
            <w:r w:rsidR="00A57B9E" w:rsidRPr="00A57B9E">
              <w:rPr>
                <w:rFonts w:ascii="Times New Roman" w:eastAsia="Times New Roman" w:hAnsi="Times New Roman" w:cs="Times New Roman"/>
                <w:iCs/>
                <w:color w:val="000000" w:themeColor="text1"/>
                <w:sz w:val="24"/>
                <w:szCs w:val="24"/>
                <w:lang w:eastAsia="lv-LV"/>
              </w:rPr>
              <w:t xml:space="preserve">, izlietojot, uzglabājot, uzskaitot un iznīcinot sarakstā iekļautās vielas, </w:t>
            </w:r>
            <w:bookmarkEnd w:id="1"/>
            <w:r w:rsidR="001A5F62">
              <w:rPr>
                <w:rFonts w:ascii="Times New Roman" w:eastAsia="Times New Roman" w:hAnsi="Times New Roman" w:cs="Times New Roman"/>
                <w:iCs/>
                <w:color w:val="000000" w:themeColor="text1"/>
                <w:sz w:val="24"/>
                <w:szCs w:val="24"/>
                <w:lang w:eastAsia="lv-LV"/>
              </w:rPr>
              <w:t xml:space="preserve">ka arī tiek </w:t>
            </w:r>
            <w:bookmarkStart w:id="2" w:name="_Hlk536451837"/>
            <w:r w:rsidR="001A5F62">
              <w:rPr>
                <w:rFonts w:ascii="Times New Roman" w:eastAsia="Times New Roman" w:hAnsi="Times New Roman" w:cs="Times New Roman"/>
                <w:iCs/>
                <w:color w:val="000000" w:themeColor="text1"/>
                <w:sz w:val="24"/>
                <w:szCs w:val="24"/>
                <w:lang w:eastAsia="lv-LV"/>
              </w:rPr>
              <w:t xml:space="preserve">apstiprināts saraksts ar </w:t>
            </w:r>
            <w:r w:rsidR="001A5F62" w:rsidRPr="001A5F62">
              <w:rPr>
                <w:rFonts w:ascii="Times New Roman" w:eastAsia="Times New Roman" w:hAnsi="Times New Roman" w:cs="Times New Roman"/>
                <w:iCs/>
                <w:color w:val="000000" w:themeColor="text1"/>
                <w:sz w:val="24"/>
                <w:szCs w:val="24"/>
                <w:lang w:eastAsia="lv-LV"/>
              </w:rPr>
              <w:t>II un III sarakstā iekļaut</w:t>
            </w:r>
            <w:r w:rsidR="001A5F62">
              <w:rPr>
                <w:rFonts w:ascii="Times New Roman" w:eastAsia="Times New Roman" w:hAnsi="Times New Roman" w:cs="Times New Roman"/>
                <w:iCs/>
                <w:color w:val="000000" w:themeColor="text1"/>
                <w:sz w:val="24"/>
                <w:szCs w:val="24"/>
                <w:lang w:eastAsia="lv-LV"/>
              </w:rPr>
              <w:t>ajām</w:t>
            </w:r>
            <w:r w:rsidR="001A5F62" w:rsidRPr="001A5F62">
              <w:rPr>
                <w:rFonts w:ascii="Times New Roman" w:eastAsia="Times New Roman" w:hAnsi="Times New Roman" w:cs="Times New Roman"/>
                <w:iCs/>
                <w:color w:val="000000" w:themeColor="text1"/>
                <w:sz w:val="24"/>
                <w:szCs w:val="24"/>
                <w:lang w:eastAsia="lv-LV"/>
              </w:rPr>
              <w:t xml:space="preserve"> viel</w:t>
            </w:r>
            <w:r w:rsidR="001A5F62">
              <w:rPr>
                <w:rFonts w:ascii="Times New Roman" w:eastAsia="Times New Roman" w:hAnsi="Times New Roman" w:cs="Times New Roman"/>
                <w:iCs/>
                <w:color w:val="000000" w:themeColor="text1"/>
                <w:sz w:val="24"/>
                <w:szCs w:val="24"/>
                <w:lang w:eastAsia="lv-LV"/>
              </w:rPr>
              <w:t>ām</w:t>
            </w:r>
            <w:r w:rsidR="001A5F62" w:rsidRPr="001A5F62">
              <w:rPr>
                <w:rFonts w:ascii="Times New Roman" w:eastAsia="Times New Roman" w:hAnsi="Times New Roman" w:cs="Times New Roman"/>
                <w:iCs/>
                <w:color w:val="000000" w:themeColor="text1"/>
                <w:sz w:val="24"/>
                <w:szCs w:val="24"/>
                <w:lang w:eastAsia="lv-LV"/>
              </w:rPr>
              <w:t xml:space="preserve"> vai vielu atvasinājum</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izomēr</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xml:space="preserve">, </w:t>
            </w:r>
            <w:proofErr w:type="spellStart"/>
            <w:r w:rsidR="001A5F62" w:rsidRPr="001A5F62">
              <w:rPr>
                <w:rFonts w:ascii="Times New Roman" w:eastAsia="Times New Roman" w:hAnsi="Times New Roman" w:cs="Times New Roman"/>
                <w:iCs/>
                <w:color w:val="000000" w:themeColor="text1"/>
                <w:sz w:val="24"/>
                <w:szCs w:val="24"/>
                <w:lang w:eastAsia="lv-LV"/>
              </w:rPr>
              <w:t>struktūranalog</w:t>
            </w:r>
            <w:r w:rsidR="001A5F62">
              <w:rPr>
                <w:rFonts w:ascii="Times New Roman" w:eastAsia="Times New Roman" w:hAnsi="Times New Roman" w:cs="Times New Roman"/>
                <w:iCs/>
                <w:color w:val="000000" w:themeColor="text1"/>
                <w:sz w:val="24"/>
                <w:szCs w:val="24"/>
                <w:lang w:eastAsia="lv-LV"/>
              </w:rPr>
              <w:t>iem</w:t>
            </w:r>
            <w:proofErr w:type="spellEnd"/>
            <w:r w:rsidR="001A5F62" w:rsidRPr="001A5F62">
              <w:rPr>
                <w:rFonts w:ascii="Times New Roman" w:eastAsia="Times New Roman" w:hAnsi="Times New Roman" w:cs="Times New Roman"/>
                <w:iCs/>
                <w:color w:val="000000" w:themeColor="text1"/>
                <w:sz w:val="24"/>
                <w:szCs w:val="24"/>
                <w:lang w:eastAsia="lv-LV"/>
              </w:rPr>
              <w:t>, aktīv</w:t>
            </w:r>
            <w:r w:rsidR="001A5F62">
              <w:rPr>
                <w:rFonts w:ascii="Times New Roman" w:eastAsia="Times New Roman" w:hAnsi="Times New Roman" w:cs="Times New Roman"/>
                <w:iCs/>
                <w:color w:val="000000" w:themeColor="text1"/>
                <w:sz w:val="24"/>
                <w:szCs w:val="24"/>
                <w:lang w:eastAsia="lv-LV"/>
              </w:rPr>
              <w:t>ajiem</w:t>
            </w:r>
            <w:r w:rsidR="001A5F62" w:rsidRPr="001A5F62">
              <w:rPr>
                <w:rFonts w:ascii="Times New Roman" w:eastAsia="Times New Roman" w:hAnsi="Times New Roman" w:cs="Times New Roman"/>
                <w:iCs/>
                <w:color w:val="000000" w:themeColor="text1"/>
                <w:sz w:val="24"/>
                <w:szCs w:val="24"/>
                <w:lang w:eastAsia="lv-LV"/>
              </w:rPr>
              <w:t xml:space="preserve"> metabolīt</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ester</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ēter</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xml:space="preserve"> un sāļ</w:t>
            </w:r>
            <w:r w:rsidR="001A5F62">
              <w:rPr>
                <w:rFonts w:ascii="Times New Roman" w:eastAsia="Times New Roman" w:hAnsi="Times New Roman" w:cs="Times New Roman"/>
                <w:iCs/>
                <w:color w:val="000000" w:themeColor="text1"/>
                <w:sz w:val="24"/>
                <w:szCs w:val="24"/>
                <w:lang w:eastAsia="lv-LV"/>
              </w:rPr>
              <w:t>iem</w:t>
            </w:r>
            <w:r w:rsidR="001A5F62" w:rsidRPr="001A5F62">
              <w:rPr>
                <w:rFonts w:ascii="Times New Roman" w:eastAsia="Times New Roman" w:hAnsi="Times New Roman" w:cs="Times New Roman"/>
                <w:iCs/>
                <w:color w:val="000000" w:themeColor="text1"/>
                <w:sz w:val="24"/>
                <w:szCs w:val="24"/>
                <w:lang w:eastAsia="lv-LV"/>
              </w:rPr>
              <w:t xml:space="preserve"> (ieskaitot izomēru, </w:t>
            </w:r>
            <w:proofErr w:type="spellStart"/>
            <w:r w:rsidR="001A5F62" w:rsidRPr="001A5F62">
              <w:rPr>
                <w:rFonts w:ascii="Times New Roman" w:eastAsia="Times New Roman" w:hAnsi="Times New Roman" w:cs="Times New Roman"/>
                <w:iCs/>
                <w:color w:val="000000" w:themeColor="text1"/>
                <w:sz w:val="24"/>
                <w:szCs w:val="24"/>
                <w:lang w:eastAsia="lv-LV"/>
              </w:rPr>
              <w:t>struktūranalogu</w:t>
            </w:r>
            <w:proofErr w:type="spellEnd"/>
            <w:r w:rsidR="001A5F62" w:rsidRPr="001A5F62">
              <w:rPr>
                <w:rFonts w:ascii="Times New Roman" w:eastAsia="Times New Roman" w:hAnsi="Times New Roman" w:cs="Times New Roman"/>
                <w:iCs/>
                <w:color w:val="000000" w:themeColor="text1"/>
                <w:sz w:val="24"/>
                <w:szCs w:val="24"/>
                <w:lang w:eastAsia="lv-LV"/>
              </w:rPr>
              <w:t>, aktīvo metabolītu, esteru un ēteru sāļu), kuras atļauts izmantot rūpniecībā (izņemot farmaceitiskiem mērķiem)</w:t>
            </w:r>
            <w:bookmarkEnd w:id="2"/>
            <w:r w:rsidR="001A5F62">
              <w:rPr>
                <w:rFonts w:ascii="Times New Roman" w:eastAsia="Times New Roman" w:hAnsi="Times New Roman" w:cs="Times New Roman"/>
                <w:iCs/>
                <w:color w:val="000000" w:themeColor="text1"/>
                <w:sz w:val="24"/>
                <w:szCs w:val="24"/>
                <w:lang w:eastAsia="lv-LV"/>
              </w:rPr>
              <w:t>.</w:t>
            </w:r>
          </w:p>
          <w:p w:rsidR="00B01CBC" w:rsidRDefault="00B01CBC" w:rsidP="00B37CD4">
            <w:pPr>
              <w:spacing w:after="0" w:line="240" w:lineRule="auto"/>
              <w:rPr>
                <w:rFonts w:ascii="Times New Roman" w:eastAsia="Times New Roman" w:hAnsi="Times New Roman" w:cs="Times New Roman"/>
                <w:iCs/>
                <w:color w:val="000000" w:themeColor="text1"/>
                <w:sz w:val="24"/>
                <w:szCs w:val="24"/>
                <w:lang w:eastAsia="lv-LV"/>
              </w:rPr>
            </w:pPr>
          </w:p>
          <w:p w:rsidR="00B01CBC" w:rsidRDefault="00B01CBC" w:rsidP="00B37CD4">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Ministru kabineta apstiprināmajā sarakstā ar </w:t>
            </w:r>
            <w:r w:rsidRPr="001A5F62">
              <w:rPr>
                <w:rFonts w:ascii="Times New Roman" w:eastAsia="Times New Roman" w:hAnsi="Times New Roman" w:cs="Times New Roman"/>
                <w:iCs/>
                <w:color w:val="000000" w:themeColor="text1"/>
                <w:sz w:val="24"/>
                <w:szCs w:val="24"/>
                <w:lang w:eastAsia="lv-LV"/>
              </w:rPr>
              <w:t>II un III sarakstā iekļaut</w:t>
            </w:r>
            <w:r>
              <w:rPr>
                <w:rFonts w:ascii="Times New Roman" w:eastAsia="Times New Roman" w:hAnsi="Times New Roman" w:cs="Times New Roman"/>
                <w:iCs/>
                <w:color w:val="000000" w:themeColor="text1"/>
                <w:sz w:val="24"/>
                <w:szCs w:val="24"/>
                <w:lang w:eastAsia="lv-LV"/>
              </w:rPr>
              <w:t>ajām</w:t>
            </w:r>
            <w:r w:rsidRPr="001A5F62">
              <w:rPr>
                <w:rFonts w:ascii="Times New Roman" w:eastAsia="Times New Roman" w:hAnsi="Times New Roman" w:cs="Times New Roman"/>
                <w:iCs/>
                <w:color w:val="000000" w:themeColor="text1"/>
                <w:sz w:val="24"/>
                <w:szCs w:val="24"/>
                <w:lang w:eastAsia="lv-LV"/>
              </w:rPr>
              <w:t xml:space="preserve"> viel</w:t>
            </w:r>
            <w:r>
              <w:rPr>
                <w:rFonts w:ascii="Times New Roman" w:eastAsia="Times New Roman" w:hAnsi="Times New Roman" w:cs="Times New Roman"/>
                <w:iCs/>
                <w:color w:val="000000" w:themeColor="text1"/>
                <w:sz w:val="24"/>
                <w:szCs w:val="24"/>
                <w:lang w:eastAsia="lv-LV"/>
              </w:rPr>
              <w:t>ām</w:t>
            </w:r>
            <w:r w:rsidRPr="001A5F62">
              <w:rPr>
                <w:rFonts w:ascii="Times New Roman" w:eastAsia="Times New Roman" w:hAnsi="Times New Roman" w:cs="Times New Roman"/>
                <w:iCs/>
                <w:color w:val="000000" w:themeColor="text1"/>
                <w:sz w:val="24"/>
                <w:szCs w:val="24"/>
                <w:lang w:eastAsia="lv-LV"/>
              </w:rPr>
              <w:t xml:space="preserve"> vai vielu atvasinājum</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xml:space="preserve">, </w:t>
            </w:r>
            <w:r w:rsidRPr="001A5F62">
              <w:rPr>
                <w:rFonts w:ascii="Times New Roman" w:eastAsia="Times New Roman" w:hAnsi="Times New Roman" w:cs="Times New Roman"/>
                <w:iCs/>
                <w:color w:val="000000" w:themeColor="text1"/>
                <w:sz w:val="24"/>
                <w:szCs w:val="24"/>
                <w:lang w:eastAsia="lv-LV"/>
              </w:rPr>
              <w:lastRenderedPageBreak/>
              <w:t>izomēr</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xml:space="preserve">, </w:t>
            </w:r>
            <w:proofErr w:type="spellStart"/>
            <w:r w:rsidRPr="001A5F62">
              <w:rPr>
                <w:rFonts w:ascii="Times New Roman" w:eastAsia="Times New Roman" w:hAnsi="Times New Roman" w:cs="Times New Roman"/>
                <w:iCs/>
                <w:color w:val="000000" w:themeColor="text1"/>
                <w:sz w:val="24"/>
                <w:szCs w:val="24"/>
                <w:lang w:eastAsia="lv-LV"/>
              </w:rPr>
              <w:t>struktūranalog</w:t>
            </w:r>
            <w:r>
              <w:rPr>
                <w:rFonts w:ascii="Times New Roman" w:eastAsia="Times New Roman" w:hAnsi="Times New Roman" w:cs="Times New Roman"/>
                <w:iCs/>
                <w:color w:val="000000" w:themeColor="text1"/>
                <w:sz w:val="24"/>
                <w:szCs w:val="24"/>
                <w:lang w:eastAsia="lv-LV"/>
              </w:rPr>
              <w:t>iem</w:t>
            </w:r>
            <w:proofErr w:type="spellEnd"/>
            <w:r w:rsidRPr="001A5F62">
              <w:rPr>
                <w:rFonts w:ascii="Times New Roman" w:eastAsia="Times New Roman" w:hAnsi="Times New Roman" w:cs="Times New Roman"/>
                <w:iCs/>
                <w:color w:val="000000" w:themeColor="text1"/>
                <w:sz w:val="24"/>
                <w:szCs w:val="24"/>
                <w:lang w:eastAsia="lv-LV"/>
              </w:rPr>
              <w:t>, aktīv</w:t>
            </w:r>
            <w:r>
              <w:rPr>
                <w:rFonts w:ascii="Times New Roman" w:eastAsia="Times New Roman" w:hAnsi="Times New Roman" w:cs="Times New Roman"/>
                <w:iCs/>
                <w:color w:val="000000" w:themeColor="text1"/>
                <w:sz w:val="24"/>
                <w:szCs w:val="24"/>
                <w:lang w:eastAsia="lv-LV"/>
              </w:rPr>
              <w:t>ajiem</w:t>
            </w:r>
            <w:r w:rsidRPr="001A5F62">
              <w:rPr>
                <w:rFonts w:ascii="Times New Roman" w:eastAsia="Times New Roman" w:hAnsi="Times New Roman" w:cs="Times New Roman"/>
                <w:iCs/>
                <w:color w:val="000000" w:themeColor="text1"/>
                <w:sz w:val="24"/>
                <w:szCs w:val="24"/>
                <w:lang w:eastAsia="lv-LV"/>
              </w:rPr>
              <w:t xml:space="preserve"> metabolīt</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ester</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ēter</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xml:space="preserve"> un sāļ</w:t>
            </w:r>
            <w:r>
              <w:rPr>
                <w:rFonts w:ascii="Times New Roman" w:eastAsia="Times New Roman" w:hAnsi="Times New Roman" w:cs="Times New Roman"/>
                <w:iCs/>
                <w:color w:val="000000" w:themeColor="text1"/>
                <w:sz w:val="24"/>
                <w:szCs w:val="24"/>
                <w:lang w:eastAsia="lv-LV"/>
              </w:rPr>
              <w:t>iem</w:t>
            </w:r>
            <w:r w:rsidRPr="001A5F62">
              <w:rPr>
                <w:rFonts w:ascii="Times New Roman" w:eastAsia="Times New Roman" w:hAnsi="Times New Roman" w:cs="Times New Roman"/>
                <w:iCs/>
                <w:color w:val="000000" w:themeColor="text1"/>
                <w:sz w:val="24"/>
                <w:szCs w:val="24"/>
                <w:lang w:eastAsia="lv-LV"/>
              </w:rPr>
              <w:t xml:space="preserve"> (ieskaitot izomēru, </w:t>
            </w:r>
            <w:proofErr w:type="spellStart"/>
            <w:r w:rsidRPr="001A5F62">
              <w:rPr>
                <w:rFonts w:ascii="Times New Roman" w:eastAsia="Times New Roman" w:hAnsi="Times New Roman" w:cs="Times New Roman"/>
                <w:iCs/>
                <w:color w:val="000000" w:themeColor="text1"/>
                <w:sz w:val="24"/>
                <w:szCs w:val="24"/>
                <w:lang w:eastAsia="lv-LV"/>
              </w:rPr>
              <w:t>struktūranalogu</w:t>
            </w:r>
            <w:proofErr w:type="spellEnd"/>
            <w:r w:rsidRPr="001A5F62">
              <w:rPr>
                <w:rFonts w:ascii="Times New Roman" w:eastAsia="Times New Roman" w:hAnsi="Times New Roman" w:cs="Times New Roman"/>
                <w:iCs/>
                <w:color w:val="000000" w:themeColor="text1"/>
                <w:sz w:val="24"/>
                <w:szCs w:val="24"/>
                <w:lang w:eastAsia="lv-LV"/>
              </w:rPr>
              <w:t>, aktīvo metabolītu, esteru un ēteru sāļu), kuras atļauts izmantot rūpniecībā (izņemot farmaceitiskiem mērķiem)</w:t>
            </w:r>
            <w:r>
              <w:rPr>
                <w:rFonts w:ascii="Times New Roman" w:eastAsia="Times New Roman" w:hAnsi="Times New Roman" w:cs="Times New Roman"/>
                <w:iCs/>
                <w:color w:val="000000" w:themeColor="text1"/>
                <w:sz w:val="24"/>
                <w:szCs w:val="24"/>
                <w:lang w:eastAsia="lv-LV"/>
              </w:rPr>
              <w:t xml:space="preserve"> sākotnēji tiks iekļauta tikai viena viela - </w:t>
            </w:r>
            <w:r w:rsidRPr="00471481">
              <w:rPr>
                <w:rFonts w:ascii="Times New Roman" w:eastAsia="Times New Roman" w:hAnsi="Times New Roman" w:cs="Times New Roman"/>
                <w:iCs/>
                <w:color w:val="000000" w:themeColor="text1"/>
                <w:sz w:val="24"/>
                <w:szCs w:val="24"/>
                <w:lang w:eastAsia="lv-LV"/>
              </w:rPr>
              <w:t>gamma-</w:t>
            </w:r>
            <w:proofErr w:type="spellStart"/>
            <w:r w:rsidRPr="00471481">
              <w:rPr>
                <w:rFonts w:ascii="Times New Roman" w:eastAsia="Times New Roman" w:hAnsi="Times New Roman" w:cs="Times New Roman"/>
                <w:iCs/>
                <w:color w:val="000000" w:themeColor="text1"/>
                <w:sz w:val="24"/>
                <w:szCs w:val="24"/>
                <w:lang w:eastAsia="lv-LV"/>
              </w:rPr>
              <w:t>butirolaktons</w:t>
            </w:r>
            <w:proofErr w:type="spellEnd"/>
            <w:r>
              <w:rPr>
                <w:rFonts w:ascii="Times New Roman" w:eastAsia="Times New Roman" w:hAnsi="Times New Roman" w:cs="Times New Roman"/>
                <w:iCs/>
                <w:color w:val="000000" w:themeColor="text1"/>
                <w:sz w:val="24"/>
                <w:szCs w:val="24"/>
                <w:lang w:eastAsia="lv-LV"/>
              </w:rPr>
              <w:t xml:space="preserve"> (GBL).</w:t>
            </w:r>
          </w:p>
          <w:p w:rsidR="00B01CBC" w:rsidRDefault="00B01CBC" w:rsidP="00B37CD4">
            <w:pPr>
              <w:spacing w:after="0" w:line="240" w:lineRule="auto"/>
              <w:rPr>
                <w:rFonts w:ascii="Times New Roman" w:eastAsia="Times New Roman" w:hAnsi="Times New Roman" w:cs="Times New Roman"/>
                <w:iCs/>
                <w:color w:val="000000" w:themeColor="text1"/>
                <w:sz w:val="24"/>
                <w:szCs w:val="24"/>
                <w:lang w:eastAsia="lv-LV"/>
              </w:rPr>
            </w:pPr>
          </w:p>
          <w:p w:rsidR="00B01CBC" w:rsidRDefault="006E34DC" w:rsidP="00B37CD4">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Prasības </w:t>
            </w:r>
            <w:r w:rsidR="00686BE1">
              <w:rPr>
                <w:rFonts w:ascii="Times New Roman" w:eastAsia="Times New Roman" w:hAnsi="Times New Roman" w:cs="Times New Roman"/>
                <w:iCs/>
                <w:color w:val="000000" w:themeColor="text1"/>
                <w:sz w:val="24"/>
                <w:szCs w:val="24"/>
                <w:lang w:eastAsia="lv-LV"/>
              </w:rPr>
              <w:t xml:space="preserve">augstāk minētajā sarakstā iekļauto vielu apritei ir noteiktas līdzīgas kā </w:t>
            </w:r>
            <w:r w:rsidR="00686BE1" w:rsidRPr="00471481">
              <w:rPr>
                <w:rFonts w:ascii="Times New Roman" w:eastAsia="Times New Roman" w:hAnsi="Times New Roman" w:cs="Times New Roman"/>
                <w:iCs/>
                <w:color w:val="000000" w:themeColor="text1"/>
                <w:sz w:val="24"/>
                <w:szCs w:val="24"/>
                <w:lang w:eastAsia="lv-LV"/>
              </w:rPr>
              <w:t xml:space="preserve">Latvijas kontrolējamo narkotisko un psihotropo vielu II </w:t>
            </w:r>
            <w:r w:rsidR="00686BE1">
              <w:rPr>
                <w:rFonts w:ascii="Times New Roman" w:eastAsia="Times New Roman" w:hAnsi="Times New Roman" w:cs="Times New Roman"/>
                <w:iCs/>
                <w:color w:val="000000" w:themeColor="text1"/>
                <w:sz w:val="24"/>
                <w:szCs w:val="24"/>
                <w:lang w:eastAsia="lv-LV"/>
              </w:rPr>
              <w:t xml:space="preserve">un III </w:t>
            </w:r>
            <w:r w:rsidR="00686BE1" w:rsidRPr="00471481">
              <w:rPr>
                <w:rFonts w:ascii="Times New Roman" w:eastAsia="Times New Roman" w:hAnsi="Times New Roman" w:cs="Times New Roman"/>
                <w:iCs/>
                <w:color w:val="000000" w:themeColor="text1"/>
                <w:sz w:val="24"/>
                <w:szCs w:val="24"/>
                <w:lang w:eastAsia="lv-LV"/>
              </w:rPr>
              <w:t>sarakstā iekļaut</w:t>
            </w:r>
            <w:r w:rsidR="00686BE1">
              <w:rPr>
                <w:rFonts w:ascii="Times New Roman" w:eastAsia="Times New Roman" w:hAnsi="Times New Roman" w:cs="Times New Roman"/>
                <w:iCs/>
                <w:color w:val="000000" w:themeColor="text1"/>
                <w:sz w:val="24"/>
                <w:szCs w:val="24"/>
                <w:lang w:eastAsia="lv-LV"/>
              </w:rPr>
              <w:t>o</w:t>
            </w:r>
            <w:r w:rsidR="00686BE1" w:rsidRPr="00471481">
              <w:rPr>
                <w:rFonts w:ascii="Times New Roman" w:eastAsia="Times New Roman" w:hAnsi="Times New Roman" w:cs="Times New Roman"/>
                <w:iCs/>
                <w:color w:val="000000" w:themeColor="text1"/>
                <w:sz w:val="24"/>
                <w:szCs w:val="24"/>
                <w:lang w:eastAsia="lv-LV"/>
              </w:rPr>
              <w:t xml:space="preserve"> viel</w:t>
            </w:r>
            <w:r w:rsidR="00686BE1">
              <w:rPr>
                <w:rFonts w:ascii="Times New Roman" w:eastAsia="Times New Roman" w:hAnsi="Times New Roman" w:cs="Times New Roman"/>
                <w:iCs/>
                <w:color w:val="000000" w:themeColor="text1"/>
                <w:sz w:val="24"/>
                <w:szCs w:val="24"/>
                <w:lang w:eastAsia="lv-LV"/>
              </w:rPr>
              <w:t>u apritei farmaceitiskiem mērķiem.</w:t>
            </w:r>
          </w:p>
          <w:p w:rsidR="00B37CD4" w:rsidRPr="00F92CC7" w:rsidRDefault="00B37CD4" w:rsidP="00A57B9E">
            <w:pPr>
              <w:spacing w:after="0" w:line="240" w:lineRule="auto"/>
              <w:rPr>
                <w:rFonts w:ascii="Times New Roman" w:eastAsia="Times New Roman" w:hAnsi="Times New Roman" w:cs="Times New Roman"/>
                <w:iCs/>
                <w:color w:val="A6A6A6" w:themeColor="background1" w:themeShade="A6"/>
                <w:sz w:val="24"/>
                <w:szCs w:val="24"/>
                <w:lang w:eastAsia="lv-LV"/>
              </w:rPr>
            </w:pPr>
          </w:p>
        </w:tc>
      </w:tr>
      <w:tr w:rsidR="00CD486E"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rsidR="00CD486E" w:rsidRPr="00F92CC7" w:rsidRDefault="0017126C" w:rsidP="00CD486E">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Vese</w:t>
            </w:r>
            <w:r>
              <w:rPr>
                <w:rFonts w:ascii="Times New Roman" w:eastAsia="Times New Roman" w:hAnsi="Times New Roman" w:cs="Times New Roman"/>
                <w:iCs/>
                <w:color w:val="000000" w:themeColor="text1"/>
                <w:sz w:val="24"/>
                <w:szCs w:val="24"/>
                <w:lang w:eastAsia="lv-LV"/>
              </w:rPr>
              <w:t>lības ministrija, Zāļu valsts aģentūra, Veselības inspekcija</w:t>
            </w:r>
          </w:p>
        </w:tc>
      </w:tr>
      <w:tr w:rsidR="00CD486E" w:rsidRPr="00F92CC7" w:rsidTr="00CD48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CD486E" w:rsidRPr="00F92CC7" w:rsidRDefault="00CD486E" w:rsidP="00CD486E">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CD486E" w:rsidRPr="00F92CC7" w:rsidRDefault="0017126C" w:rsidP="00CD486E">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Sabiedrības </w:t>
            </w:r>
            <w:proofErr w:type="spellStart"/>
            <w:r w:rsidRPr="00F92CC7">
              <w:rPr>
                <w:rFonts w:ascii="Times New Roman" w:eastAsia="Times New Roman" w:hAnsi="Times New Roman" w:cs="Times New Roman"/>
                <w:iCs/>
                <w:color w:val="414142"/>
                <w:sz w:val="24"/>
                <w:szCs w:val="24"/>
                <w:lang w:eastAsia="lv-LV"/>
              </w:rPr>
              <w:t>mērķgrupas</w:t>
            </w:r>
            <w:proofErr w:type="spellEnd"/>
            <w:r w:rsidRPr="00F92CC7">
              <w:rPr>
                <w:rFonts w:ascii="Times New Roman" w:eastAsia="Times New Roman" w:hAnsi="Times New Roman" w:cs="Times New Roman"/>
                <w:iCs/>
                <w:color w:val="414142"/>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 xml:space="preserve">Personas, kuras </w:t>
            </w:r>
            <w:r w:rsidR="00370E1F">
              <w:rPr>
                <w:rFonts w:ascii="Times New Roman" w:eastAsia="Times New Roman" w:hAnsi="Times New Roman" w:cs="Times New Roman"/>
                <w:iCs/>
                <w:color w:val="000000" w:themeColor="text1"/>
                <w:sz w:val="24"/>
                <w:szCs w:val="24"/>
                <w:lang w:eastAsia="lv-LV"/>
              </w:rPr>
              <w:t xml:space="preserve">izmanto </w:t>
            </w:r>
            <w:r w:rsidR="00370E1F" w:rsidRPr="001A5F62">
              <w:rPr>
                <w:rFonts w:ascii="Times New Roman" w:eastAsia="Times New Roman" w:hAnsi="Times New Roman" w:cs="Times New Roman"/>
                <w:iCs/>
                <w:color w:val="000000" w:themeColor="text1"/>
                <w:sz w:val="24"/>
                <w:szCs w:val="24"/>
                <w:lang w:eastAsia="lv-LV"/>
              </w:rPr>
              <w:t>II un III sarakstā iekļaut</w:t>
            </w:r>
            <w:r w:rsidR="00370E1F">
              <w:rPr>
                <w:rFonts w:ascii="Times New Roman" w:eastAsia="Times New Roman" w:hAnsi="Times New Roman" w:cs="Times New Roman"/>
                <w:iCs/>
                <w:color w:val="000000" w:themeColor="text1"/>
                <w:sz w:val="24"/>
                <w:szCs w:val="24"/>
                <w:lang w:eastAsia="lv-LV"/>
              </w:rPr>
              <w:t>ās</w:t>
            </w:r>
            <w:r w:rsidR="00370E1F" w:rsidRPr="001A5F62">
              <w:rPr>
                <w:rFonts w:ascii="Times New Roman" w:eastAsia="Times New Roman" w:hAnsi="Times New Roman" w:cs="Times New Roman"/>
                <w:iCs/>
                <w:color w:val="000000" w:themeColor="text1"/>
                <w:sz w:val="24"/>
                <w:szCs w:val="24"/>
                <w:lang w:eastAsia="lv-LV"/>
              </w:rPr>
              <w:t xml:space="preserve"> viel</w:t>
            </w:r>
            <w:r w:rsidR="00370E1F">
              <w:rPr>
                <w:rFonts w:ascii="Times New Roman" w:eastAsia="Times New Roman" w:hAnsi="Times New Roman" w:cs="Times New Roman"/>
                <w:iCs/>
                <w:color w:val="000000" w:themeColor="text1"/>
                <w:sz w:val="24"/>
                <w:szCs w:val="24"/>
                <w:lang w:eastAsia="lv-LV"/>
              </w:rPr>
              <w:t>as rūpniecībā</w:t>
            </w:r>
            <w:r w:rsidRPr="0017126C">
              <w:rPr>
                <w:rFonts w:ascii="Times New Roman" w:eastAsia="Times New Roman" w:hAnsi="Times New Roman" w:cs="Times New Roman"/>
                <w:iCs/>
                <w:color w:val="000000" w:themeColor="text1"/>
                <w:sz w:val="24"/>
                <w:szCs w:val="24"/>
                <w:lang w:eastAsia="lv-LV"/>
              </w:rPr>
              <w:t>.</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370E1F" w:rsidRDefault="00370E1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w:t>
            </w:r>
            <w:r w:rsidR="00160D2F">
              <w:rPr>
                <w:rFonts w:ascii="Times New Roman" w:eastAsia="Times New Roman" w:hAnsi="Times New Roman" w:cs="Times New Roman"/>
                <w:iCs/>
                <w:sz w:val="24"/>
                <w:szCs w:val="24"/>
                <w:lang w:eastAsia="lv-LV"/>
              </w:rPr>
              <w:t xml:space="preserve"> no vienas puses rada nelielu administratīvo slogu – personām, kuras</w:t>
            </w:r>
            <w:r w:rsidR="00160D2F" w:rsidRPr="0017126C">
              <w:rPr>
                <w:rFonts w:ascii="Times New Roman" w:eastAsia="Times New Roman" w:hAnsi="Times New Roman" w:cs="Times New Roman"/>
                <w:iCs/>
                <w:color w:val="000000" w:themeColor="text1"/>
                <w:sz w:val="24"/>
                <w:szCs w:val="24"/>
                <w:lang w:eastAsia="lv-LV"/>
              </w:rPr>
              <w:t xml:space="preserve"> </w:t>
            </w:r>
            <w:r w:rsidR="00160D2F">
              <w:rPr>
                <w:rFonts w:ascii="Times New Roman" w:eastAsia="Times New Roman" w:hAnsi="Times New Roman" w:cs="Times New Roman"/>
                <w:iCs/>
                <w:color w:val="000000" w:themeColor="text1"/>
                <w:sz w:val="24"/>
                <w:szCs w:val="24"/>
                <w:lang w:eastAsia="lv-LV"/>
              </w:rPr>
              <w:t xml:space="preserve">izmanto </w:t>
            </w:r>
            <w:r w:rsidR="00160D2F" w:rsidRPr="001A5F62">
              <w:rPr>
                <w:rFonts w:ascii="Times New Roman" w:eastAsia="Times New Roman" w:hAnsi="Times New Roman" w:cs="Times New Roman"/>
                <w:iCs/>
                <w:color w:val="000000" w:themeColor="text1"/>
                <w:sz w:val="24"/>
                <w:szCs w:val="24"/>
                <w:lang w:eastAsia="lv-LV"/>
              </w:rPr>
              <w:t>II un III sarakstā iekļaut</w:t>
            </w:r>
            <w:r w:rsidR="00160D2F">
              <w:rPr>
                <w:rFonts w:ascii="Times New Roman" w:eastAsia="Times New Roman" w:hAnsi="Times New Roman" w:cs="Times New Roman"/>
                <w:iCs/>
                <w:color w:val="000000" w:themeColor="text1"/>
                <w:sz w:val="24"/>
                <w:szCs w:val="24"/>
                <w:lang w:eastAsia="lv-LV"/>
              </w:rPr>
              <w:t>ās</w:t>
            </w:r>
            <w:r w:rsidR="00160D2F" w:rsidRPr="001A5F62">
              <w:rPr>
                <w:rFonts w:ascii="Times New Roman" w:eastAsia="Times New Roman" w:hAnsi="Times New Roman" w:cs="Times New Roman"/>
                <w:iCs/>
                <w:color w:val="000000" w:themeColor="text1"/>
                <w:sz w:val="24"/>
                <w:szCs w:val="24"/>
                <w:lang w:eastAsia="lv-LV"/>
              </w:rPr>
              <w:t xml:space="preserve"> viel</w:t>
            </w:r>
            <w:r w:rsidR="00160D2F">
              <w:rPr>
                <w:rFonts w:ascii="Times New Roman" w:eastAsia="Times New Roman" w:hAnsi="Times New Roman" w:cs="Times New Roman"/>
                <w:iCs/>
                <w:color w:val="000000" w:themeColor="text1"/>
                <w:sz w:val="24"/>
                <w:szCs w:val="24"/>
                <w:lang w:eastAsia="lv-LV"/>
              </w:rPr>
              <w:t xml:space="preserve">as rūpniecībā, turpmāk ir nepieciešams saņemt Zāļu valsts aģentūras atļauju </w:t>
            </w:r>
            <w:r w:rsidR="00160D2F" w:rsidRPr="001A5F62">
              <w:rPr>
                <w:rFonts w:ascii="Times New Roman" w:eastAsia="Times New Roman" w:hAnsi="Times New Roman" w:cs="Times New Roman"/>
                <w:iCs/>
                <w:color w:val="000000" w:themeColor="text1"/>
                <w:sz w:val="24"/>
                <w:szCs w:val="24"/>
                <w:lang w:eastAsia="lv-LV"/>
              </w:rPr>
              <w:t>II un III sarakstā iekļaut</w:t>
            </w:r>
            <w:r w:rsidR="00160D2F">
              <w:rPr>
                <w:rFonts w:ascii="Times New Roman" w:eastAsia="Times New Roman" w:hAnsi="Times New Roman" w:cs="Times New Roman"/>
                <w:iCs/>
                <w:color w:val="000000" w:themeColor="text1"/>
                <w:sz w:val="24"/>
                <w:szCs w:val="24"/>
                <w:lang w:eastAsia="lv-LV"/>
              </w:rPr>
              <w:t>o</w:t>
            </w:r>
            <w:r w:rsidR="00160D2F" w:rsidRPr="001A5F62">
              <w:rPr>
                <w:rFonts w:ascii="Times New Roman" w:eastAsia="Times New Roman" w:hAnsi="Times New Roman" w:cs="Times New Roman"/>
                <w:iCs/>
                <w:color w:val="000000" w:themeColor="text1"/>
                <w:sz w:val="24"/>
                <w:szCs w:val="24"/>
                <w:lang w:eastAsia="lv-LV"/>
              </w:rPr>
              <w:t xml:space="preserve"> viel</w:t>
            </w:r>
            <w:r w:rsidR="00160D2F">
              <w:rPr>
                <w:rFonts w:ascii="Times New Roman" w:eastAsia="Times New Roman" w:hAnsi="Times New Roman" w:cs="Times New Roman"/>
                <w:iCs/>
                <w:color w:val="000000" w:themeColor="text1"/>
                <w:sz w:val="24"/>
                <w:szCs w:val="24"/>
                <w:lang w:eastAsia="lv-LV"/>
              </w:rPr>
              <w:t xml:space="preserve">u izmantošanai rūpniecībā, kā arī uzskaitīt tās un ik ceturksni sniegt pārskatus Zāļu valsts aģentūrai, bet no otras puses komersantiem tiek dota legāla iespēja </w:t>
            </w:r>
            <w:r w:rsidR="00160D2F" w:rsidRPr="001A5F62">
              <w:rPr>
                <w:rFonts w:ascii="Times New Roman" w:eastAsia="Times New Roman" w:hAnsi="Times New Roman" w:cs="Times New Roman"/>
                <w:iCs/>
                <w:color w:val="000000" w:themeColor="text1"/>
                <w:sz w:val="24"/>
                <w:szCs w:val="24"/>
                <w:lang w:eastAsia="lv-LV"/>
              </w:rPr>
              <w:t>II un III sarakstā iekļaut</w:t>
            </w:r>
            <w:r w:rsidR="00160D2F">
              <w:rPr>
                <w:rFonts w:ascii="Times New Roman" w:eastAsia="Times New Roman" w:hAnsi="Times New Roman" w:cs="Times New Roman"/>
                <w:iCs/>
                <w:color w:val="000000" w:themeColor="text1"/>
                <w:sz w:val="24"/>
                <w:szCs w:val="24"/>
                <w:lang w:eastAsia="lv-LV"/>
              </w:rPr>
              <w:t>ās</w:t>
            </w:r>
            <w:r w:rsidR="00160D2F" w:rsidRPr="001A5F62">
              <w:rPr>
                <w:rFonts w:ascii="Times New Roman" w:eastAsia="Times New Roman" w:hAnsi="Times New Roman" w:cs="Times New Roman"/>
                <w:iCs/>
                <w:color w:val="000000" w:themeColor="text1"/>
                <w:sz w:val="24"/>
                <w:szCs w:val="24"/>
                <w:lang w:eastAsia="lv-LV"/>
              </w:rPr>
              <w:t xml:space="preserve"> viel</w:t>
            </w:r>
            <w:r w:rsidR="00160D2F">
              <w:rPr>
                <w:rFonts w:ascii="Times New Roman" w:eastAsia="Times New Roman" w:hAnsi="Times New Roman" w:cs="Times New Roman"/>
                <w:iCs/>
                <w:color w:val="000000" w:themeColor="text1"/>
                <w:sz w:val="24"/>
                <w:szCs w:val="24"/>
                <w:lang w:eastAsia="lv-LV"/>
              </w:rPr>
              <w:t>as izmantot rūpniecībā, kas līdz šim bija aizliegts, tādējādi radot pozitīvu ietekmi uz tautsaimniecību.</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4905C6" w:rsidRDefault="004905C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Uzskaite un informācijas sniegšana var tikt veikta, izmantojot standarta biroja programmatūru, kā arī tā nepatērē būtisku daudzumu darba stundu, līdz ar ko kopējās administratīvās izmaksas nepārsniedz EUR 2000.</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4905C6" w:rsidRDefault="005A50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Personām, kuras </w:t>
            </w:r>
            <w:r>
              <w:rPr>
                <w:rFonts w:ascii="Times New Roman" w:eastAsia="Times New Roman" w:hAnsi="Times New Roman" w:cs="Times New Roman"/>
                <w:iCs/>
                <w:color w:val="000000" w:themeColor="text1"/>
                <w:sz w:val="24"/>
                <w:szCs w:val="24"/>
                <w:lang w:eastAsia="lv-LV"/>
              </w:rPr>
              <w:t xml:space="preserve">izmantos </w:t>
            </w:r>
            <w:r w:rsidRPr="001A5F62">
              <w:rPr>
                <w:rFonts w:ascii="Times New Roman" w:eastAsia="Times New Roman" w:hAnsi="Times New Roman" w:cs="Times New Roman"/>
                <w:iCs/>
                <w:color w:val="000000" w:themeColor="text1"/>
                <w:sz w:val="24"/>
                <w:szCs w:val="24"/>
                <w:lang w:eastAsia="lv-LV"/>
              </w:rPr>
              <w:t>II un III sarakstā iekļaut</w:t>
            </w:r>
            <w:r>
              <w:rPr>
                <w:rFonts w:ascii="Times New Roman" w:eastAsia="Times New Roman" w:hAnsi="Times New Roman" w:cs="Times New Roman"/>
                <w:iCs/>
                <w:color w:val="000000" w:themeColor="text1"/>
                <w:sz w:val="24"/>
                <w:szCs w:val="24"/>
                <w:lang w:eastAsia="lv-LV"/>
              </w:rPr>
              <w:t>ās</w:t>
            </w:r>
            <w:r w:rsidRPr="001A5F62">
              <w:rPr>
                <w:rFonts w:ascii="Times New Roman" w:eastAsia="Times New Roman" w:hAnsi="Times New Roman" w:cs="Times New Roman"/>
                <w:iCs/>
                <w:color w:val="000000" w:themeColor="text1"/>
                <w:sz w:val="24"/>
                <w:szCs w:val="24"/>
                <w:lang w:eastAsia="lv-LV"/>
              </w:rPr>
              <w:t xml:space="preserve"> viel</w:t>
            </w:r>
            <w:r>
              <w:rPr>
                <w:rFonts w:ascii="Times New Roman" w:eastAsia="Times New Roman" w:hAnsi="Times New Roman" w:cs="Times New Roman"/>
                <w:iCs/>
                <w:color w:val="000000" w:themeColor="text1"/>
                <w:sz w:val="24"/>
                <w:szCs w:val="24"/>
                <w:lang w:eastAsia="lv-LV"/>
              </w:rPr>
              <w:t>as rūpniecībā, būs nepieciešams iegādāties slēdzamu metāla skapi vai seifu saraksta vielu uzglabāšanai</w:t>
            </w:r>
            <w:r w:rsidR="00740D25">
              <w:rPr>
                <w:rFonts w:ascii="Times New Roman" w:eastAsia="Times New Roman" w:hAnsi="Times New Roman" w:cs="Times New Roman"/>
                <w:iCs/>
                <w:color w:val="000000" w:themeColor="text1"/>
                <w:sz w:val="24"/>
                <w:szCs w:val="24"/>
                <w:lang w:eastAsia="lv-LV"/>
              </w:rPr>
              <w:t>, kā arī pieslēgt to esošajai centrālajai signalizācijas sistēmai (ja tāda ir)</w:t>
            </w:r>
            <w:r>
              <w:rPr>
                <w:rFonts w:ascii="Times New Roman" w:eastAsia="Times New Roman" w:hAnsi="Times New Roman" w:cs="Times New Roman"/>
                <w:iCs/>
                <w:color w:val="000000" w:themeColor="text1"/>
                <w:sz w:val="24"/>
                <w:szCs w:val="24"/>
                <w:lang w:eastAsia="lv-LV"/>
              </w:rPr>
              <w:t>. Slēdzama metāla skapja vai seifa iegādes izmaksas ir vismaz 50-150 EUR. Kopējais skaits personu, uz kurām attiecas šīs prasības, nav zināms.</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5A50D7"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94"/>
        <w:gridCol w:w="994"/>
        <w:gridCol w:w="1124"/>
        <w:gridCol w:w="896"/>
        <w:gridCol w:w="1125"/>
        <w:gridCol w:w="896"/>
        <w:gridCol w:w="1125"/>
        <w:gridCol w:w="1201"/>
      </w:tblGrid>
      <w:tr w:rsidR="00DD0636" w:rsidTr="00DD0636">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rPr>
                <w:b/>
                <w:bCs/>
              </w:rPr>
            </w:pPr>
            <w:r w:rsidRPr="002B6F6E">
              <w:rPr>
                <w:b/>
                <w:bCs/>
              </w:rPr>
              <w:lastRenderedPageBreak/>
              <w:t>III. Tiesību akta projekta ietekme uz valsts budžetu un pašvaldību budžetiem</w:t>
            </w:r>
          </w:p>
        </w:tc>
      </w:tr>
      <w:tr w:rsidR="00DD0636" w:rsidTr="00DD0636">
        <w:trPr>
          <w:tblCellSpacing w:w="15" w:type="dxa"/>
        </w:trPr>
        <w:tc>
          <w:tcPr>
            <w:tcW w:w="929" w:type="pct"/>
            <w:vMerge w:val="restar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Rādītāji</w:t>
            </w:r>
          </w:p>
        </w:tc>
        <w:tc>
          <w:tcPr>
            <w:tcW w:w="1159"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2019.gads</w:t>
            </w:r>
          </w:p>
        </w:tc>
        <w:tc>
          <w:tcPr>
            <w:tcW w:w="2841" w:type="pct"/>
            <w:gridSpan w:val="5"/>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Turpmākie trīs gadi (</w:t>
            </w:r>
            <w:proofErr w:type="spellStart"/>
            <w:r w:rsidRPr="002B6F6E">
              <w:rPr>
                <w:i/>
                <w:iCs/>
              </w:rPr>
              <w:t>euro</w:t>
            </w:r>
            <w:proofErr w:type="spellEnd"/>
            <w:r w:rsidRPr="002B6F6E">
              <w:t>)</w:t>
            </w:r>
          </w:p>
        </w:tc>
      </w:tr>
      <w:tr w:rsidR="00DD0636" w:rsidTr="00DD063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2020.</w:t>
            </w:r>
          </w:p>
        </w:tc>
        <w:tc>
          <w:tcPr>
            <w:tcW w:w="1104" w:type="pct"/>
            <w:gridSpan w:val="2"/>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2021.</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2022.</w:t>
            </w:r>
          </w:p>
        </w:tc>
      </w:tr>
      <w:tr w:rsidR="00DD0636" w:rsidTr="00DD063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saskaņā ar valsts budžetu kārtējam gadam</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izmaiņas kārtējā gadā, salīdzinot ar valsts budžetu kārtējam gadam</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saskaņā ar vidēja termiņa budžeta ietvaru</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izmaiņas, salīdzinot ar vidēja termiņa budžeta ietvaru n+1 gadam</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saskaņā ar vidēja termiņa budžeta ietvaru</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izmaiņas, salīdzinot ar vidēja termiņa budžeta ietvaru n+2 gadam</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izmaiņas, salīdzinot ar vidēja termiņa budžeta ietvaru n+2 gadam</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1</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2</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3</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4</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5</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6</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7</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pStyle w:val="tvhtml"/>
              <w:jc w:val="center"/>
            </w:pPr>
            <w:r w:rsidRPr="002B6F6E">
              <w:t>8</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1. Budžeta ieņēmumi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1.1. valsts pamatbudžets, tai skaitā ieņēmumi no maksas pakalpojumiem un citi pašu ieņēmumi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1.2. valsts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1.3.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2. Budžeta izdevumi</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2.1. valsts pamatbudžets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2.2. valsts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2.3.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3. Finansiālā ietekme</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b/>
                <w:sz w:val="24"/>
                <w:szCs w:val="24"/>
              </w:rPr>
            </w:pPr>
            <w:r w:rsidRPr="002B6F6E">
              <w:rPr>
                <w:rFonts w:ascii="Times New Roman" w:hAnsi="Times New Roman" w:cs="Times New Roman"/>
                <w:b/>
                <w:sz w:val="24"/>
                <w:szCs w:val="24"/>
              </w:rPr>
              <w:t> -38 359</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lastRenderedPageBreak/>
              <w:t>3.1. valsts pamatbudžets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3.2. speciālais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3.3. pašvaldību budžets</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4. Finanšu līdzekļi papildu izdevumu finansēšanai (kompensējošu izdevumu samazinājumu norāda ar "+" zīmi)</w:t>
            </w:r>
          </w:p>
        </w:tc>
        <w:tc>
          <w:tcPr>
            <w:tcW w:w="543"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48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38 359</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5. Precizēta finansiālā ietekme</w:t>
            </w:r>
          </w:p>
        </w:tc>
        <w:tc>
          <w:tcPr>
            <w:tcW w:w="543" w:type="pct"/>
            <w:vMerge w:val="restar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vMerge w:val="restar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488" w:type="pct"/>
            <w:vMerge w:val="restar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4018" w:type="pct"/>
            <w:gridSpan w:val="7"/>
            <w:vMerge w:val="restart"/>
            <w:tcBorders>
              <w:top w:val="outset" w:sz="6" w:space="0" w:color="auto"/>
              <w:left w:val="outset" w:sz="6" w:space="0" w:color="auto"/>
              <w:bottom w:val="outset" w:sz="6" w:space="0" w:color="auto"/>
              <w:right w:val="outset" w:sz="6" w:space="0" w:color="auto"/>
            </w:tcBorders>
            <w:vAlign w:val="center"/>
          </w:tcPr>
          <w:p w:rsidR="00DD0636" w:rsidRPr="002B6F6E" w:rsidRDefault="00DD0636">
            <w:pPr>
              <w:spacing w:before="120"/>
              <w:rPr>
                <w:rFonts w:ascii="Times New Roman" w:hAnsi="Times New Roman" w:cs="Times New Roman"/>
                <w:noProof/>
                <w:sz w:val="24"/>
                <w:szCs w:val="24"/>
              </w:rPr>
            </w:pPr>
            <w:r w:rsidRPr="002B6F6E">
              <w:rPr>
                <w:rFonts w:ascii="Times New Roman" w:hAnsi="Times New Roman" w:cs="Times New Roman"/>
                <w:noProof/>
                <w:sz w:val="24"/>
                <w:szCs w:val="24"/>
              </w:rPr>
              <w:t>Finansējuma nodrošinājums 2 inspektoru amata vietām EUR 38 359 (26.3.saime, IIIB līmenis, 10.algu grupa, 3. kategorija, mēnešalga EUR 1 120) (1 120 x 2 x 12 + 10% piemaksas + 5% sociālās garantijas + 24.09% DD VSAOI).</w:t>
            </w:r>
          </w:p>
          <w:p w:rsidR="00DD0636" w:rsidRPr="002B6F6E" w:rsidRDefault="00DD0636">
            <w:pPr>
              <w:spacing w:before="120"/>
              <w:rPr>
                <w:rFonts w:ascii="Times New Roman" w:hAnsi="Times New Roman" w:cs="Times New Roman"/>
                <w:noProof/>
                <w:sz w:val="24"/>
                <w:szCs w:val="24"/>
              </w:rPr>
            </w:pPr>
            <w:r w:rsidRPr="002B6F6E">
              <w:rPr>
                <w:rFonts w:ascii="Times New Roman" w:hAnsi="Times New Roman" w:cs="Times New Roman"/>
                <w:noProof/>
                <w:sz w:val="24"/>
                <w:szCs w:val="24"/>
              </w:rPr>
              <w:t xml:space="preserve">Kopā  atalgojums: </w:t>
            </w:r>
            <w:r w:rsidRPr="002B6F6E">
              <w:rPr>
                <w:rFonts w:ascii="Times New Roman" w:hAnsi="Times New Roman" w:cs="Times New Roman"/>
                <w:b/>
                <w:noProof/>
                <w:sz w:val="24"/>
                <w:szCs w:val="24"/>
              </w:rPr>
              <w:t>EUR 29 568;</w:t>
            </w:r>
          </w:p>
          <w:p w:rsidR="00DD0636" w:rsidRPr="002B6F6E" w:rsidRDefault="00DD0636">
            <w:pPr>
              <w:spacing w:before="120"/>
              <w:rPr>
                <w:rFonts w:ascii="Times New Roman" w:hAnsi="Times New Roman" w:cs="Times New Roman"/>
                <w:b/>
                <w:noProof/>
                <w:sz w:val="24"/>
                <w:szCs w:val="24"/>
              </w:rPr>
            </w:pPr>
            <w:r w:rsidRPr="002B6F6E">
              <w:rPr>
                <w:rFonts w:ascii="Times New Roman" w:hAnsi="Times New Roman" w:cs="Times New Roman"/>
                <w:noProof/>
                <w:sz w:val="24"/>
                <w:szCs w:val="24"/>
              </w:rPr>
              <w:t xml:space="preserve">Darba devēja VSAOI, pabalsti un kompensācijas: </w:t>
            </w:r>
            <w:r w:rsidRPr="002B6F6E">
              <w:rPr>
                <w:rFonts w:ascii="Times New Roman" w:hAnsi="Times New Roman" w:cs="Times New Roman"/>
                <w:b/>
                <w:noProof/>
                <w:sz w:val="24"/>
                <w:szCs w:val="24"/>
              </w:rPr>
              <w:t>EUR 8 791.</w:t>
            </w:r>
          </w:p>
          <w:p w:rsidR="00DD0636" w:rsidRPr="002B6F6E" w:rsidRDefault="00DD0636">
            <w:pPr>
              <w:spacing w:before="120"/>
              <w:rPr>
                <w:rFonts w:ascii="Times New Roman" w:hAnsi="Times New Roman" w:cs="Times New Roman"/>
                <w:b/>
                <w:noProof/>
                <w:sz w:val="24"/>
                <w:szCs w:val="24"/>
              </w:rPr>
            </w:pPr>
            <w:r w:rsidRPr="002B6F6E">
              <w:rPr>
                <w:rFonts w:ascii="Times New Roman" w:hAnsi="Times New Roman" w:cs="Times New Roman"/>
                <w:b/>
                <w:noProof/>
                <w:sz w:val="24"/>
                <w:szCs w:val="24"/>
              </w:rPr>
              <w:t xml:space="preserve">Atlīdzība kopā: </w:t>
            </w:r>
            <w:r w:rsidRPr="002B6F6E">
              <w:rPr>
                <w:rFonts w:ascii="Times New Roman" w:hAnsi="Times New Roman" w:cs="Times New Roman"/>
                <w:b/>
                <w:noProof/>
                <w:sz w:val="24"/>
                <w:szCs w:val="24"/>
                <w:u w:val="single"/>
              </w:rPr>
              <w:t>EUR 38 359.</w:t>
            </w:r>
          </w:p>
          <w:p w:rsidR="00DD0636" w:rsidRPr="002B6F6E" w:rsidRDefault="00DD0636">
            <w:pPr>
              <w:ind w:firstLine="352"/>
              <w:jc w:val="both"/>
              <w:rPr>
                <w:rFonts w:ascii="Times New Roman" w:hAnsi="Times New Roman" w:cs="Times New Roman"/>
                <w:noProof/>
                <w:sz w:val="24"/>
                <w:szCs w:val="24"/>
              </w:rPr>
            </w:pPr>
          </w:p>
          <w:p w:rsidR="00DD0636" w:rsidRPr="002B6F6E" w:rsidRDefault="00DD0636">
            <w:pPr>
              <w:ind w:firstLine="352"/>
              <w:jc w:val="both"/>
              <w:rPr>
                <w:rFonts w:ascii="Times New Roman" w:hAnsi="Times New Roman" w:cs="Times New Roman"/>
                <w:noProof/>
                <w:sz w:val="24"/>
                <w:szCs w:val="24"/>
              </w:rPr>
            </w:pPr>
            <w:r w:rsidRPr="002B6F6E">
              <w:rPr>
                <w:rFonts w:ascii="Times New Roman" w:hAnsi="Times New Roman" w:cs="Times New Roman"/>
                <w:noProof/>
                <w:sz w:val="24"/>
                <w:szCs w:val="24"/>
              </w:rPr>
              <w:lastRenderedPageBreak/>
              <w:t xml:space="preserve">Papildus nepieciešamā finansējuma sadalījums pa izdevumu kodiem atbilstoši ekonomiskajām kategorijām:     </w:t>
            </w:r>
          </w:p>
          <w:p w:rsidR="00DD0636" w:rsidRPr="002B6F6E" w:rsidRDefault="00DD0636">
            <w:pPr>
              <w:ind w:firstLine="254"/>
              <w:jc w:val="both"/>
              <w:rPr>
                <w:rFonts w:ascii="Times New Roman" w:hAnsi="Times New Roman" w:cs="Times New Roman"/>
                <w:noProof/>
                <w:sz w:val="24"/>
                <w:szCs w:val="24"/>
              </w:rPr>
            </w:pPr>
            <w:r w:rsidRPr="002B6F6E">
              <w:rPr>
                <w:rFonts w:ascii="Times New Roman" w:hAnsi="Times New Roman" w:cs="Times New Roman"/>
                <w:noProof/>
                <w:sz w:val="24"/>
                <w:szCs w:val="24"/>
              </w:rPr>
              <w:t xml:space="preserve">kods 1000 - atlīdzība  38 359 </w:t>
            </w:r>
            <w:r w:rsidRPr="002B6F6E">
              <w:rPr>
                <w:rFonts w:ascii="Times New Roman" w:hAnsi="Times New Roman" w:cs="Times New Roman"/>
                <w:i/>
                <w:noProof/>
                <w:sz w:val="24"/>
                <w:szCs w:val="24"/>
              </w:rPr>
              <w:t>euro</w:t>
            </w:r>
            <w:r w:rsidRPr="002B6F6E">
              <w:rPr>
                <w:rFonts w:ascii="Times New Roman" w:hAnsi="Times New Roman" w:cs="Times New Roman"/>
                <w:noProof/>
                <w:sz w:val="24"/>
                <w:szCs w:val="24"/>
              </w:rPr>
              <w:t xml:space="preserve">, </w:t>
            </w:r>
          </w:p>
          <w:p w:rsidR="00DD0636" w:rsidRPr="002B6F6E" w:rsidRDefault="00DD0636">
            <w:pPr>
              <w:ind w:firstLine="352"/>
              <w:jc w:val="both"/>
              <w:rPr>
                <w:rFonts w:ascii="Times New Roman" w:hAnsi="Times New Roman" w:cs="Times New Roman"/>
                <w:noProof/>
                <w:sz w:val="24"/>
                <w:szCs w:val="24"/>
              </w:rPr>
            </w:pPr>
            <w:r w:rsidRPr="002B6F6E">
              <w:rPr>
                <w:rFonts w:ascii="Times New Roman" w:hAnsi="Times New Roman" w:cs="Times New Roman"/>
                <w:noProof/>
                <w:sz w:val="24"/>
                <w:szCs w:val="24"/>
              </w:rPr>
              <w:t xml:space="preserve">     t.sk. 1100 – atalgojums 29 568 </w:t>
            </w:r>
            <w:r w:rsidRPr="002B6F6E">
              <w:rPr>
                <w:rFonts w:ascii="Times New Roman" w:hAnsi="Times New Roman" w:cs="Times New Roman"/>
                <w:i/>
                <w:noProof/>
                <w:sz w:val="24"/>
                <w:szCs w:val="24"/>
              </w:rPr>
              <w:t>euro.</w:t>
            </w:r>
          </w:p>
          <w:p w:rsidR="00DD0636" w:rsidRPr="002B6F6E" w:rsidRDefault="00DD0636">
            <w:pPr>
              <w:rPr>
                <w:rFonts w:ascii="Times New Roman" w:hAnsi="Times New Roman" w:cs="Times New Roman"/>
                <w:noProof/>
                <w:sz w:val="24"/>
                <w:szCs w:val="24"/>
              </w:rPr>
            </w:pPr>
            <w:r w:rsidRPr="002B6F6E">
              <w:rPr>
                <w:rFonts w:ascii="Times New Roman" w:hAnsi="Times New Roman" w:cs="Times New Roman"/>
                <w:noProof/>
                <w:sz w:val="24"/>
                <w:szCs w:val="24"/>
              </w:rPr>
              <w:t xml:space="preserve">  </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lastRenderedPageBreak/>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noProof/>
                <w:sz w:val="24"/>
                <w:szCs w:val="24"/>
              </w:rPr>
            </w:pP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DD0636" w:rsidRPr="002B6F6E" w:rsidRDefault="00DD0636">
            <w:pPr>
              <w:rPr>
                <w:rFonts w:ascii="Times New Roman" w:eastAsia="Times New Roman" w:hAnsi="Times New Roman" w:cs="Times New Roman"/>
                <w:noProof/>
                <w:sz w:val="24"/>
                <w:szCs w:val="24"/>
              </w:rPr>
            </w:pP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7. Amata vietu skaita izmaiņas</w:t>
            </w:r>
          </w:p>
        </w:tc>
        <w:tc>
          <w:tcPr>
            <w:tcW w:w="4018" w:type="pct"/>
            <w:gridSpan w:val="7"/>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Veselības inspekcijai nepieciešamas 2 papildu amata vietas.</w:t>
            </w:r>
          </w:p>
        </w:tc>
      </w:tr>
      <w:tr w:rsidR="00DD0636" w:rsidTr="00DD0636">
        <w:trPr>
          <w:tblCellSpacing w:w="15" w:type="dxa"/>
        </w:trPr>
        <w:tc>
          <w:tcPr>
            <w:tcW w:w="929" w:type="pct"/>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8. Cita informācija</w:t>
            </w:r>
          </w:p>
        </w:tc>
        <w:tc>
          <w:tcPr>
            <w:tcW w:w="4018" w:type="pct"/>
            <w:gridSpan w:val="7"/>
            <w:tcBorders>
              <w:top w:val="outset" w:sz="6" w:space="0" w:color="auto"/>
              <w:left w:val="outset" w:sz="6" w:space="0" w:color="auto"/>
              <w:bottom w:val="outset" w:sz="6" w:space="0" w:color="auto"/>
              <w:right w:val="outset" w:sz="6" w:space="0" w:color="auto"/>
            </w:tcBorders>
            <w:hideMark/>
          </w:tcPr>
          <w:p w:rsidR="00DD0636" w:rsidRPr="002B6F6E" w:rsidRDefault="00DD0636">
            <w:pPr>
              <w:rPr>
                <w:rFonts w:ascii="Times New Roman" w:hAnsi="Times New Roman" w:cs="Times New Roman"/>
                <w:sz w:val="24"/>
                <w:szCs w:val="24"/>
              </w:rPr>
            </w:pPr>
            <w:r w:rsidRPr="002B6F6E">
              <w:rPr>
                <w:rFonts w:ascii="Times New Roman" w:hAnsi="Times New Roman" w:cs="Times New Roman"/>
                <w:sz w:val="24"/>
                <w:szCs w:val="24"/>
              </w:rPr>
              <w:t>Par papildu valsts budžeta līdzekļu piešķiršanu lems Ministru kabinets, sagatavojot valsts budžetu 2020.gadam.</w:t>
            </w:r>
          </w:p>
        </w:tc>
      </w:tr>
    </w:tbl>
    <w:p w:rsidR="00DD0636" w:rsidRDefault="00DD0636"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r w:rsidRPr="00F92CC7">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E5323B" w:rsidRPr="00F92CC7" w:rsidTr="002B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r w:rsidR="00E5323B" w:rsidRPr="00F92CC7" w:rsidTr="002B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17126C"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Veselības ministrija</w:t>
            </w:r>
          </w:p>
        </w:tc>
      </w:tr>
      <w:tr w:rsidR="00E5323B" w:rsidRPr="00F92CC7" w:rsidTr="002B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F92CC7" w:rsidRDefault="0017126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7126C">
              <w:rPr>
                <w:rFonts w:ascii="Times New Roman" w:eastAsia="Times New Roman" w:hAnsi="Times New Roman" w:cs="Times New Roman"/>
                <w:iCs/>
                <w:color w:val="000000" w:themeColor="text1"/>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55. punktam</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57. punktam</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59. punktam, kā arī papildu informāciju pēc tiesību akta projekta izstrādātāja ieskatiem. Ja šādas informācijas nav, ieraksta "Nav"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3"/>
        <w:gridCol w:w="2249"/>
        <w:gridCol w:w="1006"/>
        <w:gridCol w:w="1273"/>
        <w:gridCol w:w="2264"/>
      </w:tblGrid>
      <w:tr w:rsidR="00E5323B" w:rsidRPr="00F92CC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1. tabula</w:t>
            </w:r>
            <w:r w:rsidRPr="00F92CC7">
              <w:rPr>
                <w:rFonts w:ascii="Times New Roman" w:eastAsia="Times New Roman" w:hAnsi="Times New Roman" w:cs="Times New Roman"/>
                <w:b/>
                <w:bCs/>
                <w:iCs/>
                <w:color w:val="414142"/>
                <w:sz w:val="24"/>
                <w:szCs w:val="24"/>
                <w:lang w:eastAsia="lv-LV"/>
              </w:rPr>
              <w:br/>
              <w:t>Tiesību akta projekta atbilstība ES tiesību aktiem</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Attiecīgā ES tiesību akta datums, numurs un nosaukums</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Aizpilda, ja ar projektu tiek pārņemts vai ieviests vairāk nekā viens ES tiesību akts, – norāda informāciju atbilstoši instrukcijas 55.1. apakšpunktam, kas jau tika norādīta arī V sadaļas 1. punktā</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B</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w:t>
            </w:r>
          </w:p>
        </w:tc>
        <w:tc>
          <w:tcPr>
            <w:tcW w:w="1250" w:type="pct"/>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D</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Attiecīgā ES tiesību akta panta numurs (uzskaitot katru tiesību akta vienību – pantu, daļu, punktu, apakšpunktu)</w:t>
            </w:r>
          </w:p>
        </w:tc>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vienība, kas pārņem vai ievieš katru šīs tabulas A ailē minēto ES tiesību akta vienību, vai tiesību akts, kur attiecīgā ES tiesību akta vienība pārņemta vai ieviesta</w:t>
            </w:r>
          </w:p>
        </w:tc>
        <w:tc>
          <w:tcPr>
            <w:tcW w:w="125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Informācija par to, vai šīs tabulas A ailē minētās ES tiesību akta vienības tiek pārņemtas vai ieviestas pilnībā vai daļēji.</w:t>
            </w:r>
            <w:r w:rsidRPr="00F92CC7">
              <w:rPr>
                <w:rFonts w:ascii="Times New Roman" w:eastAsia="Times New Roman" w:hAnsi="Times New Roman" w:cs="Times New Roman"/>
                <w:iCs/>
                <w:color w:val="414142"/>
                <w:sz w:val="24"/>
                <w:szCs w:val="24"/>
                <w:lang w:eastAsia="lv-LV"/>
              </w:rPr>
              <w:br/>
              <w:t xml:space="preserve">Ja attiecīgā ES tiesību akta vienība tiek pārņemta vai ieviesta </w:t>
            </w:r>
            <w:r w:rsidRPr="00F92CC7">
              <w:rPr>
                <w:rFonts w:ascii="Times New Roman" w:eastAsia="Times New Roman" w:hAnsi="Times New Roman" w:cs="Times New Roman"/>
                <w:iCs/>
                <w:color w:val="414142"/>
                <w:sz w:val="24"/>
                <w:szCs w:val="24"/>
                <w:lang w:eastAsia="lv-LV"/>
              </w:rPr>
              <w:lastRenderedPageBreak/>
              <w:t>daļēji, sniedz attiecīgu skaidrojumu, kā arī precīzi norāda, kad un kādā veidā ES tiesību akta vienība tiks pārņemta vai ieviesta pilnībā.</w:t>
            </w:r>
            <w:r w:rsidRPr="00F92CC7">
              <w:rPr>
                <w:rFonts w:ascii="Times New Roman" w:eastAsia="Times New Roman" w:hAnsi="Times New Roman" w:cs="Times New Roman"/>
                <w:iCs/>
                <w:color w:val="414142"/>
                <w:sz w:val="24"/>
                <w:szCs w:val="24"/>
                <w:lang w:eastAsia="lv-LV"/>
              </w:rPr>
              <w:br/>
              <w:t>Norāda institūciju, kas ir atbildīga par šo saistību izpildi pilnībā</w:t>
            </w:r>
          </w:p>
        </w:tc>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Informācija par to, vai šīs tabulas B ailē minētās projekta vienības paredz stingrākas prasības nekā šīs tabulas A ailē minētās ES tiesību akta vienības.</w:t>
            </w:r>
            <w:r w:rsidRPr="00F92CC7">
              <w:rPr>
                <w:rFonts w:ascii="Times New Roman" w:eastAsia="Times New Roman" w:hAnsi="Times New Roman" w:cs="Times New Roman"/>
                <w:iCs/>
                <w:color w:val="414142"/>
                <w:sz w:val="24"/>
                <w:szCs w:val="24"/>
                <w:lang w:eastAsia="lv-LV"/>
              </w:rPr>
              <w:br/>
              <w:t xml:space="preserve">Ja projekts satur stingrākas prasības </w:t>
            </w:r>
            <w:r w:rsidRPr="00F92CC7">
              <w:rPr>
                <w:rFonts w:ascii="Times New Roman" w:eastAsia="Times New Roman" w:hAnsi="Times New Roman" w:cs="Times New Roman"/>
                <w:iCs/>
                <w:color w:val="414142"/>
                <w:sz w:val="24"/>
                <w:szCs w:val="24"/>
                <w:lang w:eastAsia="lv-LV"/>
              </w:rPr>
              <w:lastRenderedPageBreak/>
              <w:t>nekā attiecīgais ES tiesību akts, norāda pamatojumu un samērīgumu.</w:t>
            </w:r>
            <w:r w:rsidRPr="00F92CC7">
              <w:rPr>
                <w:rFonts w:ascii="Times New Roman" w:eastAsia="Times New Roman" w:hAnsi="Times New Roman" w:cs="Times New Roman"/>
                <w:iCs/>
                <w:color w:val="414142"/>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Iekļauj informāciju atbilstoši instrukcijas 56.1. apakšpunktam</w:t>
            </w:r>
          </w:p>
        </w:tc>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56.2. apakšpunktam</w:t>
            </w:r>
          </w:p>
        </w:tc>
        <w:tc>
          <w:tcPr>
            <w:tcW w:w="125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56.3. apakšpunktam.</w:t>
            </w:r>
            <w:r w:rsidRPr="00F92CC7">
              <w:rPr>
                <w:rFonts w:ascii="Times New Roman" w:eastAsia="Times New Roman" w:hAnsi="Times New Roman" w:cs="Times New Roman"/>
                <w:iCs/>
                <w:color w:val="414142"/>
                <w:sz w:val="24"/>
                <w:szCs w:val="24"/>
                <w:lang w:eastAsia="lv-LV"/>
              </w:rPr>
              <w:br/>
              <w:t>Ja attiecināms, iekļauj arī informāciju atbilstoši instrukcijas 56.3.1., 56.3.2. un 56.3.3. apakšpunktam</w:t>
            </w:r>
          </w:p>
        </w:tc>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56.4. apakšpunktam.</w:t>
            </w:r>
            <w:r w:rsidRPr="00F92CC7">
              <w:rPr>
                <w:rFonts w:ascii="Times New Roman" w:eastAsia="Times New Roman" w:hAnsi="Times New Roman" w:cs="Times New Roman"/>
                <w:iCs/>
                <w:color w:val="414142"/>
                <w:sz w:val="24"/>
                <w:szCs w:val="24"/>
                <w:lang w:eastAsia="lv-LV"/>
              </w:rPr>
              <w:br/>
              <w:t>Ja attiecināms, iekļauj arī informāciju atbilstoši instrukcijas 56.4.1. un 56.4.2. apakšpunktam</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Kā ir izmantota ES tiesību aktā paredzētā rīcības brīvība dalībvalstij pārņemt vai ieviest noteiktas ES tiesību akta normas? Kādēļ?</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56.5. apakšpunktam</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56.6. apakšpunktam</w:t>
            </w:r>
          </w:p>
        </w:tc>
      </w:tr>
      <w:tr w:rsidR="00E5323B" w:rsidRPr="00F92CC7" w:rsidTr="00E5323B">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papildu informāciju pēc tiesību akta projekta izstrādātāja ieskatiem. Ja šādas informācijas nav, ieraksta "Nav"</w:t>
            </w:r>
          </w:p>
        </w:tc>
      </w:tr>
      <w:tr w:rsidR="00E5323B" w:rsidRPr="00F92CC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2. tabula</w:t>
            </w:r>
            <w:r w:rsidRPr="00F92CC7">
              <w:rPr>
                <w:rFonts w:ascii="Times New Roman" w:eastAsia="Times New Roman" w:hAnsi="Times New Roman" w:cs="Times New Roman"/>
                <w:b/>
                <w:bCs/>
                <w:iCs/>
                <w:color w:val="414142"/>
                <w:sz w:val="24"/>
                <w:szCs w:val="24"/>
                <w:lang w:eastAsia="lv-LV"/>
              </w:rPr>
              <w:br/>
              <w:t xml:space="preserve">Ar tiesību akta projektu izpildītās vai uzņemtās saistības, kas izriet no </w:t>
            </w:r>
            <w:r w:rsidRPr="00F92CC7">
              <w:rPr>
                <w:rFonts w:ascii="Times New Roman" w:eastAsia="Times New Roman" w:hAnsi="Times New Roman" w:cs="Times New Roman"/>
                <w:b/>
                <w:bCs/>
                <w:iCs/>
                <w:color w:val="414142"/>
                <w:sz w:val="24"/>
                <w:szCs w:val="24"/>
                <w:lang w:eastAsia="lv-LV"/>
              </w:rPr>
              <w:lastRenderedPageBreak/>
              <w:t>starptautiskajiem tiesību aktiem vai starptautiskas institūcijas vai organizācijas dokumentiem.</w:t>
            </w:r>
            <w:r w:rsidRPr="00F92CC7">
              <w:rPr>
                <w:rFonts w:ascii="Times New Roman" w:eastAsia="Times New Roman" w:hAnsi="Times New Roman" w:cs="Times New Roman"/>
                <w:b/>
                <w:bCs/>
                <w:iCs/>
                <w:color w:val="414142"/>
                <w:sz w:val="24"/>
                <w:szCs w:val="24"/>
                <w:lang w:eastAsia="lv-LV"/>
              </w:rPr>
              <w:br/>
              <w:t>Pasākumi šo saistību izpildei</w:t>
            </w:r>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Attiecīgā starptautiskā tiesību akta vai starptautiskas institūcijas vai organizācijas dokumenta (turpmāk – starptautiskais dokuments) datums, numurs un nosaukums</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 xml:space="preserve">Aizpilda, ja ar projektu izpildītas vai tiek uzņemtas saistības, kas izriet no vairāk nekā viena starptautiskā dokumenta, – norāda informāciju, kas minēta instrukcijas </w:t>
            </w:r>
            <w:hyperlink r:id="rId7" w:anchor="n57.1" w:tgtFrame="_blank" w:history="1">
              <w:r w:rsidRPr="00F92CC7">
                <w:rPr>
                  <w:rStyle w:val="Hyperlink"/>
                  <w:rFonts w:ascii="Times New Roman" w:eastAsia="Times New Roman" w:hAnsi="Times New Roman" w:cs="Times New Roman"/>
                  <w:iCs/>
                  <w:color w:val="A6A6A6" w:themeColor="background1" w:themeShade="A6"/>
                  <w:sz w:val="24"/>
                  <w:szCs w:val="24"/>
                  <w:lang w:eastAsia="lv-LV"/>
                </w:rPr>
                <w:t>57.1</w:t>
              </w:r>
            </w:hyperlink>
            <w:r w:rsidRPr="00F92CC7">
              <w:rPr>
                <w:rFonts w:ascii="Times New Roman" w:eastAsia="Times New Roman" w:hAnsi="Times New Roman" w:cs="Times New Roman"/>
                <w:iCs/>
                <w:color w:val="A6A6A6" w:themeColor="background1" w:themeShade="A6"/>
                <w:sz w:val="24"/>
                <w:szCs w:val="24"/>
                <w:lang w:eastAsia="lv-LV"/>
              </w:rPr>
              <w:t>. apakšpunktā un kas jau tika norādīta arī</w:t>
            </w:r>
            <w:hyperlink r:id="rId8" w:anchor="n5" w:tgtFrame="_blank" w:history="1">
              <w:r w:rsidRPr="00F92CC7">
                <w:rPr>
                  <w:rStyle w:val="Hyperlink"/>
                  <w:rFonts w:ascii="Times New Roman" w:eastAsia="Times New Roman" w:hAnsi="Times New Roman" w:cs="Times New Roman"/>
                  <w:iCs/>
                  <w:color w:val="A6A6A6" w:themeColor="background1" w:themeShade="A6"/>
                  <w:sz w:val="24"/>
                  <w:szCs w:val="24"/>
                  <w:lang w:eastAsia="lv-LV"/>
                </w:rPr>
                <w:t xml:space="preserve"> V sadaļas</w:t>
              </w:r>
            </w:hyperlink>
            <w:r w:rsidRPr="00F92CC7">
              <w:rPr>
                <w:rFonts w:ascii="Times New Roman" w:eastAsia="Times New Roman" w:hAnsi="Times New Roman" w:cs="Times New Roman"/>
                <w:iCs/>
                <w:color w:val="A6A6A6" w:themeColor="background1" w:themeShade="A6"/>
                <w:sz w:val="24"/>
                <w:szCs w:val="24"/>
                <w:lang w:eastAsia="lv-LV"/>
              </w:rPr>
              <w:t xml:space="preserve"> </w:t>
            </w:r>
            <w:hyperlink r:id="rId9" w:anchor="p2" w:tgtFrame="_blank" w:history="1">
              <w:r w:rsidRPr="00F92CC7">
                <w:rPr>
                  <w:rStyle w:val="Hyperlink"/>
                  <w:rFonts w:ascii="Times New Roman" w:eastAsia="Times New Roman" w:hAnsi="Times New Roman" w:cs="Times New Roman"/>
                  <w:iCs/>
                  <w:color w:val="A6A6A6" w:themeColor="background1" w:themeShade="A6"/>
                  <w:sz w:val="24"/>
                  <w:szCs w:val="24"/>
                  <w:lang w:eastAsia="lv-LV"/>
                </w:rPr>
                <w:t>2. punktā</w:t>
              </w:r>
            </w:hyperlink>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A</w:t>
            </w:r>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B</w:t>
            </w:r>
          </w:p>
        </w:tc>
        <w:tc>
          <w:tcPr>
            <w:tcW w:w="1950" w:type="pct"/>
            <w:gridSpan w:val="2"/>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w:t>
            </w:r>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Starptautiskās saistības (pēc būtības), kas izriet no norādītā starptautiskā dokumenta.</w:t>
            </w:r>
            <w:r w:rsidRPr="00F92CC7">
              <w:rPr>
                <w:rFonts w:ascii="Times New Roman" w:eastAsia="Times New Roman" w:hAnsi="Times New Roman" w:cs="Times New Roman"/>
                <w:iCs/>
                <w:color w:val="414142"/>
                <w:sz w:val="24"/>
                <w:szCs w:val="24"/>
                <w:lang w:eastAsia="lv-LV"/>
              </w:rPr>
              <w:br/>
              <w:t>Konkrēti veicamie pasākumi vai uzdevumi, kas nepieciešami šo starptautisko saistību izpildei</w:t>
            </w:r>
          </w:p>
        </w:tc>
        <w:tc>
          <w:tcPr>
            <w:tcW w:w="180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5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Informācija par to, vai starptautiskās saistības, kas minētas šīs tabulas A ailē, tiek izpildītas pilnībā vai daļēji.</w:t>
            </w:r>
            <w:r w:rsidRPr="00F92CC7">
              <w:rPr>
                <w:rFonts w:ascii="Times New Roman" w:eastAsia="Times New Roman" w:hAnsi="Times New Roman" w:cs="Times New Roman"/>
                <w:iCs/>
                <w:color w:val="414142"/>
                <w:sz w:val="24"/>
                <w:szCs w:val="24"/>
                <w:lang w:eastAsia="lv-LV"/>
              </w:rPr>
              <w:br/>
              <w:t>Ja attiecīgās starptautiskās saistības tiek izpildītas daļēji, sniedz skaidrojumu, kā arī precīzi norāda, kad un kādā veidā starptautiskās saistības tiks izpildītas pilnībā.</w:t>
            </w:r>
            <w:r w:rsidRPr="00F92CC7">
              <w:rPr>
                <w:rFonts w:ascii="Times New Roman" w:eastAsia="Times New Roman" w:hAnsi="Times New Roman" w:cs="Times New Roman"/>
                <w:iCs/>
                <w:color w:val="414142"/>
                <w:sz w:val="24"/>
                <w:szCs w:val="24"/>
                <w:lang w:eastAsia="lv-LV"/>
              </w:rPr>
              <w:br/>
              <w:t>Norāda institūciju, kas ir atbildīga par šo saistību izpildi pilnībā</w:t>
            </w:r>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58.1. apakšpunktam</w:t>
            </w:r>
          </w:p>
        </w:tc>
        <w:tc>
          <w:tcPr>
            <w:tcW w:w="180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58.2. apakšpunktam</w:t>
            </w:r>
          </w:p>
        </w:tc>
        <w:tc>
          <w:tcPr>
            <w:tcW w:w="1950" w:type="pct"/>
            <w:gridSpan w:val="2"/>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Iekļauj informāciju atbilstoši instrukcijas 58.3. apakšpunktam.</w:t>
            </w:r>
            <w:r w:rsidRPr="00F92CC7">
              <w:rPr>
                <w:rFonts w:ascii="Times New Roman" w:eastAsia="Times New Roman" w:hAnsi="Times New Roman" w:cs="Times New Roman"/>
                <w:iCs/>
                <w:color w:val="414142"/>
                <w:sz w:val="24"/>
                <w:szCs w:val="24"/>
                <w:lang w:eastAsia="lv-LV"/>
              </w:rPr>
              <w:br/>
              <w:t>Ja attiecināms, iekļauj arī informāciju atbilstoši instrukcijas 58.3.1., 58.3.2. un 58.3.3. apakšpunktam</w:t>
            </w:r>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Vai starptautiskajā dokumentā paredzētās saistības nav pretrunā ar jau esošajām Latvijas Republikas starptautiskajām saistībām</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informāciju atbilstoši instrukcijas 58.4. apakšpunktam</w:t>
            </w:r>
          </w:p>
        </w:tc>
      </w:tr>
      <w:tr w:rsidR="00E5323B" w:rsidRPr="00F92CC7" w:rsidTr="00E5323B">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750" w:type="pct"/>
            <w:gridSpan w:val="4"/>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F92CC7">
              <w:rPr>
                <w:rFonts w:ascii="Times New Roman" w:eastAsia="Times New Roman" w:hAnsi="Times New Roman" w:cs="Times New Roman"/>
                <w:iCs/>
                <w:color w:val="A6A6A6" w:themeColor="background1" w:themeShade="A6"/>
                <w:sz w:val="24"/>
                <w:szCs w:val="24"/>
                <w:lang w:eastAsia="lv-LV"/>
              </w:rPr>
              <w:t>Iekļauj papildu informāciju pēc tiesību akta projekta izstrādātāja ieskatiem. Ja šādas informācijas nav, ieraksta "Nav"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3B63B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3B63B4">
              <w:rPr>
                <w:rFonts w:ascii="Times New Roman" w:eastAsia="Times New Roman" w:hAnsi="Times New Roman" w:cs="Times New Roman"/>
                <w:iCs/>
                <w:sz w:val="24"/>
                <w:szCs w:val="24"/>
                <w:lang w:eastAsia="lv-LV"/>
              </w:rPr>
              <w:t>P</w:t>
            </w:r>
            <w:r>
              <w:rPr>
                <w:rFonts w:ascii="Times New Roman" w:eastAsia="Times New Roman" w:hAnsi="Times New Roman" w:cs="Times New Roman"/>
                <w:iCs/>
                <w:sz w:val="24"/>
                <w:szCs w:val="24"/>
                <w:lang w:eastAsia="lv-LV"/>
              </w:rPr>
              <w:t>ar p</w:t>
            </w:r>
            <w:r w:rsidRPr="003B63B4">
              <w:rPr>
                <w:rFonts w:ascii="Times New Roman" w:eastAsia="Times New Roman" w:hAnsi="Times New Roman" w:cs="Times New Roman"/>
                <w:iCs/>
                <w:sz w:val="24"/>
                <w:szCs w:val="24"/>
                <w:lang w:eastAsia="lv-LV"/>
              </w:rPr>
              <w:t>ro</w:t>
            </w:r>
            <w:r>
              <w:rPr>
                <w:rFonts w:ascii="Times New Roman" w:eastAsia="Times New Roman" w:hAnsi="Times New Roman" w:cs="Times New Roman"/>
                <w:iCs/>
                <w:sz w:val="24"/>
                <w:szCs w:val="24"/>
                <w:lang w:eastAsia="lv-LV"/>
              </w:rPr>
              <w:t>jektu ir plānots rīkot sabiedrisko apspriedi.</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3B63B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3B63B4">
              <w:rPr>
                <w:rFonts w:ascii="Times New Roman" w:eastAsia="Times New Roman" w:hAnsi="Times New Roman" w:cs="Times New Roman"/>
                <w:iCs/>
                <w:sz w:val="24"/>
                <w:szCs w:val="24"/>
                <w:lang w:eastAsia="lv-LV"/>
              </w:rPr>
              <w:t>P</w:t>
            </w:r>
            <w:r>
              <w:rPr>
                <w:rFonts w:ascii="Times New Roman" w:eastAsia="Times New Roman" w:hAnsi="Times New Roman" w:cs="Times New Roman"/>
                <w:iCs/>
                <w:sz w:val="24"/>
                <w:szCs w:val="24"/>
                <w:lang w:eastAsia="lv-LV"/>
              </w:rPr>
              <w:t>ar p</w:t>
            </w:r>
            <w:r w:rsidRPr="003B63B4">
              <w:rPr>
                <w:rFonts w:ascii="Times New Roman" w:eastAsia="Times New Roman" w:hAnsi="Times New Roman" w:cs="Times New Roman"/>
                <w:iCs/>
                <w:sz w:val="24"/>
                <w:szCs w:val="24"/>
                <w:lang w:eastAsia="lv-LV"/>
              </w:rPr>
              <w:t>ro</w:t>
            </w:r>
            <w:r>
              <w:rPr>
                <w:rFonts w:ascii="Times New Roman" w:eastAsia="Times New Roman" w:hAnsi="Times New Roman" w:cs="Times New Roman"/>
                <w:iCs/>
                <w:sz w:val="24"/>
                <w:szCs w:val="24"/>
                <w:lang w:eastAsia="lv-LV"/>
              </w:rPr>
              <w:t>jektu ir plānots rīkot sabiedrisko apspriedi.</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3B63B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3B63B4">
              <w:rPr>
                <w:rFonts w:ascii="Times New Roman" w:eastAsia="Times New Roman" w:hAnsi="Times New Roman" w:cs="Times New Roman"/>
                <w:iCs/>
                <w:sz w:val="24"/>
                <w:szCs w:val="24"/>
                <w:lang w:eastAsia="lv-LV"/>
              </w:rPr>
              <w:t>P</w:t>
            </w:r>
            <w:r>
              <w:rPr>
                <w:rFonts w:ascii="Times New Roman" w:eastAsia="Times New Roman" w:hAnsi="Times New Roman" w:cs="Times New Roman"/>
                <w:iCs/>
                <w:sz w:val="24"/>
                <w:szCs w:val="24"/>
                <w:lang w:eastAsia="lv-LV"/>
              </w:rPr>
              <w:t>ar p</w:t>
            </w:r>
            <w:r w:rsidRPr="003B63B4">
              <w:rPr>
                <w:rFonts w:ascii="Times New Roman" w:eastAsia="Times New Roman" w:hAnsi="Times New Roman" w:cs="Times New Roman"/>
                <w:iCs/>
                <w:sz w:val="24"/>
                <w:szCs w:val="24"/>
                <w:lang w:eastAsia="lv-LV"/>
              </w:rPr>
              <w:t>ro</w:t>
            </w:r>
            <w:r>
              <w:rPr>
                <w:rFonts w:ascii="Times New Roman" w:eastAsia="Times New Roman" w:hAnsi="Times New Roman" w:cs="Times New Roman"/>
                <w:iCs/>
                <w:sz w:val="24"/>
                <w:szCs w:val="24"/>
                <w:lang w:eastAsia="lv-LV"/>
              </w:rPr>
              <w:t>jektu ir plānots rīkot sabiedrisko apspriedi.</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3B63B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3B63B4">
              <w:rPr>
                <w:rFonts w:ascii="Times New Roman" w:eastAsia="Times New Roman" w:hAnsi="Times New Roman" w:cs="Times New Roman"/>
                <w:iCs/>
                <w:sz w:val="24"/>
                <w:szCs w:val="24"/>
                <w:lang w:eastAsia="lv-LV"/>
              </w:rPr>
              <w:t>Nav</w:t>
            </w:r>
          </w:p>
        </w:tc>
      </w:tr>
    </w:tbl>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92CC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92CC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F92CC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2A4F2A"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Zāļu valsts aģentūra, Veselības inspekcija, Valsts policija</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Projekta izpildes ietekme uz pārvaldes funkcijām un institucionālo struktūru.</w:t>
            </w:r>
            <w:r w:rsidRPr="00F92CC7">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2A4F2A"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Projekts šo jomu neietekmē.</w:t>
            </w:r>
          </w:p>
        </w:tc>
      </w:tr>
      <w:tr w:rsidR="00E5323B" w:rsidRPr="00F92CC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92CC7" w:rsidRDefault="00E5323B" w:rsidP="00E5323B">
            <w:pPr>
              <w:spacing w:after="0" w:line="240" w:lineRule="auto"/>
              <w:rPr>
                <w:rFonts w:ascii="Times New Roman" w:eastAsia="Times New Roman" w:hAnsi="Times New Roman" w:cs="Times New Roman"/>
                <w:iCs/>
                <w:color w:val="414142"/>
                <w:sz w:val="24"/>
                <w:szCs w:val="24"/>
                <w:lang w:eastAsia="lv-LV"/>
              </w:rPr>
            </w:pPr>
            <w:r w:rsidRPr="00F92CC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92CC7" w:rsidRDefault="002A4F2A"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w:t>
            </w:r>
          </w:p>
        </w:tc>
      </w:tr>
    </w:tbl>
    <w:p w:rsidR="00C25B49" w:rsidRPr="00F92CC7" w:rsidRDefault="00C25B49" w:rsidP="00894C55">
      <w:pPr>
        <w:spacing w:after="0" w:line="240" w:lineRule="auto"/>
        <w:rPr>
          <w:rFonts w:ascii="Times New Roman" w:hAnsi="Times New Roman" w:cs="Times New Roman"/>
          <w:sz w:val="28"/>
          <w:szCs w:val="28"/>
        </w:rPr>
      </w:pPr>
    </w:p>
    <w:p w:rsidR="00894C55" w:rsidRPr="00F92CC7" w:rsidRDefault="008E0250" w:rsidP="008E0250">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Veselības</w:t>
      </w:r>
      <w:r w:rsidR="00894C55" w:rsidRPr="00F92CC7">
        <w:rPr>
          <w:rFonts w:ascii="Times New Roman" w:hAnsi="Times New Roman" w:cs="Times New Roman"/>
          <w:sz w:val="28"/>
          <w:szCs w:val="28"/>
        </w:rPr>
        <w:t xml:space="preserve"> ministr</w:t>
      </w:r>
      <w:r>
        <w:rPr>
          <w:rFonts w:ascii="Times New Roman" w:hAnsi="Times New Roman" w:cs="Times New Roman"/>
          <w:sz w:val="28"/>
          <w:szCs w:val="28"/>
        </w:rPr>
        <w:t>e</w:t>
      </w:r>
      <w:r>
        <w:rPr>
          <w:rFonts w:ascii="Times New Roman" w:hAnsi="Times New Roman" w:cs="Times New Roman"/>
          <w:sz w:val="28"/>
          <w:szCs w:val="28"/>
        </w:rPr>
        <w:tab/>
        <w:t>I. Viņķele</w:t>
      </w:r>
    </w:p>
    <w:p w:rsidR="00894C55" w:rsidRPr="00F92CC7" w:rsidRDefault="00894C55" w:rsidP="00894C55">
      <w:pPr>
        <w:spacing w:after="0" w:line="240" w:lineRule="auto"/>
        <w:ind w:firstLine="720"/>
        <w:rPr>
          <w:rFonts w:ascii="Times New Roman" w:hAnsi="Times New Roman" w:cs="Times New Roman"/>
          <w:sz w:val="28"/>
          <w:szCs w:val="28"/>
        </w:rPr>
      </w:pPr>
    </w:p>
    <w:p w:rsidR="00894C55" w:rsidRPr="00F92CC7" w:rsidRDefault="002A4F2A"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w:t>
      </w:r>
      <w:r w:rsidR="008E0250">
        <w:rPr>
          <w:rFonts w:ascii="Times New Roman" w:hAnsi="Times New Roman" w:cs="Times New Roman"/>
          <w:sz w:val="24"/>
          <w:szCs w:val="28"/>
        </w:rPr>
        <w:t>trautiņš</w:t>
      </w:r>
      <w:r w:rsidR="00D133F8" w:rsidRPr="00F92CC7">
        <w:rPr>
          <w:rFonts w:ascii="Times New Roman" w:hAnsi="Times New Roman" w:cs="Times New Roman"/>
          <w:sz w:val="24"/>
          <w:szCs w:val="28"/>
        </w:rPr>
        <w:t xml:space="preserve"> 67012345</w:t>
      </w:r>
    </w:p>
    <w:p w:rsidR="00894C55" w:rsidRPr="00F92CC7" w:rsidRDefault="008E0250"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Edgars</w:t>
      </w:r>
      <w:r w:rsidR="00894C55" w:rsidRPr="00F92CC7">
        <w:rPr>
          <w:rFonts w:ascii="Times New Roman" w:hAnsi="Times New Roman" w:cs="Times New Roman"/>
          <w:sz w:val="24"/>
          <w:szCs w:val="28"/>
        </w:rPr>
        <w:t>.</w:t>
      </w:r>
      <w:r>
        <w:rPr>
          <w:rFonts w:ascii="Times New Roman" w:hAnsi="Times New Roman" w:cs="Times New Roman"/>
          <w:sz w:val="24"/>
          <w:szCs w:val="28"/>
        </w:rPr>
        <w:t>Strautins</w:t>
      </w:r>
      <w:r w:rsidR="00894C55" w:rsidRPr="00F92CC7">
        <w:rPr>
          <w:rFonts w:ascii="Times New Roman" w:hAnsi="Times New Roman" w:cs="Times New Roman"/>
          <w:sz w:val="24"/>
          <w:szCs w:val="28"/>
        </w:rPr>
        <w:t>@</w:t>
      </w:r>
      <w:r>
        <w:rPr>
          <w:rFonts w:ascii="Times New Roman" w:hAnsi="Times New Roman" w:cs="Times New Roman"/>
          <w:sz w:val="24"/>
          <w:szCs w:val="28"/>
        </w:rPr>
        <w:t>v</w:t>
      </w:r>
      <w:r w:rsidR="00D133F8" w:rsidRPr="00F92CC7">
        <w:rPr>
          <w:rFonts w:ascii="Times New Roman" w:hAnsi="Times New Roman" w:cs="Times New Roman"/>
          <w:sz w:val="24"/>
          <w:szCs w:val="28"/>
        </w:rPr>
        <w:t>m</w:t>
      </w:r>
      <w:r w:rsidR="00894C55" w:rsidRPr="00F92CC7">
        <w:rPr>
          <w:rFonts w:ascii="Times New Roman" w:hAnsi="Times New Roman" w:cs="Times New Roman"/>
          <w:sz w:val="24"/>
          <w:szCs w:val="28"/>
        </w:rPr>
        <w:t>.gov.lv</w:t>
      </w:r>
    </w:p>
    <w:sectPr w:rsidR="00894C55" w:rsidRPr="00F92CC7"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41" w:rsidRDefault="00FB2D41" w:rsidP="00894C55">
      <w:pPr>
        <w:spacing w:after="0" w:line="240" w:lineRule="auto"/>
      </w:pPr>
      <w:r>
        <w:separator/>
      </w:r>
    </w:p>
  </w:endnote>
  <w:endnote w:type="continuationSeparator" w:id="0">
    <w:p w:rsidR="00FB2D41" w:rsidRDefault="00FB2D4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55" w:rsidRPr="00894C55" w:rsidRDefault="008E4D82">
    <w:pPr>
      <w:pStyle w:val="Footer"/>
      <w:rPr>
        <w:rFonts w:ascii="Times New Roman" w:hAnsi="Times New Roman" w:cs="Times New Roman"/>
        <w:sz w:val="20"/>
        <w:szCs w:val="20"/>
      </w:rPr>
    </w:pPr>
    <w:r>
      <w:rPr>
        <w:rFonts w:ascii="Times New Roman" w:hAnsi="Times New Roman" w:cs="Times New Roman"/>
        <w:sz w:val="20"/>
        <w:szCs w:val="20"/>
      </w:rPr>
      <w:t>VManot_</w:t>
    </w:r>
    <w:r w:rsidR="000234CA">
      <w:rPr>
        <w:rFonts w:ascii="Times New Roman" w:hAnsi="Times New Roman" w:cs="Times New Roman"/>
        <w:sz w:val="20"/>
        <w:szCs w:val="20"/>
      </w:rPr>
      <w:t>13</w:t>
    </w:r>
    <w:r>
      <w:rPr>
        <w:rFonts w:ascii="Times New Roman" w:hAnsi="Times New Roman" w:cs="Times New Roman"/>
        <w:sz w:val="20"/>
        <w:szCs w:val="20"/>
      </w:rPr>
      <w:t>0</w:t>
    </w:r>
    <w:r w:rsidR="00686BE1">
      <w:rPr>
        <w:rFonts w:ascii="Times New Roman" w:hAnsi="Times New Roman" w:cs="Times New Roman"/>
        <w:sz w:val="20"/>
        <w:szCs w:val="20"/>
      </w:rPr>
      <w:t>5</w:t>
    </w:r>
    <w:r>
      <w:rPr>
        <w:rFonts w:ascii="Times New Roman" w:hAnsi="Times New Roman" w:cs="Times New Roman"/>
        <w:sz w:val="20"/>
        <w:szCs w:val="20"/>
      </w:rPr>
      <w:t>19_VieluRupnIzmant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54" w:rsidRPr="009A2654" w:rsidRDefault="00E545B2">
    <w:pPr>
      <w:pStyle w:val="Footer"/>
      <w:rPr>
        <w:rFonts w:ascii="Times New Roman" w:hAnsi="Times New Roman" w:cs="Times New Roman"/>
        <w:sz w:val="20"/>
        <w:szCs w:val="20"/>
      </w:rPr>
    </w:pPr>
    <w:r>
      <w:rPr>
        <w:rFonts w:ascii="Times New Roman" w:hAnsi="Times New Roman" w:cs="Times New Roman"/>
        <w:sz w:val="20"/>
        <w:szCs w:val="20"/>
      </w:rPr>
      <w:t>V</w:t>
    </w:r>
    <w:r w:rsidR="00BA20AA">
      <w:rPr>
        <w:rFonts w:ascii="Times New Roman" w:hAnsi="Times New Roman" w:cs="Times New Roman"/>
        <w:sz w:val="20"/>
        <w:szCs w:val="20"/>
      </w:rPr>
      <w:t>M</w:t>
    </w:r>
    <w:r w:rsidR="009A2654">
      <w:rPr>
        <w:rFonts w:ascii="Times New Roman" w:hAnsi="Times New Roman" w:cs="Times New Roman"/>
        <w:sz w:val="20"/>
        <w:szCs w:val="20"/>
      </w:rPr>
      <w:t>anot_</w:t>
    </w:r>
    <w:r w:rsidR="000234CA">
      <w:rPr>
        <w:rFonts w:ascii="Times New Roman" w:hAnsi="Times New Roman" w:cs="Times New Roman"/>
        <w:sz w:val="20"/>
        <w:szCs w:val="20"/>
      </w:rPr>
      <w:t>13</w:t>
    </w:r>
    <w:r w:rsidR="009A2654">
      <w:rPr>
        <w:rFonts w:ascii="Times New Roman" w:hAnsi="Times New Roman" w:cs="Times New Roman"/>
        <w:sz w:val="20"/>
        <w:szCs w:val="20"/>
      </w:rPr>
      <w:t>0</w:t>
    </w:r>
    <w:r w:rsidR="00686BE1">
      <w:rPr>
        <w:rFonts w:ascii="Times New Roman" w:hAnsi="Times New Roman" w:cs="Times New Roman"/>
        <w:sz w:val="20"/>
        <w:szCs w:val="20"/>
      </w:rPr>
      <w:t>5</w:t>
    </w:r>
    <w:r w:rsidR="009A2654">
      <w:rPr>
        <w:rFonts w:ascii="Times New Roman" w:hAnsi="Times New Roman" w:cs="Times New Roman"/>
        <w:sz w:val="20"/>
        <w:szCs w:val="20"/>
      </w:rPr>
      <w:t>1</w:t>
    </w:r>
    <w:r>
      <w:rPr>
        <w:rFonts w:ascii="Times New Roman" w:hAnsi="Times New Roman" w:cs="Times New Roman"/>
        <w:sz w:val="20"/>
        <w:szCs w:val="20"/>
      </w:rPr>
      <w:t>9</w:t>
    </w:r>
    <w:r w:rsidR="009A2654">
      <w:rPr>
        <w:rFonts w:ascii="Times New Roman" w:hAnsi="Times New Roman" w:cs="Times New Roman"/>
        <w:sz w:val="20"/>
        <w:szCs w:val="20"/>
      </w:rPr>
      <w:t>_</w:t>
    </w:r>
    <w:r>
      <w:rPr>
        <w:rFonts w:ascii="Times New Roman" w:hAnsi="Times New Roman" w:cs="Times New Roman"/>
        <w:sz w:val="20"/>
        <w:szCs w:val="20"/>
      </w:rPr>
      <w:t>Viel</w:t>
    </w:r>
    <w:r w:rsidR="008E4D82">
      <w:rPr>
        <w:rFonts w:ascii="Times New Roman" w:hAnsi="Times New Roman" w:cs="Times New Roman"/>
        <w:sz w:val="20"/>
        <w:szCs w:val="20"/>
      </w:rPr>
      <w:t>uRupnIzmant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41" w:rsidRDefault="00FB2D41" w:rsidP="00894C55">
      <w:pPr>
        <w:spacing w:after="0" w:line="240" w:lineRule="auto"/>
      </w:pPr>
      <w:r>
        <w:separator/>
      </w:r>
    </w:p>
  </w:footnote>
  <w:footnote w:type="continuationSeparator" w:id="0">
    <w:p w:rsidR="00FB2D41" w:rsidRDefault="00FB2D4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1FB8"/>
    <w:multiLevelType w:val="hybridMultilevel"/>
    <w:tmpl w:val="47A4C7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34CA"/>
    <w:rsid w:val="001466AB"/>
    <w:rsid w:val="00160D2F"/>
    <w:rsid w:val="0017126C"/>
    <w:rsid w:val="001A5F62"/>
    <w:rsid w:val="001C0259"/>
    <w:rsid w:val="00204872"/>
    <w:rsid w:val="00243426"/>
    <w:rsid w:val="00263980"/>
    <w:rsid w:val="002651BC"/>
    <w:rsid w:val="002A4C68"/>
    <w:rsid w:val="002A4F2A"/>
    <w:rsid w:val="002B6F6E"/>
    <w:rsid w:val="002E1C05"/>
    <w:rsid w:val="0031465B"/>
    <w:rsid w:val="00370E1F"/>
    <w:rsid w:val="003B0BF9"/>
    <w:rsid w:val="003B63B4"/>
    <w:rsid w:val="003E0791"/>
    <w:rsid w:val="003F28AC"/>
    <w:rsid w:val="00402727"/>
    <w:rsid w:val="00414787"/>
    <w:rsid w:val="004454FE"/>
    <w:rsid w:val="00456E40"/>
    <w:rsid w:val="00471F27"/>
    <w:rsid w:val="004905C6"/>
    <w:rsid w:val="004B54B4"/>
    <w:rsid w:val="004D75E5"/>
    <w:rsid w:val="0050178F"/>
    <w:rsid w:val="00520EAB"/>
    <w:rsid w:val="00562691"/>
    <w:rsid w:val="005A50D7"/>
    <w:rsid w:val="00601A0A"/>
    <w:rsid w:val="00655F2C"/>
    <w:rsid w:val="0068694E"/>
    <w:rsid w:val="00686BE1"/>
    <w:rsid w:val="006E1081"/>
    <w:rsid w:val="006E34DC"/>
    <w:rsid w:val="00720585"/>
    <w:rsid w:val="00740D25"/>
    <w:rsid w:val="00773AF6"/>
    <w:rsid w:val="00795F71"/>
    <w:rsid w:val="007E5F7A"/>
    <w:rsid w:val="007E73AB"/>
    <w:rsid w:val="00816C11"/>
    <w:rsid w:val="00894C55"/>
    <w:rsid w:val="008B32D8"/>
    <w:rsid w:val="008E0250"/>
    <w:rsid w:val="008E4D82"/>
    <w:rsid w:val="00910307"/>
    <w:rsid w:val="009A2654"/>
    <w:rsid w:val="00A10FC3"/>
    <w:rsid w:val="00A57B9E"/>
    <w:rsid w:val="00A6073E"/>
    <w:rsid w:val="00AE5567"/>
    <w:rsid w:val="00AF1239"/>
    <w:rsid w:val="00B01CBC"/>
    <w:rsid w:val="00B16480"/>
    <w:rsid w:val="00B2165C"/>
    <w:rsid w:val="00B37CD4"/>
    <w:rsid w:val="00BA20AA"/>
    <w:rsid w:val="00BB60F7"/>
    <w:rsid w:val="00BC2AB5"/>
    <w:rsid w:val="00BD4425"/>
    <w:rsid w:val="00C25B49"/>
    <w:rsid w:val="00C51D10"/>
    <w:rsid w:val="00CA53CD"/>
    <w:rsid w:val="00CC0D2D"/>
    <w:rsid w:val="00CD486E"/>
    <w:rsid w:val="00CE5657"/>
    <w:rsid w:val="00D133F8"/>
    <w:rsid w:val="00D14A3E"/>
    <w:rsid w:val="00D4568D"/>
    <w:rsid w:val="00D827F8"/>
    <w:rsid w:val="00D9080E"/>
    <w:rsid w:val="00DB2788"/>
    <w:rsid w:val="00DD0636"/>
    <w:rsid w:val="00E3716B"/>
    <w:rsid w:val="00E5323B"/>
    <w:rsid w:val="00E545B2"/>
    <w:rsid w:val="00E732A8"/>
    <w:rsid w:val="00E8749E"/>
    <w:rsid w:val="00E90C01"/>
    <w:rsid w:val="00EA486E"/>
    <w:rsid w:val="00EC7D86"/>
    <w:rsid w:val="00F219FE"/>
    <w:rsid w:val="00F22689"/>
    <w:rsid w:val="00F57B0C"/>
    <w:rsid w:val="00F92CC7"/>
    <w:rsid w:val="00F94E33"/>
    <w:rsid w:val="00FB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6873BD"/>
  <w15:docId w15:val="{4084D5DB-EDE0-445C-BA1E-AC1BF184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1466AB"/>
    <w:pPr>
      <w:ind w:left="720"/>
      <w:contextualSpacing/>
    </w:pPr>
  </w:style>
  <w:style w:type="paragraph" w:styleId="FootnoteText">
    <w:name w:val="footnote text"/>
    <w:basedOn w:val="Normal"/>
    <w:link w:val="FootnoteTextChar"/>
    <w:uiPriority w:val="99"/>
    <w:semiHidden/>
    <w:unhideWhenUsed/>
    <w:rsid w:val="00160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D2F"/>
    <w:rPr>
      <w:sz w:val="20"/>
      <w:szCs w:val="20"/>
    </w:rPr>
  </w:style>
  <w:style w:type="character" w:styleId="FootnoteReference">
    <w:name w:val="footnote reference"/>
    <w:basedOn w:val="DefaultParagraphFont"/>
    <w:uiPriority w:val="99"/>
    <w:semiHidden/>
    <w:unhideWhenUsed/>
    <w:rsid w:val="00160D2F"/>
    <w:rPr>
      <w:vertAlign w:val="superscript"/>
    </w:rPr>
  </w:style>
  <w:style w:type="paragraph" w:styleId="EndnoteText">
    <w:name w:val="endnote text"/>
    <w:basedOn w:val="Normal"/>
    <w:link w:val="EndnoteTextChar"/>
    <w:uiPriority w:val="99"/>
    <w:semiHidden/>
    <w:unhideWhenUsed/>
    <w:rsid w:val="004905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5C6"/>
    <w:rPr>
      <w:sz w:val="20"/>
      <w:szCs w:val="20"/>
    </w:rPr>
  </w:style>
  <w:style w:type="character" w:styleId="EndnoteReference">
    <w:name w:val="endnote reference"/>
    <w:basedOn w:val="DefaultParagraphFont"/>
    <w:uiPriority w:val="99"/>
    <w:semiHidden/>
    <w:unhideWhenUsed/>
    <w:rsid w:val="00490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0664865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3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20306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doc.php?id=2030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10281</Words>
  <Characters>5861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Edgars Strautiņš</cp:lastModifiedBy>
  <cp:revision>22</cp:revision>
  <dcterms:created xsi:type="dcterms:W3CDTF">2019-01-28T07:51:00Z</dcterms:created>
  <dcterms:modified xsi:type="dcterms:W3CDTF">2019-05-13T11:01:00Z</dcterms:modified>
</cp:coreProperties>
</file>