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BA" w:rsidRPr="00857BA9" w:rsidRDefault="00C51DBA" w:rsidP="00422997">
      <w:pPr>
        <w:pStyle w:val="naisc"/>
        <w:spacing w:before="0" w:after="0"/>
        <w:rPr>
          <w:b/>
          <w:bCs/>
          <w:sz w:val="28"/>
          <w:szCs w:val="28"/>
        </w:rPr>
      </w:pPr>
      <w:bookmarkStart w:id="0" w:name="_GoBack"/>
      <w:bookmarkStart w:id="1" w:name="OLE_LINK3"/>
      <w:bookmarkStart w:id="2" w:name="OLE_LINK4"/>
      <w:bookmarkEnd w:id="0"/>
      <w:r w:rsidRPr="00857BA9">
        <w:rPr>
          <w:b/>
          <w:bCs/>
          <w:sz w:val="28"/>
          <w:szCs w:val="28"/>
        </w:rPr>
        <w:t>Ministru kabineta noteikumu projekta</w:t>
      </w:r>
    </w:p>
    <w:p w:rsidR="00C51DBA" w:rsidRPr="00857BA9" w:rsidRDefault="00040062" w:rsidP="00422997">
      <w:pPr>
        <w:jc w:val="center"/>
        <w:rPr>
          <w:b/>
          <w:bCs/>
          <w:sz w:val="28"/>
          <w:szCs w:val="28"/>
        </w:rPr>
      </w:pPr>
      <w:bookmarkStart w:id="3" w:name="OLE_LINK5"/>
      <w:bookmarkStart w:id="4" w:name="OLE_LINK6"/>
      <w:r>
        <w:rPr>
          <w:b/>
          <w:sz w:val="28"/>
          <w:szCs w:val="28"/>
        </w:rPr>
        <w:t>”</w:t>
      </w:r>
      <w:r w:rsidR="007B3330" w:rsidRPr="00857BA9">
        <w:rPr>
          <w:b/>
          <w:sz w:val="28"/>
          <w:szCs w:val="28"/>
        </w:rPr>
        <w:t>Grozījum</w:t>
      </w:r>
      <w:r w:rsidR="00817300">
        <w:rPr>
          <w:b/>
          <w:sz w:val="28"/>
          <w:szCs w:val="28"/>
        </w:rPr>
        <w:t>i</w:t>
      </w:r>
      <w:r w:rsidR="007B3330" w:rsidRPr="00857BA9">
        <w:rPr>
          <w:b/>
          <w:sz w:val="28"/>
          <w:szCs w:val="28"/>
        </w:rPr>
        <w:t xml:space="preserve"> Ministru kabineta 2009.gada 20.janvāra noteikumos Nr.60  </w:t>
      </w:r>
      <w:r>
        <w:rPr>
          <w:b/>
          <w:sz w:val="28"/>
          <w:szCs w:val="28"/>
        </w:rPr>
        <w:t>”</w:t>
      </w:r>
      <w:r w:rsidR="007B3330" w:rsidRPr="00857BA9">
        <w:rPr>
          <w:b/>
          <w:sz w:val="28"/>
          <w:szCs w:val="28"/>
        </w:rPr>
        <w:t>Noteikumi par obligātajām prasībām ārstniecības iestādēm un to struktūrvienībām”</w:t>
      </w:r>
      <w:bookmarkEnd w:id="3"/>
      <w:bookmarkEnd w:id="4"/>
      <w:r w:rsidR="00031886" w:rsidRPr="00857BA9">
        <w:rPr>
          <w:b/>
          <w:sz w:val="28"/>
          <w:szCs w:val="28"/>
        </w:rPr>
        <w:t>”</w:t>
      </w:r>
      <w:r w:rsidR="007B3330" w:rsidRPr="00857BA9">
        <w:rPr>
          <w:b/>
          <w:sz w:val="28"/>
          <w:szCs w:val="28"/>
        </w:rPr>
        <w:t xml:space="preserve"> </w:t>
      </w:r>
      <w:r w:rsidR="00C51DBA" w:rsidRPr="00857BA9">
        <w:rPr>
          <w:b/>
          <w:sz w:val="28"/>
          <w:szCs w:val="28"/>
        </w:rPr>
        <w:t>sākotnējās ietekmes novērtējuma ziņojums (</w:t>
      </w:r>
      <w:r w:rsidR="00C51DBA" w:rsidRPr="00857BA9">
        <w:rPr>
          <w:b/>
          <w:bCs/>
          <w:sz w:val="28"/>
          <w:szCs w:val="28"/>
        </w:rPr>
        <w:t>anotācija)</w:t>
      </w:r>
    </w:p>
    <w:bookmarkEnd w:id="1"/>
    <w:bookmarkEnd w:id="2"/>
    <w:p w:rsidR="00027E0A" w:rsidRPr="00857BA9" w:rsidRDefault="00027E0A" w:rsidP="00422997">
      <w:pPr>
        <w:pStyle w:val="naisc"/>
        <w:spacing w:before="0" w:after="0"/>
        <w:rPr>
          <w:b/>
          <w:bCs/>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050"/>
        <w:gridCol w:w="6662"/>
      </w:tblGrid>
      <w:tr w:rsidR="00B5021C" w:rsidRPr="00857BA9" w:rsidTr="00F44071">
        <w:tc>
          <w:tcPr>
            <w:tcW w:w="9180" w:type="dxa"/>
            <w:gridSpan w:val="3"/>
          </w:tcPr>
          <w:p w:rsidR="00B5021C" w:rsidRPr="00857BA9" w:rsidRDefault="00B5021C" w:rsidP="00F44071">
            <w:pPr>
              <w:jc w:val="center"/>
            </w:pPr>
            <w:r w:rsidRPr="00857BA9">
              <w:rPr>
                <w:b/>
                <w:bCs/>
                <w:lang w:eastAsia="en-US"/>
              </w:rPr>
              <w:t>I. Tiesību akta projekta izstrādes nepieciešamība</w:t>
            </w:r>
          </w:p>
        </w:tc>
      </w:tr>
      <w:tr w:rsidR="00027E0A" w:rsidRPr="00857BA9" w:rsidTr="00422997">
        <w:tc>
          <w:tcPr>
            <w:tcW w:w="468" w:type="dxa"/>
          </w:tcPr>
          <w:p w:rsidR="00027E0A" w:rsidRPr="00857BA9" w:rsidRDefault="00027E0A" w:rsidP="00F44071">
            <w:r w:rsidRPr="00857BA9">
              <w:rPr>
                <w:lang w:eastAsia="en-US"/>
              </w:rPr>
              <w:t>1.</w:t>
            </w:r>
          </w:p>
        </w:tc>
        <w:tc>
          <w:tcPr>
            <w:tcW w:w="2050" w:type="dxa"/>
          </w:tcPr>
          <w:p w:rsidR="00027E0A" w:rsidRPr="00857BA9" w:rsidRDefault="00027E0A" w:rsidP="00F44071">
            <w:pPr>
              <w:ind w:left="-42" w:right="-102"/>
              <w:rPr>
                <w:lang w:eastAsia="en-US"/>
              </w:rPr>
            </w:pPr>
            <w:r w:rsidRPr="00857BA9">
              <w:rPr>
                <w:lang w:eastAsia="en-US"/>
              </w:rPr>
              <w:t>Pamatojums</w:t>
            </w:r>
          </w:p>
        </w:tc>
        <w:tc>
          <w:tcPr>
            <w:tcW w:w="6662" w:type="dxa"/>
          </w:tcPr>
          <w:p w:rsidR="0022460C" w:rsidRDefault="008C15BC" w:rsidP="007626C4">
            <w:pPr>
              <w:ind w:firstLine="312"/>
              <w:jc w:val="both"/>
              <w:rPr>
                <w:lang w:eastAsia="en-US"/>
              </w:rPr>
            </w:pPr>
            <w:r w:rsidRPr="00857BA9">
              <w:rPr>
                <w:lang w:eastAsia="en-US"/>
              </w:rPr>
              <w:t xml:space="preserve">Ārstniecības likuma 55.panta otrā daļa. </w:t>
            </w:r>
          </w:p>
          <w:p w:rsidR="007626C4" w:rsidRPr="00857BA9" w:rsidRDefault="007626C4" w:rsidP="007626C4">
            <w:pPr>
              <w:ind w:firstLine="312"/>
              <w:jc w:val="both"/>
              <w:rPr>
                <w:lang w:eastAsia="en-US"/>
              </w:rPr>
            </w:pPr>
            <w:r w:rsidRPr="007626C4">
              <w:rPr>
                <w:lang w:eastAsia="en-US"/>
              </w:rPr>
              <w:t>2015.gada 22.decembra sēdes protokola Nr.68 19.§ 2.punkt</w:t>
            </w:r>
            <w:r>
              <w:rPr>
                <w:lang w:eastAsia="en-US"/>
              </w:rPr>
              <w:t>s.</w:t>
            </w:r>
          </w:p>
        </w:tc>
      </w:tr>
      <w:tr w:rsidR="00027E0A" w:rsidRPr="00857BA9" w:rsidTr="00422997">
        <w:tc>
          <w:tcPr>
            <w:tcW w:w="468" w:type="dxa"/>
          </w:tcPr>
          <w:p w:rsidR="00027E0A" w:rsidRPr="00857BA9" w:rsidRDefault="00027E0A" w:rsidP="00F44071">
            <w:r w:rsidRPr="00857BA9">
              <w:rPr>
                <w:lang w:eastAsia="en-US"/>
              </w:rPr>
              <w:t>2.</w:t>
            </w:r>
          </w:p>
        </w:tc>
        <w:tc>
          <w:tcPr>
            <w:tcW w:w="2050" w:type="dxa"/>
          </w:tcPr>
          <w:p w:rsidR="00027E0A" w:rsidRPr="00857BA9" w:rsidRDefault="00A332F5" w:rsidP="00422997">
            <w:pPr>
              <w:ind w:right="-102"/>
            </w:pPr>
            <w:r w:rsidRPr="00857BA9">
              <w:rPr>
                <w:lang w:eastAsia="en-US"/>
              </w:rPr>
              <w:t>Pašreizējā situācija un problēmas, kuru risināšanai tiesību akta projekts izstrādāts, tiesiskā regulējuma mērķis un būtība</w:t>
            </w:r>
          </w:p>
        </w:tc>
        <w:tc>
          <w:tcPr>
            <w:tcW w:w="6662" w:type="dxa"/>
          </w:tcPr>
          <w:p w:rsidR="00FC47BB" w:rsidRDefault="000B734E" w:rsidP="00FC47BB">
            <w:pPr>
              <w:ind w:firstLine="311"/>
              <w:jc w:val="both"/>
            </w:pPr>
            <w:r w:rsidRPr="00857BA9">
              <w:rPr>
                <w:rStyle w:val="Strong"/>
                <w:b w:val="0"/>
              </w:rPr>
              <w:t>Ministru kabineta 2009.gada 20.janvāra noteikum</w:t>
            </w:r>
            <w:r w:rsidR="00BE1E09">
              <w:rPr>
                <w:rStyle w:val="Strong"/>
                <w:b w:val="0"/>
              </w:rPr>
              <w:t>os</w:t>
            </w:r>
            <w:r w:rsidRPr="00857BA9">
              <w:rPr>
                <w:rStyle w:val="Strong"/>
                <w:b w:val="0"/>
              </w:rPr>
              <w:t xml:space="preserve"> Nr.60 </w:t>
            </w:r>
            <w:r w:rsidR="00040062">
              <w:rPr>
                <w:rStyle w:val="Strong"/>
                <w:b w:val="0"/>
              </w:rPr>
              <w:t>”</w:t>
            </w:r>
            <w:r w:rsidRPr="00857BA9">
              <w:rPr>
                <w:bCs/>
              </w:rPr>
              <w:t xml:space="preserve">Noteikumi par obligātajām prasībām ārstniecības iestādēm un to struktūrvienībām” </w:t>
            </w:r>
            <w:r w:rsidRPr="00857BA9">
              <w:t xml:space="preserve">(turpmāk – </w:t>
            </w:r>
            <w:r w:rsidR="00853EB2">
              <w:t>n</w:t>
            </w:r>
            <w:r w:rsidRPr="00857BA9">
              <w:t xml:space="preserve">oteikumi) </w:t>
            </w:r>
            <w:r w:rsidR="00BE1E09">
              <w:t xml:space="preserve">iekļautas normas, kuras ārstniecības iestādēm </w:t>
            </w:r>
            <w:r w:rsidR="00AF644E">
              <w:rPr>
                <w:bCs/>
              </w:rPr>
              <w:t>obligāt</w:t>
            </w:r>
            <w:r w:rsidR="00BE1E09">
              <w:rPr>
                <w:bCs/>
              </w:rPr>
              <w:t xml:space="preserve">i jāievēro, lai </w:t>
            </w:r>
            <w:r w:rsidR="00AF644E">
              <w:rPr>
                <w:bCs/>
              </w:rPr>
              <w:t>tās varētu sniegt veselības aprūpes pakalpojumus iedzīvotājiem.</w:t>
            </w:r>
            <w:r w:rsidR="00FC47BB">
              <w:t xml:space="preserve"> Ministru kabineta 2015.gada 22.decembra sēdes protokola Nr.68 19.§ 2.punktā Veselības ministrijai tika dots uzdevums sagatavot informāciju par medicīnas laboratoriju akreditācijas nepieciešamību atbilstoši standartam LVS EN ISO 15189:2013 </w:t>
            </w:r>
            <w:r w:rsidR="00040062">
              <w:t>”</w:t>
            </w:r>
            <w:r w:rsidR="00FC47BB">
              <w:t>Medicīnas laboratorijas. Īpašās prasības uz kvalitāti un kompetenci”” (turpmāk – ISO 15189 standarts).</w:t>
            </w:r>
          </w:p>
          <w:p w:rsidR="00656EC2" w:rsidRDefault="00656EC2" w:rsidP="004B7E0C">
            <w:pPr>
              <w:ind w:firstLine="311"/>
              <w:jc w:val="both"/>
            </w:pPr>
            <w:r>
              <w:t>Informācija par medicīnas laboratoriju akreditāciju atbilstoši standarta ISO 15189:2013 prasībām dažādās valstīs (</w:t>
            </w:r>
            <w:proofErr w:type="spellStart"/>
            <w:r>
              <w:t>Tomaš</w:t>
            </w:r>
            <w:proofErr w:type="spellEnd"/>
            <w:r>
              <w:t xml:space="preserve"> </w:t>
            </w:r>
            <w:proofErr w:type="spellStart"/>
            <w:r>
              <w:t>Zima</w:t>
            </w:r>
            <w:proofErr w:type="spellEnd"/>
            <w:r>
              <w:t xml:space="preserve"> „</w:t>
            </w:r>
            <w:proofErr w:type="spellStart"/>
            <w:r>
              <w:t>Accreditation</w:t>
            </w:r>
            <w:proofErr w:type="spellEnd"/>
            <w:r>
              <w:t xml:space="preserve"> </w:t>
            </w:r>
            <w:proofErr w:type="spellStart"/>
            <w:r>
              <w:t>of</w:t>
            </w:r>
            <w:proofErr w:type="spellEnd"/>
            <w:r>
              <w:t xml:space="preserve"> </w:t>
            </w:r>
            <w:proofErr w:type="spellStart"/>
            <w:r>
              <w:t>clinical</w:t>
            </w:r>
            <w:proofErr w:type="spellEnd"/>
            <w:r>
              <w:t xml:space="preserve"> </w:t>
            </w:r>
            <w:proofErr w:type="spellStart"/>
            <w:r>
              <w:t>laboratories</w:t>
            </w:r>
            <w:proofErr w:type="spellEnd"/>
            <w:r>
              <w:t xml:space="preserve"> </w:t>
            </w:r>
            <w:proofErr w:type="spellStart"/>
            <w:r>
              <w:t>in</w:t>
            </w:r>
            <w:proofErr w:type="spellEnd"/>
            <w:r>
              <w:t xml:space="preserve"> </w:t>
            </w:r>
            <w:proofErr w:type="spellStart"/>
            <w:r>
              <w:t>Europe</w:t>
            </w:r>
            <w:proofErr w:type="spellEnd"/>
            <w:r>
              <w:t xml:space="preserve">: </w:t>
            </w:r>
            <w:proofErr w:type="spellStart"/>
            <w:r>
              <w:t>benefits</w:t>
            </w:r>
            <w:proofErr w:type="spellEnd"/>
            <w:r>
              <w:t xml:space="preserve"> </w:t>
            </w:r>
            <w:proofErr w:type="spellStart"/>
            <w:r>
              <w:t>and</w:t>
            </w:r>
            <w:proofErr w:type="spellEnd"/>
            <w:r>
              <w:t xml:space="preserve"> </w:t>
            </w:r>
            <w:proofErr w:type="spellStart"/>
            <w:r>
              <w:t>negation</w:t>
            </w:r>
            <w:proofErr w:type="spellEnd"/>
            <w:r>
              <w:t>”, 2012):</w:t>
            </w:r>
          </w:p>
          <w:p w:rsidR="00656EC2" w:rsidRDefault="00656EC2" w:rsidP="00656EC2">
            <w:pPr>
              <w:ind w:firstLine="31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5"/>
              <w:gridCol w:w="1336"/>
              <w:gridCol w:w="3045"/>
            </w:tblGrid>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Valsts</w:t>
                  </w:r>
                </w:p>
              </w:tc>
              <w:tc>
                <w:tcPr>
                  <w:tcW w:w="1183" w:type="dxa"/>
                  <w:shd w:val="clear" w:color="auto" w:fill="auto"/>
                </w:tcPr>
                <w:p w:rsidR="00504E99" w:rsidRPr="007A5098" w:rsidRDefault="00504E99" w:rsidP="00504E99">
                  <w:pPr>
                    <w:jc w:val="both"/>
                    <w:rPr>
                      <w:rFonts w:eastAsia="Batang"/>
                      <w:lang w:eastAsia="ko-KR"/>
                    </w:rPr>
                  </w:pPr>
                  <w:r w:rsidRPr="007A5098">
                    <w:rPr>
                      <w:rFonts w:eastAsia="Batang"/>
                      <w:lang w:eastAsia="ko-KR"/>
                    </w:rPr>
                    <w:t xml:space="preserve">Obligātā akreditācija Jā/Nē </w:t>
                  </w:r>
                </w:p>
              </w:tc>
              <w:tc>
                <w:tcPr>
                  <w:tcW w:w="3147" w:type="dxa"/>
                  <w:shd w:val="clear" w:color="auto" w:fill="auto"/>
                </w:tcPr>
                <w:p w:rsidR="00504E99" w:rsidRPr="007A5098" w:rsidRDefault="00504E99" w:rsidP="00504E99">
                  <w:pPr>
                    <w:jc w:val="both"/>
                    <w:rPr>
                      <w:rFonts w:eastAsia="Batang"/>
                      <w:lang w:eastAsia="ko-KR"/>
                    </w:rPr>
                  </w:pPr>
                  <w:r w:rsidRPr="007A5098">
                    <w:rPr>
                      <w:rFonts w:eastAsia="Batang"/>
                      <w:lang w:eastAsia="ko-KR"/>
                    </w:rPr>
                    <w:t>Obligātās akreditācijas jomas</w:t>
                  </w: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Beļģija</w:t>
                  </w:r>
                </w:p>
              </w:tc>
              <w:tc>
                <w:tcPr>
                  <w:tcW w:w="1183" w:type="dxa"/>
                  <w:shd w:val="clear" w:color="auto" w:fill="auto"/>
                </w:tcPr>
                <w:p w:rsidR="00504E99" w:rsidRPr="007A5098" w:rsidRDefault="00504E99" w:rsidP="00504E99">
                  <w:pPr>
                    <w:jc w:val="both"/>
                    <w:rPr>
                      <w:rFonts w:eastAsia="Batang"/>
                      <w:lang w:eastAsia="ko-KR"/>
                    </w:rPr>
                  </w:pPr>
                  <w:r w:rsidRPr="007A5098">
                    <w:rPr>
                      <w:rFonts w:eastAsia="Batang"/>
                      <w:lang w:eastAsia="ko-KR"/>
                    </w:rPr>
                    <w:t>Jā</w:t>
                  </w:r>
                </w:p>
              </w:tc>
              <w:tc>
                <w:tcPr>
                  <w:tcW w:w="3147" w:type="dxa"/>
                  <w:shd w:val="clear" w:color="auto" w:fill="auto"/>
                </w:tcPr>
                <w:p w:rsidR="00504E99" w:rsidRPr="007A5098" w:rsidRDefault="00504E99" w:rsidP="00504E99">
                  <w:pPr>
                    <w:jc w:val="both"/>
                    <w:rPr>
                      <w:rFonts w:eastAsia="Batang"/>
                      <w:lang w:eastAsia="ko-KR"/>
                    </w:rPr>
                  </w:pPr>
                  <w:r w:rsidRPr="007A5098">
                    <w:rPr>
                      <w:rFonts w:eastAsia="Batang"/>
                      <w:lang w:eastAsia="ko-KR"/>
                    </w:rPr>
                    <w:t xml:space="preserve">Tikai molekulārā bioloģija (onkoloģija un </w:t>
                  </w:r>
                  <w:proofErr w:type="spellStart"/>
                  <w:r w:rsidRPr="007A5098">
                    <w:rPr>
                      <w:rFonts w:eastAsia="Batang"/>
                      <w:lang w:eastAsia="ko-KR"/>
                    </w:rPr>
                    <w:t>virusoliģija</w:t>
                  </w:r>
                  <w:proofErr w:type="spellEnd"/>
                  <w:r w:rsidRPr="007A5098">
                    <w:rPr>
                      <w:rFonts w:eastAsia="Batang"/>
                      <w:lang w:eastAsia="ko-KR"/>
                    </w:rPr>
                    <w:t>)</w:t>
                  </w: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Kipra</w:t>
                  </w:r>
                </w:p>
              </w:tc>
              <w:tc>
                <w:tcPr>
                  <w:tcW w:w="1183" w:type="dxa"/>
                  <w:shd w:val="clear" w:color="auto" w:fill="auto"/>
                </w:tcPr>
                <w:p w:rsidR="00504E99" w:rsidRPr="007A5098" w:rsidRDefault="00504E99" w:rsidP="00504E99">
                  <w:pPr>
                    <w:jc w:val="both"/>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Čehijas republika</w:t>
                  </w:r>
                </w:p>
              </w:tc>
              <w:tc>
                <w:tcPr>
                  <w:tcW w:w="1183" w:type="dxa"/>
                  <w:shd w:val="clear" w:color="auto" w:fill="auto"/>
                </w:tcPr>
                <w:p w:rsidR="00504E99" w:rsidRPr="007A5098" w:rsidRDefault="00504E99" w:rsidP="00504E99">
                  <w:pPr>
                    <w:jc w:val="both"/>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Dānija</w:t>
                  </w:r>
                </w:p>
              </w:tc>
              <w:tc>
                <w:tcPr>
                  <w:tcW w:w="1183" w:type="dxa"/>
                  <w:shd w:val="clear" w:color="auto" w:fill="auto"/>
                </w:tcPr>
                <w:p w:rsidR="00504E99" w:rsidRPr="007A5098" w:rsidRDefault="00504E99" w:rsidP="00504E99">
                  <w:pPr>
                    <w:jc w:val="both"/>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Igaunija</w:t>
                  </w:r>
                </w:p>
              </w:tc>
              <w:tc>
                <w:tcPr>
                  <w:tcW w:w="1183" w:type="dxa"/>
                  <w:shd w:val="clear" w:color="auto" w:fill="auto"/>
                </w:tcPr>
                <w:p w:rsidR="00504E99" w:rsidRPr="007A5098" w:rsidRDefault="00504E99" w:rsidP="00504E99">
                  <w:pPr>
                    <w:jc w:val="both"/>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Somija</w:t>
                  </w:r>
                </w:p>
              </w:tc>
              <w:tc>
                <w:tcPr>
                  <w:tcW w:w="1183" w:type="dxa"/>
                  <w:shd w:val="clear" w:color="auto" w:fill="auto"/>
                </w:tcPr>
                <w:p w:rsidR="00504E99" w:rsidRPr="007A5098" w:rsidRDefault="00504E99" w:rsidP="00504E99">
                  <w:pPr>
                    <w:jc w:val="both"/>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 xml:space="preserve">Francija </w:t>
                  </w:r>
                </w:p>
              </w:tc>
              <w:tc>
                <w:tcPr>
                  <w:tcW w:w="1183" w:type="dxa"/>
                  <w:shd w:val="clear" w:color="auto" w:fill="auto"/>
                </w:tcPr>
                <w:p w:rsidR="00504E99" w:rsidRPr="007A5098" w:rsidRDefault="00504E99" w:rsidP="00504E99">
                  <w:pPr>
                    <w:jc w:val="both"/>
                    <w:rPr>
                      <w:rFonts w:eastAsia="Batang"/>
                      <w:lang w:eastAsia="ko-KR"/>
                    </w:rPr>
                  </w:pPr>
                  <w:r w:rsidRPr="007A5098">
                    <w:rPr>
                      <w:rFonts w:eastAsia="Batang"/>
                      <w:lang w:eastAsia="ko-KR"/>
                    </w:rPr>
                    <w:t>Jā</w:t>
                  </w:r>
                </w:p>
              </w:tc>
              <w:tc>
                <w:tcPr>
                  <w:tcW w:w="3147" w:type="dxa"/>
                  <w:shd w:val="clear" w:color="auto" w:fill="auto"/>
                </w:tcPr>
                <w:p w:rsidR="00504E99" w:rsidRPr="007A5098" w:rsidRDefault="00504E99" w:rsidP="00504E99">
                  <w:pPr>
                    <w:jc w:val="both"/>
                    <w:rPr>
                      <w:rFonts w:eastAsia="Batang"/>
                      <w:lang w:eastAsia="ko-KR"/>
                    </w:rPr>
                  </w:pPr>
                  <w:r w:rsidRPr="007A5098">
                    <w:rPr>
                      <w:rFonts w:eastAsia="Batang"/>
                      <w:lang w:eastAsia="ko-KR"/>
                    </w:rPr>
                    <w:t>Visas jomas no 2016.gada 01.11.</w:t>
                  </w: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Vācija</w:t>
                  </w:r>
                </w:p>
              </w:tc>
              <w:tc>
                <w:tcPr>
                  <w:tcW w:w="1183" w:type="dxa"/>
                  <w:shd w:val="clear" w:color="auto" w:fill="auto"/>
                </w:tcPr>
                <w:p w:rsidR="00504E99" w:rsidRPr="007A5098" w:rsidRDefault="00504E99" w:rsidP="00504E99">
                  <w:pPr>
                    <w:jc w:val="both"/>
                    <w:rPr>
                      <w:rFonts w:eastAsia="Batang"/>
                      <w:lang w:eastAsia="ko-KR"/>
                    </w:rPr>
                  </w:pPr>
                  <w:r w:rsidRPr="007A5098">
                    <w:rPr>
                      <w:rFonts w:eastAsia="Batang"/>
                      <w:lang w:eastAsia="ko-KR"/>
                    </w:rPr>
                    <w:t>Jā</w:t>
                  </w:r>
                </w:p>
              </w:tc>
              <w:tc>
                <w:tcPr>
                  <w:tcW w:w="3147" w:type="dxa"/>
                  <w:shd w:val="clear" w:color="auto" w:fill="auto"/>
                </w:tcPr>
                <w:p w:rsidR="00504E99" w:rsidRPr="007A5098" w:rsidRDefault="00504E99" w:rsidP="00504E99">
                  <w:pPr>
                    <w:jc w:val="both"/>
                    <w:rPr>
                      <w:rFonts w:eastAsia="Batang"/>
                      <w:lang w:eastAsia="ko-KR"/>
                    </w:rPr>
                  </w:pPr>
                  <w:r w:rsidRPr="007A5098">
                    <w:rPr>
                      <w:rFonts w:eastAsia="Batang"/>
                      <w:lang w:eastAsia="ko-KR"/>
                    </w:rPr>
                    <w:t xml:space="preserve">Tikai jaundzimušo </w:t>
                  </w:r>
                  <w:proofErr w:type="spellStart"/>
                  <w:r w:rsidRPr="007A5098">
                    <w:rPr>
                      <w:rFonts w:eastAsia="Batang"/>
                      <w:lang w:eastAsia="ko-KR"/>
                    </w:rPr>
                    <w:t>skrīningam</w:t>
                  </w:r>
                  <w:proofErr w:type="spellEnd"/>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Grieķija</w:t>
                  </w:r>
                </w:p>
              </w:tc>
              <w:tc>
                <w:tcPr>
                  <w:tcW w:w="1183" w:type="dxa"/>
                  <w:shd w:val="clear" w:color="auto" w:fill="auto"/>
                </w:tcPr>
                <w:p w:rsidR="00504E99" w:rsidRPr="007A5098" w:rsidRDefault="00504E99" w:rsidP="00504E99">
                  <w:pPr>
                    <w:jc w:val="both"/>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 xml:space="preserve">Īrija </w:t>
                  </w:r>
                </w:p>
              </w:tc>
              <w:tc>
                <w:tcPr>
                  <w:tcW w:w="1183" w:type="dxa"/>
                  <w:shd w:val="clear" w:color="auto" w:fill="auto"/>
                </w:tcPr>
                <w:p w:rsidR="00504E99" w:rsidRPr="007A5098" w:rsidRDefault="00504E99" w:rsidP="00504E99">
                  <w:pPr>
                    <w:jc w:val="both"/>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106" w:type="dxa"/>
                  <w:shd w:val="clear" w:color="auto" w:fill="auto"/>
                </w:tcPr>
                <w:p w:rsidR="00504E99" w:rsidRPr="007A5098" w:rsidRDefault="00504E99" w:rsidP="00504E99">
                  <w:pPr>
                    <w:jc w:val="both"/>
                    <w:rPr>
                      <w:rFonts w:eastAsia="Batang"/>
                      <w:b/>
                      <w:lang w:eastAsia="ko-KR"/>
                    </w:rPr>
                  </w:pPr>
                  <w:r w:rsidRPr="007A5098">
                    <w:rPr>
                      <w:rFonts w:eastAsia="Batang"/>
                      <w:b/>
                      <w:lang w:eastAsia="ko-KR"/>
                    </w:rPr>
                    <w:t>LATVIJA</w:t>
                  </w:r>
                </w:p>
              </w:tc>
              <w:tc>
                <w:tcPr>
                  <w:tcW w:w="1183" w:type="dxa"/>
                  <w:shd w:val="clear" w:color="auto" w:fill="auto"/>
                </w:tcPr>
                <w:p w:rsidR="00504E99" w:rsidRPr="007A5098" w:rsidRDefault="00504E99" w:rsidP="00504E99">
                  <w:pPr>
                    <w:jc w:val="both"/>
                    <w:rPr>
                      <w:rFonts w:eastAsia="Batang"/>
                      <w:lang w:eastAsia="ko-KR"/>
                    </w:rPr>
                  </w:pPr>
                  <w:r w:rsidRPr="007A5098">
                    <w:rPr>
                      <w:rFonts w:eastAsia="Batang"/>
                      <w:lang w:eastAsia="ko-KR"/>
                    </w:rPr>
                    <w:t xml:space="preserve">Jā </w:t>
                  </w:r>
                </w:p>
              </w:tc>
              <w:tc>
                <w:tcPr>
                  <w:tcW w:w="3147" w:type="dxa"/>
                  <w:shd w:val="clear" w:color="auto" w:fill="auto"/>
                </w:tcPr>
                <w:p w:rsidR="00504E99" w:rsidRPr="007A5098" w:rsidRDefault="00421D2E" w:rsidP="00421D2E">
                  <w:pPr>
                    <w:jc w:val="both"/>
                    <w:rPr>
                      <w:rFonts w:eastAsia="Batang"/>
                      <w:lang w:eastAsia="ko-KR"/>
                    </w:rPr>
                  </w:pPr>
                  <w:r>
                    <w:rPr>
                      <w:rFonts w:eastAsia="Batang"/>
                      <w:lang w:eastAsia="ko-KR"/>
                    </w:rPr>
                    <w:t>V</w:t>
                  </w:r>
                  <w:r w:rsidR="00504E99" w:rsidRPr="007A5098">
                    <w:rPr>
                      <w:rFonts w:eastAsia="Batang"/>
                      <w:lang w:eastAsia="ko-KR"/>
                    </w:rPr>
                    <w:t xml:space="preserve">isas </w:t>
                  </w:r>
                  <w:r w:rsidR="00846C77">
                    <w:rPr>
                      <w:rFonts w:eastAsia="Batang"/>
                      <w:lang w:eastAsia="ko-KR"/>
                    </w:rPr>
                    <w:t xml:space="preserve">medicīnas </w:t>
                  </w:r>
                  <w:r w:rsidR="00504E99" w:rsidRPr="007A5098">
                    <w:rPr>
                      <w:rFonts w:eastAsia="Batang"/>
                      <w:lang w:eastAsia="ko-KR"/>
                    </w:rPr>
                    <w:t>laboratorijas no 201</w:t>
                  </w:r>
                  <w:r>
                    <w:rPr>
                      <w:rFonts w:eastAsia="Batang"/>
                      <w:lang w:eastAsia="ko-KR"/>
                    </w:rPr>
                    <w:t>7</w:t>
                  </w:r>
                  <w:r w:rsidR="00504E99" w:rsidRPr="007A5098">
                    <w:rPr>
                      <w:rFonts w:eastAsia="Batang"/>
                      <w:lang w:eastAsia="ko-KR"/>
                    </w:rPr>
                    <w:t>.gada 1.</w:t>
                  </w:r>
                  <w:r w:rsidR="004B7E0C">
                    <w:rPr>
                      <w:rFonts w:eastAsia="Batang"/>
                      <w:lang w:eastAsia="ko-KR"/>
                    </w:rPr>
                    <w:t>janvāra</w:t>
                  </w:r>
                  <w:r>
                    <w:rPr>
                      <w:rFonts w:eastAsia="Batang"/>
                      <w:lang w:eastAsia="ko-KR"/>
                    </w:rPr>
                    <w:t xml:space="preserve"> (šobrīd spēkā esošā norma)</w:t>
                  </w: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Malta</w:t>
                  </w:r>
                </w:p>
              </w:tc>
              <w:tc>
                <w:tcPr>
                  <w:tcW w:w="1183" w:type="dxa"/>
                  <w:shd w:val="clear" w:color="auto" w:fill="auto"/>
                </w:tcPr>
                <w:p w:rsidR="00504E99" w:rsidRPr="007A5098" w:rsidRDefault="00504E99" w:rsidP="00504E99">
                  <w:pPr>
                    <w:jc w:val="both"/>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Nīderlande</w:t>
                  </w:r>
                </w:p>
              </w:tc>
              <w:tc>
                <w:tcPr>
                  <w:tcW w:w="1183" w:type="dxa"/>
                  <w:shd w:val="clear" w:color="auto" w:fill="auto"/>
                </w:tcPr>
                <w:p w:rsidR="00504E99" w:rsidRPr="007A5098" w:rsidRDefault="00504E99" w:rsidP="00504E99">
                  <w:pPr>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Norvēģija</w:t>
                  </w:r>
                </w:p>
              </w:tc>
              <w:tc>
                <w:tcPr>
                  <w:tcW w:w="1183" w:type="dxa"/>
                  <w:shd w:val="clear" w:color="auto" w:fill="auto"/>
                </w:tcPr>
                <w:p w:rsidR="00504E99" w:rsidRPr="007A5098" w:rsidRDefault="00504E99" w:rsidP="00504E99">
                  <w:pPr>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Portugāle</w:t>
                  </w:r>
                </w:p>
              </w:tc>
              <w:tc>
                <w:tcPr>
                  <w:tcW w:w="1183" w:type="dxa"/>
                  <w:shd w:val="clear" w:color="auto" w:fill="auto"/>
                </w:tcPr>
                <w:p w:rsidR="00504E99" w:rsidRPr="007A5098" w:rsidRDefault="00504E99" w:rsidP="00504E99">
                  <w:pPr>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lastRenderedPageBreak/>
                    <w:t>Horvātija</w:t>
                  </w:r>
                </w:p>
              </w:tc>
              <w:tc>
                <w:tcPr>
                  <w:tcW w:w="1183" w:type="dxa"/>
                  <w:shd w:val="clear" w:color="auto" w:fill="auto"/>
                </w:tcPr>
                <w:p w:rsidR="00504E99" w:rsidRPr="007A5098" w:rsidRDefault="00504E99" w:rsidP="00504E99">
                  <w:pPr>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Serbija</w:t>
                  </w:r>
                </w:p>
              </w:tc>
              <w:tc>
                <w:tcPr>
                  <w:tcW w:w="1183" w:type="dxa"/>
                  <w:shd w:val="clear" w:color="auto" w:fill="auto"/>
                </w:tcPr>
                <w:p w:rsidR="00504E99" w:rsidRPr="007A5098" w:rsidRDefault="00504E99" w:rsidP="00504E99">
                  <w:pPr>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Spānija</w:t>
                  </w:r>
                </w:p>
              </w:tc>
              <w:tc>
                <w:tcPr>
                  <w:tcW w:w="1183" w:type="dxa"/>
                  <w:shd w:val="clear" w:color="auto" w:fill="auto"/>
                </w:tcPr>
                <w:p w:rsidR="00504E99" w:rsidRPr="007A5098" w:rsidRDefault="00504E99" w:rsidP="00504E99">
                  <w:pPr>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Šveice</w:t>
                  </w:r>
                </w:p>
              </w:tc>
              <w:tc>
                <w:tcPr>
                  <w:tcW w:w="1183" w:type="dxa"/>
                  <w:shd w:val="clear" w:color="auto" w:fill="auto"/>
                </w:tcPr>
                <w:p w:rsidR="00504E99" w:rsidRPr="007A5098" w:rsidRDefault="00504E99" w:rsidP="00504E99">
                  <w:pPr>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r>
                    <w:rPr>
                      <w:rFonts w:eastAsia="Batang"/>
                      <w:lang w:eastAsia="ko-KR"/>
                    </w:rPr>
                    <w:t>R</w:t>
                  </w:r>
                  <w:r w:rsidRPr="007A5098">
                    <w:rPr>
                      <w:rFonts w:eastAsia="Batang"/>
                      <w:lang w:eastAsia="ko-KR"/>
                    </w:rPr>
                    <w:t>ekomendē ģenētikas laboratorijām</w:t>
                  </w: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Turcija</w:t>
                  </w:r>
                </w:p>
              </w:tc>
              <w:tc>
                <w:tcPr>
                  <w:tcW w:w="1183" w:type="dxa"/>
                  <w:shd w:val="clear" w:color="auto" w:fill="auto"/>
                </w:tcPr>
                <w:p w:rsidR="00504E99" w:rsidRPr="007A5098" w:rsidRDefault="00504E99" w:rsidP="00504E99">
                  <w:pPr>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106" w:type="dxa"/>
                  <w:shd w:val="clear" w:color="auto" w:fill="auto"/>
                </w:tcPr>
                <w:p w:rsidR="00504E99" w:rsidRPr="007A5098" w:rsidRDefault="00504E99" w:rsidP="00504E99">
                  <w:pPr>
                    <w:jc w:val="both"/>
                    <w:rPr>
                      <w:rFonts w:eastAsia="Batang"/>
                      <w:lang w:eastAsia="ko-KR"/>
                    </w:rPr>
                  </w:pPr>
                  <w:r w:rsidRPr="007A5098">
                    <w:rPr>
                      <w:rFonts w:eastAsia="Batang"/>
                      <w:lang w:eastAsia="ko-KR"/>
                    </w:rPr>
                    <w:t>Apvienotā  Karaliste</w:t>
                  </w:r>
                </w:p>
              </w:tc>
              <w:tc>
                <w:tcPr>
                  <w:tcW w:w="1183" w:type="dxa"/>
                  <w:shd w:val="clear" w:color="auto" w:fill="auto"/>
                </w:tcPr>
                <w:p w:rsidR="00504E99" w:rsidRPr="007A5098" w:rsidRDefault="00504E99" w:rsidP="00504E99">
                  <w:pPr>
                    <w:rPr>
                      <w:rFonts w:eastAsia="Batang"/>
                      <w:lang w:eastAsia="ko-KR"/>
                    </w:rPr>
                  </w:pPr>
                  <w:r w:rsidRPr="007A5098">
                    <w:rPr>
                      <w:rFonts w:eastAsia="Batang"/>
                      <w:lang w:eastAsia="ko-KR"/>
                    </w:rPr>
                    <w:t>Nē</w:t>
                  </w:r>
                </w:p>
              </w:tc>
              <w:tc>
                <w:tcPr>
                  <w:tcW w:w="3147" w:type="dxa"/>
                  <w:shd w:val="clear" w:color="auto" w:fill="auto"/>
                </w:tcPr>
                <w:p w:rsidR="00504E99" w:rsidRPr="007A5098" w:rsidRDefault="00504E99" w:rsidP="00504E99">
                  <w:pPr>
                    <w:jc w:val="both"/>
                    <w:rPr>
                      <w:rFonts w:eastAsia="Batang"/>
                      <w:lang w:eastAsia="ko-KR"/>
                    </w:rPr>
                  </w:pPr>
                </w:p>
              </w:tc>
            </w:tr>
          </w:tbl>
          <w:p w:rsidR="00656EC2" w:rsidRDefault="00656EC2" w:rsidP="00FC47BB">
            <w:pPr>
              <w:ind w:firstLine="311"/>
              <w:jc w:val="both"/>
            </w:pPr>
          </w:p>
          <w:p w:rsidR="00656EC2" w:rsidRDefault="00504E99" w:rsidP="00FC47BB">
            <w:pPr>
              <w:ind w:firstLine="311"/>
              <w:jc w:val="both"/>
            </w:pPr>
            <w:r w:rsidRPr="00504E99">
              <w:t xml:space="preserve">Savukārt, </w:t>
            </w:r>
            <w:proofErr w:type="spellStart"/>
            <w:r w:rsidRPr="00504E99">
              <w:t>Simone</w:t>
            </w:r>
            <w:proofErr w:type="spellEnd"/>
            <w:r w:rsidRPr="00504E99">
              <w:t xml:space="preserve"> </w:t>
            </w:r>
            <w:proofErr w:type="spellStart"/>
            <w:r w:rsidRPr="00504E99">
              <w:t>Zerah</w:t>
            </w:r>
            <w:proofErr w:type="spellEnd"/>
            <w:r w:rsidRPr="00504E99">
              <w:t xml:space="preserve">, Eiropas Klīniskās Ķīmijas un </w:t>
            </w:r>
            <w:proofErr w:type="spellStart"/>
            <w:r w:rsidRPr="00504E99">
              <w:t>Laboratorās</w:t>
            </w:r>
            <w:proofErr w:type="spellEnd"/>
            <w:r w:rsidRPr="00504E99">
              <w:t xml:space="preserve"> medicīnas Federācijas komitejas locekle 2014.gada publikācijā min sekojošus datus attiecībā uz akreditēto laboratoriju īpatsvaru dažādās Eiropas valstīs: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1344"/>
              <w:gridCol w:w="3005"/>
            </w:tblGrid>
            <w:tr w:rsidR="00504E99" w:rsidRPr="007A5098" w:rsidTr="00504E99">
              <w:tc>
                <w:tcPr>
                  <w:tcW w:w="2087" w:type="dxa"/>
                  <w:shd w:val="clear" w:color="auto" w:fill="auto"/>
                </w:tcPr>
                <w:p w:rsidR="00504E99" w:rsidRPr="007A5098" w:rsidRDefault="00504E99" w:rsidP="00504E99">
                  <w:pPr>
                    <w:jc w:val="center"/>
                    <w:rPr>
                      <w:rFonts w:eastAsia="Batang"/>
                      <w:lang w:eastAsia="ko-KR"/>
                    </w:rPr>
                  </w:pPr>
                  <w:r w:rsidRPr="007A5098">
                    <w:rPr>
                      <w:rFonts w:eastAsia="Batang"/>
                      <w:lang w:eastAsia="ko-KR"/>
                    </w:rPr>
                    <w:t>Valsts</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ISO 15189 akreditēto laboratoriju īpatsvars</w:t>
                  </w:r>
                </w:p>
              </w:tc>
              <w:tc>
                <w:tcPr>
                  <w:tcW w:w="3005" w:type="dxa"/>
                  <w:shd w:val="clear" w:color="auto" w:fill="auto"/>
                </w:tcPr>
                <w:p w:rsidR="00504E99" w:rsidRPr="007A5098" w:rsidRDefault="00504E99" w:rsidP="00504E99">
                  <w:pPr>
                    <w:jc w:val="center"/>
                    <w:rPr>
                      <w:rFonts w:eastAsia="Batang"/>
                      <w:lang w:eastAsia="ko-KR"/>
                    </w:rPr>
                  </w:pPr>
                  <w:r w:rsidRPr="007A5098">
                    <w:rPr>
                      <w:rFonts w:eastAsia="Batang"/>
                      <w:lang w:eastAsia="ko-KR"/>
                    </w:rPr>
                    <w:t>Piezīme</w:t>
                  </w: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Austrija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&lt;5%</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Beļģija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75%</w:t>
                  </w:r>
                </w:p>
              </w:tc>
              <w:tc>
                <w:tcPr>
                  <w:tcW w:w="3005" w:type="dxa"/>
                  <w:shd w:val="clear" w:color="auto" w:fill="auto"/>
                </w:tcPr>
                <w:p w:rsidR="00504E99" w:rsidRPr="007A5098" w:rsidRDefault="00504E99" w:rsidP="00504E99">
                  <w:pPr>
                    <w:jc w:val="both"/>
                    <w:rPr>
                      <w:rFonts w:eastAsia="Batang"/>
                      <w:lang w:eastAsia="ko-KR"/>
                    </w:rPr>
                  </w:pPr>
                  <w:r w:rsidRPr="007A5098">
                    <w:rPr>
                      <w:rFonts w:eastAsia="Batang"/>
                      <w:lang w:eastAsia="ko-KR"/>
                    </w:rPr>
                    <w:t>prognozēts</w:t>
                  </w: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Bulgārija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0%</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Horvātija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&lt;5%</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Kipra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&lt;5%</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Čehijas republika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20%</w:t>
                  </w:r>
                </w:p>
              </w:tc>
              <w:tc>
                <w:tcPr>
                  <w:tcW w:w="3005" w:type="dxa"/>
                  <w:shd w:val="clear" w:color="auto" w:fill="auto"/>
                </w:tcPr>
                <w:p w:rsidR="00504E99" w:rsidRPr="007A5098" w:rsidRDefault="00504E99" w:rsidP="00504E99">
                  <w:pPr>
                    <w:jc w:val="both"/>
                    <w:rPr>
                      <w:rFonts w:eastAsia="Batang"/>
                      <w:lang w:eastAsia="ko-KR"/>
                    </w:rPr>
                  </w:pPr>
                  <w:r w:rsidRPr="007A5098">
                    <w:rPr>
                      <w:rFonts w:eastAsia="Batang"/>
                      <w:lang w:eastAsia="ko-KR"/>
                    </w:rPr>
                    <w:t>prognozēts</w:t>
                  </w: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Dānija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30%</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Somija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15%- 90%</w:t>
                  </w:r>
                </w:p>
              </w:tc>
              <w:tc>
                <w:tcPr>
                  <w:tcW w:w="3005" w:type="dxa"/>
                  <w:shd w:val="clear" w:color="auto" w:fill="auto"/>
                </w:tcPr>
                <w:p w:rsidR="00504E99" w:rsidRPr="007A5098" w:rsidRDefault="00504E99" w:rsidP="00504E99">
                  <w:pPr>
                    <w:jc w:val="both"/>
                    <w:rPr>
                      <w:rFonts w:eastAsia="Batang"/>
                      <w:lang w:eastAsia="ko-KR"/>
                    </w:rPr>
                  </w:pPr>
                  <w:r w:rsidRPr="007A5098">
                    <w:rPr>
                      <w:rFonts w:eastAsia="Batang"/>
                      <w:lang w:eastAsia="ko-KR"/>
                    </w:rPr>
                    <w:t>90% no lielām laboratorijām un 15% no mazām laboratorijām</w:t>
                  </w: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Francija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3,25</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Vācija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25%</w:t>
                  </w:r>
                </w:p>
              </w:tc>
              <w:tc>
                <w:tcPr>
                  <w:tcW w:w="3005" w:type="dxa"/>
                  <w:shd w:val="clear" w:color="auto" w:fill="auto"/>
                </w:tcPr>
                <w:p w:rsidR="00504E99" w:rsidRPr="007A5098" w:rsidRDefault="00504E99" w:rsidP="00504E99">
                  <w:pPr>
                    <w:jc w:val="both"/>
                    <w:rPr>
                      <w:rFonts w:eastAsia="Batang"/>
                      <w:lang w:eastAsia="ko-KR"/>
                    </w:rPr>
                  </w:pPr>
                  <w:r w:rsidRPr="007A5098">
                    <w:rPr>
                      <w:rFonts w:eastAsia="Batang"/>
                      <w:lang w:eastAsia="ko-KR"/>
                    </w:rPr>
                    <w:t>Tikai privātās laboratorijas</w:t>
                  </w: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Grieķija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1%</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Ungārija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&lt;5%</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Īrija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75%</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Itālija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&lt;5%</w:t>
                  </w:r>
                </w:p>
              </w:tc>
              <w:tc>
                <w:tcPr>
                  <w:tcW w:w="3005" w:type="dxa"/>
                  <w:shd w:val="clear" w:color="auto" w:fill="auto"/>
                </w:tcPr>
                <w:p w:rsidR="00504E99" w:rsidRPr="007A5098" w:rsidRDefault="00504E99" w:rsidP="00504E99">
                  <w:pPr>
                    <w:jc w:val="both"/>
                    <w:rPr>
                      <w:rFonts w:eastAsia="Batang"/>
                      <w:lang w:eastAsia="ko-KR"/>
                    </w:rPr>
                  </w:pPr>
                  <w:r w:rsidRPr="007A5098">
                    <w:rPr>
                      <w:rFonts w:eastAsia="Batang"/>
                      <w:lang w:eastAsia="ko-KR"/>
                    </w:rPr>
                    <w:t>Saistīts ar apdrošināšanu un pārsvarā pēc ISO 9000/9001 standarta</w:t>
                  </w: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Lietuva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0%</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Nīderlande</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&gt;90%</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Polija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3-5%</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Portugāle</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2%</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Rumānija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30%</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Slovākijas republika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20%</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Slovēnija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0%</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Zviedrija</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100%</w:t>
                  </w:r>
                </w:p>
              </w:tc>
              <w:tc>
                <w:tcPr>
                  <w:tcW w:w="3005" w:type="dxa"/>
                  <w:shd w:val="clear" w:color="auto" w:fill="auto"/>
                </w:tcPr>
                <w:p w:rsidR="00504E99" w:rsidRPr="007A5098" w:rsidRDefault="00504E99" w:rsidP="00504E99">
                  <w:pPr>
                    <w:jc w:val="both"/>
                    <w:rPr>
                      <w:rFonts w:eastAsia="Batang"/>
                      <w:lang w:eastAsia="ko-KR"/>
                    </w:rPr>
                  </w:pPr>
                </w:p>
              </w:tc>
            </w:tr>
            <w:tr w:rsidR="00504E99" w:rsidRPr="007A5098" w:rsidTr="00504E99">
              <w:tc>
                <w:tcPr>
                  <w:tcW w:w="2087" w:type="dxa"/>
                  <w:shd w:val="clear" w:color="auto" w:fill="auto"/>
                </w:tcPr>
                <w:p w:rsidR="00504E99" w:rsidRPr="007A5098" w:rsidRDefault="00504E99" w:rsidP="00504E99">
                  <w:pPr>
                    <w:jc w:val="both"/>
                    <w:rPr>
                      <w:rFonts w:eastAsia="Batang"/>
                      <w:lang w:eastAsia="ko-KR"/>
                    </w:rPr>
                  </w:pPr>
                  <w:r w:rsidRPr="007A5098">
                    <w:rPr>
                      <w:rFonts w:eastAsia="Batang"/>
                      <w:lang w:eastAsia="ko-KR"/>
                    </w:rPr>
                    <w:t>Apvienotā karaliste</w:t>
                  </w:r>
                </w:p>
              </w:tc>
              <w:tc>
                <w:tcPr>
                  <w:tcW w:w="1344" w:type="dxa"/>
                  <w:shd w:val="clear" w:color="auto" w:fill="auto"/>
                </w:tcPr>
                <w:p w:rsidR="00504E99" w:rsidRPr="007A5098" w:rsidRDefault="00504E99" w:rsidP="00504E99">
                  <w:pPr>
                    <w:jc w:val="center"/>
                    <w:rPr>
                      <w:rFonts w:eastAsia="Batang"/>
                      <w:lang w:eastAsia="ko-KR"/>
                    </w:rPr>
                  </w:pPr>
                  <w:r w:rsidRPr="007A5098">
                    <w:rPr>
                      <w:rFonts w:eastAsia="Batang"/>
                      <w:lang w:eastAsia="ko-KR"/>
                    </w:rPr>
                    <w:t>94%</w:t>
                  </w:r>
                </w:p>
              </w:tc>
              <w:tc>
                <w:tcPr>
                  <w:tcW w:w="3005" w:type="dxa"/>
                  <w:shd w:val="clear" w:color="auto" w:fill="auto"/>
                </w:tcPr>
                <w:p w:rsidR="00504E99" w:rsidRPr="007A5098" w:rsidRDefault="00504E99" w:rsidP="00504E99">
                  <w:pPr>
                    <w:jc w:val="both"/>
                    <w:rPr>
                      <w:rFonts w:eastAsia="Batang"/>
                      <w:lang w:eastAsia="ko-KR"/>
                    </w:rPr>
                  </w:pPr>
                </w:p>
              </w:tc>
            </w:tr>
          </w:tbl>
          <w:p w:rsidR="00504E99" w:rsidRDefault="00504E99" w:rsidP="00FC47BB">
            <w:pPr>
              <w:ind w:firstLine="311"/>
              <w:jc w:val="both"/>
            </w:pPr>
          </w:p>
          <w:p w:rsidR="002A4154" w:rsidRDefault="00846C77" w:rsidP="002A4154">
            <w:pPr>
              <w:ind w:firstLine="311"/>
              <w:jc w:val="both"/>
            </w:pPr>
            <w:r>
              <w:t xml:space="preserve">No tabulās minētās informācijas redzams, ka neskatoties uz to, </w:t>
            </w:r>
            <w:r>
              <w:lastRenderedPageBreak/>
              <w:t>ka lielākā daļā valstu laboratoriju akreditācija nav noteikta kā obligāti izpildāma norma</w:t>
            </w:r>
            <w:r w:rsidR="002A4154">
              <w:t xml:space="preserve">, tomēr daudzu valstu laboratorijas veic akreditāciju atbilstoši ISO 15189 standartam, jo akreditācijas loma un nozīmīgums Eiropā un pasaulē ar katru gadu pieaug. </w:t>
            </w:r>
            <w:r w:rsidR="002A4154" w:rsidRPr="002A4154">
              <w:t>Latvijā medicīnas laboratoriju akreditāciju veic Latvijas Nacionālais akreditācijas birojs (turpmāk – LATAK)</w:t>
            </w:r>
            <w:r w:rsidR="002A4154">
              <w:t xml:space="preserve"> un </w:t>
            </w:r>
            <w:r w:rsidR="00FF3A1E">
              <w:t xml:space="preserve">ņemot vērā, ka </w:t>
            </w:r>
            <w:r w:rsidR="002A4154">
              <w:t>tas ir Daudzpusējās atzīšanas līguma parakstītājs, par kura kompetenci regulāri pārliecinās Eiropas akreditācijas kooperācijas Padomes nozīmēti auditori, akreditācijas fakts tiek</w:t>
            </w:r>
            <w:r w:rsidR="00FF3A1E">
              <w:t xml:space="preserve"> </w:t>
            </w:r>
            <w:r w:rsidR="002A4154">
              <w:t>starptautiski atzīts</w:t>
            </w:r>
            <w:r w:rsidR="00FF3A1E">
              <w:t xml:space="preserve"> un līdz ar to tiek izmantots pakalpojumu savstarpējā atzīšanā un kompetences apliecināšanā. </w:t>
            </w:r>
          </w:p>
          <w:p w:rsidR="00846C77" w:rsidRDefault="00846C77" w:rsidP="00FC47BB">
            <w:pPr>
              <w:ind w:firstLine="311"/>
              <w:jc w:val="both"/>
            </w:pPr>
          </w:p>
          <w:p w:rsidR="00FD5919" w:rsidRDefault="00FD5919" w:rsidP="00FD5919">
            <w:pPr>
              <w:ind w:firstLine="311"/>
              <w:jc w:val="both"/>
            </w:pPr>
            <w:r>
              <w:t>Sabiedrisko organizāciju t.sk. biedrības „Latvijas slimnīcu biedrība”</w:t>
            </w:r>
            <w:r w:rsidR="002136B5">
              <w:t xml:space="preserve"> </w:t>
            </w:r>
            <w:r>
              <w:t>viedoklis</w:t>
            </w:r>
            <w:r w:rsidR="007A2034">
              <w:t xml:space="preserve"> - </w:t>
            </w:r>
            <w:r w:rsidR="00105C18">
              <w:t>n</w:t>
            </w:r>
            <w:r>
              <w:t>oteikumos jāsvītro prasība medicīnas laboratoriju akreditācijai, jo:</w:t>
            </w:r>
          </w:p>
          <w:p w:rsidR="00FD5919" w:rsidRDefault="00FD5919" w:rsidP="00FD5919">
            <w:pPr>
              <w:ind w:firstLine="311"/>
              <w:jc w:val="both"/>
            </w:pPr>
            <w:r>
              <w:t>- medicīnas laboratoriju akreditācija atbilstoši  ISO 15189 standartam nav obligāta;</w:t>
            </w:r>
          </w:p>
          <w:p w:rsidR="00FD5919" w:rsidRDefault="00FD5919" w:rsidP="00FD5919">
            <w:pPr>
              <w:ind w:firstLine="311"/>
              <w:jc w:val="both"/>
            </w:pPr>
            <w:r>
              <w:t>- nevienā Eiropas Savienības normatīvajā dokumentā nav noteikta prasība medicīnas laboratorijām akreditēties atbilstoši ISO 15189 standartam vai kāda cita standarta prasībām un akreditēties nacionālajā akreditācijas birojā;</w:t>
            </w:r>
          </w:p>
          <w:p w:rsidR="00FD5919" w:rsidRDefault="00FD5919" w:rsidP="00FD5919">
            <w:pPr>
              <w:ind w:firstLine="311"/>
              <w:jc w:val="both"/>
            </w:pPr>
            <w:r>
              <w:t>- valstīs, kur ir noteikta obligāta ārstniecības iestāžu akreditācija (Francija, Itālija), to dara ārstniecības iestāžu akreditācijas institūcija saskaņā ar nacionālajām ārstniecības iestāžu akreditācijas prasībām;</w:t>
            </w:r>
          </w:p>
          <w:p w:rsidR="00FD5919" w:rsidRDefault="00FD5919" w:rsidP="00FD5919">
            <w:pPr>
              <w:ind w:firstLine="311"/>
              <w:jc w:val="both"/>
            </w:pPr>
            <w:r>
              <w:t xml:space="preserve">- īpašās prasības var tikt attiecinātas uz atsevišķām jomām, īpašām laboratorijām (kompetences centri, references laboratorijas </w:t>
            </w:r>
            <w:proofErr w:type="spellStart"/>
            <w:r>
              <w:t>utml</w:t>
            </w:r>
            <w:proofErr w:type="spellEnd"/>
            <w:r>
              <w:t>.)</w:t>
            </w:r>
            <w:r w:rsidR="003204B7">
              <w:t>,</w:t>
            </w:r>
            <w:r>
              <w:t xml:space="preserve"> </w:t>
            </w:r>
            <w:r w:rsidR="003204B7">
              <w:t>t</w:t>
            </w:r>
            <w:r>
              <w:t xml:space="preserve">ādēļ iespējams turpināt atsevišķu medicīnas laboratoriju akreditāciju atbilstoši ISO 15189 standarta prasībām kā brīvprātīgu procedūru; </w:t>
            </w:r>
          </w:p>
          <w:p w:rsidR="00FD5919" w:rsidRDefault="00FD5919" w:rsidP="00FD5919">
            <w:pPr>
              <w:ind w:firstLine="311"/>
              <w:jc w:val="both"/>
            </w:pPr>
            <w:r>
              <w:t>- laboratorijas akreditācijas process ir finansiāli izmaksu ietilpīgs;</w:t>
            </w:r>
          </w:p>
          <w:p w:rsidR="00FD5919" w:rsidRDefault="00FD5919" w:rsidP="00FD5919">
            <w:pPr>
              <w:ind w:firstLine="311"/>
              <w:jc w:val="both"/>
            </w:pPr>
            <w:r>
              <w:t>- nepieciešamas arī papildus procesa uzturēšanas izmaksas</w:t>
            </w:r>
            <w:r w:rsidR="00FF3A1E">
              <w:t>.</w:t>
            </w:r>
          </w:p>
          <w:p w:rsidR="00FF3A1E" w:rsidRDefault="00FF3A1E" w:rsidP="00F44071">
            <w:pPr>
              <w:ind w:firstLine="311"/>
              <w:jc w:val="both"/>
            </w:pPr>
          </w:p>
          <w:p w:rsidR="00AF644E" w:rsidRDefault="00FD5919" w:rsidP="00F44071">
            <w:pPr>
              <w:ind w:firstLine="311"/>
              <w:jc w:val="both"/>
            </w:pPr>
            <w:r>
              <w:t>Pamatojoties uz iepriekš minēto</w:t>
            </w:r>
            <w:r w:rsidR="002136B5">
              <w:t xml:space="preserve">, </w:t>
            </w:r>
            <w:r w:rsidR="00AF644E" w:rsidRPr="00AF644E">
              <w:t xml:space="preserve">Veselības ministrija </w:t>
            </w:r>
            <w:r w:rsidR="005666B2">
              <w:t xml:space="preserve">ir </w:t>
            </w:r>
            <w:r w:rsidR="00AF644E" w:rsidRPr="00AF644E">
              <w:t xml:space="preserve">sagatavojusi Ministru kabineta noteikumu projektu </w:t>
            </w:r>
            <w:r w:rsidR="005666B2">
              <w:t>”</w:t>
            </w:r>
            <w:r w:rsidR="00BE1E09" w:rsidRPr="00BE1E09">
              <w:t xml:space="preserve">Grozījumi Ministru kabineta 2009.gada 20.janvāra noteikumos Nr.60 </w:t>
            </w:r>
            <w:r w:rsidR="005666B2">
              <w:t>”</w:t>
            </w:r>
            <w:r w:rsidR="00BE1E09" w:rsidRPr="00BE1E09">
              <w:t xml:space="preserve">Noteikumi par obligātajām prasībām ārstniecības iestādēm un to struktūrvienībām”” </w:t>
            </w:r>
            <w:r w:rsidR="00AF644E" w:rsidRPr="00AF644E">
              <w:t>(turpmāk – noteikumu projekts)</w:t>
            </w:r>
            <w:r w:rsidR="00BE1E09">
              <w:t xml:space="preserve">, kura </w:t>
            </w:r>
            <w:r w:rsidR="00AF644E" w:rsidRPr="00AF644E">
              <w:t>mērķi</w:t>
            </w:r>
            <w:r w:rsidR="00BE1E09">
              <w:t>s ir</w:t>
            </w:r>
            <w:r w:rsidR="00AF644E" w:rsidRPr="00AF644E">
              <w:t xml:space="preserve"> pilnveidot noteikumos iekļautās normas atbilstoši </w:t>
            </w:r>
            <w:r w:rsidR="00AF644E">
              <w:t>nozares speciālistu ierosinājumiem</w:t>
            </w:r>
            <w:r w:rsidR="00BE1E09">
              <w:t>.</w:t>
            </w:r>
            <w:r w:rsidR="00AF644E">
              <w:t xml:space="preserve"> </w:t>
            </w:r>
          </w:p>
          <w:p w:rsidR="007626C4" w:rsidRDefault="00FC47BB" w:rsidP="007626C4">
            <w:pPr>
              <w:ind w:firstLine="311"/>
              <w:jc w:val="both"/>
            </w:pPr>
            <w:r>
              <w:t>N</w:t>
            </w:r>
            <w:r w:rsidR="007626C4">
              <w:t>oteikum</w:t>
            </w:r>
            <w:r>
              <w:t>os</w:t>
            </w:r>
            <w:r w:rsidR="00CB6C2A">
              <w:t xml:space="preserve"> no </w:t>
            </w:r>
            <w:r w:rsidR="007626C4">
              <w:t>to apstiprināšanas brīža bija iekļauta norma par daudzprofilu slimnīcas medicīnas laboratorijas akreditāciju</w:t>
            </w:r>
            <w:r w:rsidR="00EE0B0F">
              <w:t xml:space="preserve"> </w:t>
            </w:r>
            <w:r w:rsidR="007626C4">
              <w:t xml:space="preserve">saskaņā ar ISO 15189 standartu ar 2012.gada 1.janvāri </w:t>
            </w:r>
            <w:r w:rsidR="00EE0B0F" w:rsidRPr="00EE0B0F">
              <w:rPr>
                <w:i/>
              </w:rPr>
              <w:t>(akreditācija ir trešās puses neatkarīgs apliecinājums par laboratorijas kompetenci un spēju veikt specifiskas darbības atbilstoši ISO 15189 standartā noteiktām prasībām</w:t>
            </w:r>
            <w:r w:rsidR="002A4154">
              <w:rPr>
                <w:i/>
              </w:rPr>
              <w:t>)</w:t>
            </w:r>
            <w:r w:rsidR="005666B2">
              <w:rPr>
                <w:i/>
              </w:rPr>
              <w:t xml:space="preserve">. </w:t>
            </w:r>
            <w:r w:rsidR="007626C4">
              <w:t xml:space="preserve">Minētās normas izpilde vairakkārt tika pagarināta, veicot grozījumus </w:t>
            </w:r>
            <w:r w:rsidR="00EE0B0F">
              <w:t>n</w:t>
            </w:r>
            <w:r w:rsidR="007626C4">
              <w:t>oteikumos:</w:t>
            </w:r>
          </w:p>
          <w:p w:rsidR="007626C4" w:rsidRDefault="007626C4" w:rsidP="007626C4">
            <w:pPr>
              <w:ind w:firstLine="311"/>
              <w:jc w:val="both"/>
            </w:pPr>
            <w:r>
              <w:lastRenderedPageBreak/>
              <w:t>-</w:t>
            </w:r>
            <w:r>
              <w:tab/>
              <w:t xml:space="preserve">Ministru kabineta 2012.gada 29.maija noteikumi Nr.370 – noteica normas izpildi </w:t>
            </w:r>
            <w:r w:rsidRPr="00EE0B0F">
              <w:t>daudzprofilu slimnīcām</w:t>
            </w:r>
            <w:r>
              <w:t xml:space="preserve"> </w:t>
            </w:r>
            <w:r w:rsidR="00FC47BB">
              <w:t xml:space="preserve">pagarināt </w:t>
            </w:r>
            <w:r>
              <w:t>līdz 2013.gada 31.decembrim;</w:t>
            </w:r>
          </w:p>
          <w:p w:rsidR="007626C4" w:rsidRDefault="007626C4" w:rsidP="007626C4">
            <w:pPr>
              <w:ind w:firstLine="311"/>
              <w:jc w:val="both"/>
            </w:pPr>
            <w:r>
              <w:t>-</w:t>
            </w:r>
            <w:r>
              <w:tab/>
              <w:t xml:space="preserve">Ministru kabineta 2013.gada 10.decembra noteikumi Nr.1463 – noteica </w:t>
            </w:r>
            <w:r w:rsidRPr="00EE0B0F">
              <w:t>ārstniecības iestādēm</w:t>
            </w:r>
            <w:r>
              <w:t xml:space="preserve"> veikt laboratoriju akreditāciju līdz 2015.gada 31.decembrim;</w:t>
            </w:r>
          </w:p>
          <w:p w:rsidR="007626C4" w:rsidRDefault="007626C4" w:rsidP="007626C4">
            <w:pPr>
              <w:ind w:firstLine="311"/>
              <w:jc w:val="both"/>
            </w:pPr>
            <w:r>
              <w:t>-</w:t>
            </w:r>
            <w:r>
              <w:tab/>
              <w:t>Ministru kabineta 2015.gada 22.decembra noteikumi Nr.765 – noteica ārstniecības iestādēm veikt laboratoriju akreditāciju līdz 2016.gada 31.decembrim.</w:t>
            </w:r>
          </w:p>
          <w:p w:rsidR="00040062" w:rsidRDefault="00040062" w:rsidP="00040062">
            <w:pPr>
              <w:ind w:firstLine="311"/>
              <w:jc w:val="both"/>
            </w:pPr>
            <w:r>
              <w:t>Eiropas Savienības prasības ārstniecības drošībai un kvalitātei ir</w:t>
            </w:r>
            <w:r w:rsidR="00FE5615">
              <w:t xml:space="preserve"> noteiktas </w:t>
            </w:r>
            <w:r>
              <w:t>E</w:t>
            </w:r>
            <w:r w:rsidR="00FE5615">
              <w:t xml:space="preserve">iropas </w:t>
            </w:r>
            <w:r>
              <w:t>S</w:t>
            </w:r>
            <w:r w:rsidR="00FE5615">
              <w:t>avienības</w:t>
            </w:r>
            <w:r>
              <w:t xml:space="preserve"> Padomes</w:t>
            </w:r>
            <w:r w:rsidR="00FE5615">
              <w:t xml:space="preserve"> 2009.gada 9.jūnija </w:t>
            </w:r>
            <w:r>
              <w:t xml:space="preserve"> </w:t>
            </w:r>
            <w:r w:rsidR="00FE5615">
              <w:t>r</w:t>
            </w:r>
            <w:r>
              <w:t>ekomendācij</w:t>
            </w:r>
            <w:r w:rsidR="00FE5615">
              <w:t>ās</w:t>
            </w:r>
            <w:r>
              <w:t xml:space="preserve"> par pacientu drošību (</w:t>
            </w:r>
            <w:proofErr w:type="spellStart"/>
            <w:r>
              <w:t>Council</w:t>
            </w:r>
            <w:proofErr w:type="spellEnd"/>
            <w:r>
              <w:t xml:space="preserve"> </w:t>
            </w:r>
            <w:proofErr w:type="spellStart"/>
            <w:r>
              <w:t>recommendation</w:t>
            </w:r>
            <w:proofErr w:type="spellEnd"/>
            <w:r>
              <w:t xml:space="preserve"> </w:t>
            </w:r>
            <w:proofErr w:type="spellStart"/>
            <w:r>
              <w:t>of</w:t>
            </w:r>
            <w:proofErr w:type="spellEnd"/>
            <w:r>
              <w:t xml:space="preserve"> 9 </w:t>
            </w:r>
            <w:proofErr w:type="spellStart"/>
            <w:r>
              <w:t>June</w:t>
            </w:r>
            <w:proofErr w:type="spellEnd"/>
            <w:r>
              <w:t xml:space="preserve"> 2009 </w:t>
            </w:r>
            <w:proofErr w:type="spellStart"/>
            <w:r>
              <w:t>on</w:t>
            </w:r>
            <w:proofErr w:type="spellEnd"/>
            <w:r>
              <w:t xml:space="preserve"> </w:t>
            </w:r>
            <w:proofErr w:type="spellStart"/>
            <w:r>
              <w:t>patient</w:t>
            </w:r>
            <w:proofErr w:type="spellEnd"/>
            <w:r>
              <w:t xml:space="preserve"> </w:t>
            </w:r>
            <w:proofErr w:type="spellStart"/>
            <w:r>
              <w:t>safety</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prevention</w:t>
            </w:r>
            <w:proofErr w:type="spellEnd"/>
            <w:r>
              <w:t xml:space="preserve"> </w:t>
            </w:r>
            <w:proofErr w:type="spellStart"/>
            <w:r>
              <w:t>and</w:t>
            </w:r>
            <w:proofErr w:type="spellEnd"/>
            <w:r>
              <w:t xml:space="preserve"> </w:t>
            </w:r>
            <w:proofErr w:type="spellStart"/>
            <w:r>
              <w:t>control</w:t>
            </w:r>
            <w:proofErr w:type="spellEnd"/>
            <w:r>
              <w:t xml:space="preserve"> </w:t>
            </w:r>
            <w:proofErr w:type="spellStart"/>
            <w:r>
              <w:t>of</w:t>
            </w:r>
            <w:proofErr w:type="spellEnd"/>
            <w:r>
              <w:t xml:space="preserve"> </w:t>
            </w:r>
            <w:proofErr w:type="spellStart"/>
            <w:r>
              <w:t>healthcare</w:t>
            </w:r>
            <w:proofErr w:type="spellEnd"/>
            <w:r>
              <w:t xml:space="preserve"> </w:t>
            </w:r>
            <w:proofErr w:type="spellStart"/>
            <w:r>
              <w:t>associated</w:t>
            </w:r>
            <w:proofErr w:type="spellEnd"/>
            <w:r>
              <w:t xml:space="preserve"> </w:t>
            </w:r>
            <w:proofErr w:type="spellStart"/>
            <w:r>
              <w:t>infections</w:t>
            </w:r>
            <w:proofErr w:type="spellEnd"/>
            <w:r>
              <w:t xml:space="preserve"> (2009/C 151/01)</w:t>
            </w:r>
            <w:r w:rsidR="00FE5615">
              <w:t>)</w:t>
            </w:r>
            <w:r w:rsidR="005666B2">
              <w:t xml:space="preserve"> un </w:t>
            </w:r>
            <w:r>
              <w:t xml:space="preserve">Eiropas Parlamenta un Padomes </w:t>
            </w:r>
            <w:r w:rsidR="00177E99" w:rsidRPr="00177E99">
              <w:t>2011.gada 9.marta Direktīv</w:t>
            </w:r>
            <w:r w:rsidR="00177E99">
              <w:t>ā</w:t>
            </w:r>
            <w:r w:rsidR="00177E99" w:rsidRPr="00177E99">
              <w:t xml:space="preserve"> 2011/24/ES</w:t>
            </w:r>
            <w:r w:rsidR="00177E99">
              <w:t xml:space="preserve"> </w:t>
            </w:r>
            <w:proofErr w:type="spellStart"/>
            <w:r>
              <w:t>2011/24/ES</w:t>
            </w:r>
            <w:proofErr w:type="spellEnd"/>
            <w:r>
              <w:t xml:space="preserve"> “ES Direktīva par pacientu tiesību piemērošanu pārrobežu veselības aprūpē”</w:t>
            </w:r>
            <w:r w:rsidR="00FE5615">
              <w:t xml:space="preserve"> (turpmāk – Direktīva)</w:t>
            </w:r>
            <w:r>
              <w:t>.</w:t>
            </w:r>
          </w:p>
          <w:p w:rsidR="00040062" w:rsidRDefault="00040062" w:rsidP="00040062">
            <w:pPr>
              <w:ind w:firstLine="311"/>
              <w:jc w:val="both"/>
            </w:pPr>
            <w:r>
              <w:t xml:space="preserve">Direktīva nosaka, ka dalībvalstīm </w:t>
            </w:r>
            <w:r w:rsidR="00FE5615">
              <w:t>”</w:t>
            </w:r>
            <w:r w:rsidR="005666B2">
              <w:t>s</w:t>
            </w:r>
            <w:r>
              <w:t xml:space="preserve">istemātiski un nepārtraukti jāīsteno centieni, lai nodrošinātu kvalitātes un drošības standartu uzlabošanu atbilstīgi Padomes secinājumiem un ņemot vērā progresu starptautiskajā medicīnas zinātnē un vispāratzītu </w:t>
            </w:r>
            <w:proofErr w:type="spellStart"/>
            <w:r>
              <w:t>paraugpraksi</w:t>
            </w:r>
            <w:proofErr w:type="spellEnd"/>
            <w:r>
              <w:t xml:space="preserve"> medicīnas nozarē, kā arī veselības aprūpes jaunākās tehnoloģijas”.</w:t>
            </w:r>
            <w:r w:rsidR="00FE5615">
              <w:t xml:space="preserve"> </w:t>
            </w:r>
            <w:r>
              <w:t>Direktīvas 4.pant</w:t>
            </w:r>
            <w:r w:rsidR="00B832F9">
              <w:t xml:space="preserve">ā </w:t>
            </w:r>
            <w:r w:rsidR="00177E99">
              <w:t>noteikt</w:t>
            </w:r>
            <w:r w:rsidR="00B832F9">
              <w:t>i</w:t>
            </w:r>
            <w:r w:rsidR="00177E99">
              <w:t xml:space="preserve"> </w:t>
            </w:r>
            <w:r>
              <w:t xml:space="preserve">dalībvalsts pienākumi </w:t>
            </w:r>
            <w:r w:rsidR="00B832F9">
              <w:t>t.sk. 1.punktā noteikts</w:t>
            </w:r>
            <w:r>
              <w:t>:</w:t>
            </w:r>
          </w:p>
          <w:p w:rsidR="00040062" w:rsidRDefault="00B832F9" w:rsidP="00040062">
            <w:pPr>
              <w:ind w:firstLine="311"/>
              <w:jc w:val="both"/>
            </w:pPr>
            <w:r>
              <w:t>”</w:t>
            </w:r>
            <w:r w:rsidR="00040062">
              <w:t>1. Ņemot vērā universāluma, piekļuves kvalitatīvai veselības aprūpei, taisnīguma un solidaritātes principus, pārrobežu veselības aprūpi sniedz saskaņā ar:</w:t>
            </w:r>
          </w:p>
          <w:p w:rsidR="00040062" w:rsidRDefault="00040062" w:rsidP="00040062">
            <w:pPr>
              <w:ind w:firstLine="311"/>
              <w:jc w:val="both"/>
            </w:pPr>
            <w:r>
              <w:t>a) ārstniecības dalībvalsts tiesību aktiem;</w:t>
            </w:r>
          </w:p>
          <w:p w:rsidR="00040062" w:rsidRDefault="00040062" w:rsidP="00040062">
            <w:pPr>
              <w:ind w:firstLine="311"/>
              <w:jc w:val="both"/>
            </w:pPr>
            <w:r>
              <w:t>b) ārstniecības dalībvalsts noteiktajiem kvalitātes un drošības standartiem un pamatnostādnēm; un</w:t>
            </w:r>
          </w:p>
          <w:p w:rsidR="00040062" w:rsidRDefault="00040062" w:rsidP="00040062">
            <w:pPr>
              <w:ind w:firstLine="311"/>
              <w:jc w:val="both"/>
            </w:pPr>
            <w:r>
              <w:t>c) Savienības tiesību aktiem drošības standartu jomā.</w:t>
            </w:r>
            <w:r w:rsidR="00B832F9">
              <w:t>”</w:t>
            </w:r>
          </w:p>
          <w:p w:rsidR="00336953" w:rsidRDefault="00336953" w:rsidP="00040062">
            <w:pPr>
              <w:ind w:firstLine="311"/>
              <w:jc w:val="both"/>
            </w:pPr>
          </w:p>
          <w:p w:rsidR="00040062" w:rsidRDefault="00336953" w:rsidP="004528B8">
            <w:pPr>
              <w:ind w:firstLine="311"/>
              <w:jc w:val="both"/>
            </w:pPr>
            <w:r>
              <w:t>Latvijā noteikumos noteiktās obligātās prasības ārstniecības iestādēm un to struktūrvienībām nodrošina Direktīvas 1.punkta prasības</w:t>
            </w:r>
            <w:r w:rsidR="004528B8">
              <w:t xml:space="preserve">, t.sk. prasības medicīnas laboratorijā, kuras noteikumos tika iekļautas ar 2010.gada 21.decembra noteikumiem  Nr.1183 </w:t>
            </w:r>
            <w:r w:rsidR="004528B8" w:rsidRPr="004528B8">
              <w:t>”Grozījumi Ministru kabineta 2009.gada 20.janvāra noteikumos Nr.60 ”Noteikumi par obligātajām prasībām ārstniecības iestādēm un to struktūrvienībām””</w:t>
            </w:r>
            <w:r w:rsidR="004528B8">
              <w:t xml:space="preserve"> </w:t>
            </w:r>
            <w:r w:rsidR="002136B5">
              <w:t xml:space="preserve">un </w:t>
            </w:r>
            <w:r w:rsidR="004528B8">
              <w:t>ir spēkā no 2011.gada 1.janvāra.</w:t>
            </w:r>
          </w:p>
          <w:p w:rsidR="004528B8" w:rsidRDefault="004528B8" w:rsidP="004528B8">
            <w:pPr>
              <w:ind w:firstLine="311"/>
              <w:jc w:val="both"/>
            </w:pPr>
            <w:r>
              <w:t xml:space="preserve">Nacionālais veselības dienests 2016.gadā ir noslēdzis līgumus ar 74 laboratorijām par valsts apmaksāto ambulatoro laboratorisko izmeklējumu veikšanu iedzīvotājiem. </w:t>
            </w:r>
            <w:r w:rsidR="00D520BD">
              <w:t>Saskaņā ar LATAK tīmekļa vietnē ievietoto informāciju uz 2016.gada 24.augustu  Latvijā atbilstoši ISO 15189 standartam ir akreditētas 28 medicīnas</w:t>
            </w:r>
            <w:r w:rsidR="00980504">
              <w:t xml:space="preserve">, </w:t>
            </w:r>
            <w:r w:rsidR="00D520BD">
              <w:t>laboratorijas, kuras veic no cilvēka iegūta materiāla izmeklējumus.</w:t>
            </w:r>
          </w:p>
          <w:p w:rsidR="00504E99" w:rsidRDefault="00577909" w:rsidP="00504E99">
            <w:pPr>
              <w:ind w:firstLine="311"/>
              <w:jc w:val="both"/>
              <w:rPr>
                <w:rFonts w:eastAsia="Batang"/>
                <w:lang w:eastAsia="ko-KR"/>
              </w:rPr>
            </w:pPr>
            <w:r w:rsidRPr="00577909">
              <w:t>Ņ</w:t>
            </w:r>
            <w:r w:rsidR="00D74A99" w:rsidRPr="00577909">
              <w:t>emot vērā ierobežoto ārstniecības iestāžu finansējumu,</w:t>
            </w:r>
            <w:r w:rsidR="00FF3A1E" w:rsidRPr="00577909">
              <w:t xml:space="preserve"> jo akreditācijas process laboratorijām ir saistīts ar investīcijām</w:t>
            </w:r>
            <w:r w:rsidR="00645225" w:rsidRPr="00577909">
              <w:t xml:space="preserve"> un finanšu ieguldījumu</w:t>
            </w:r>
            <w:r w:rsidRPr="00577909">
              <w:t>,</w:t>
            </w:r>
            <w:r w:rsidR="00152F90">
              <w:t xml:space="preserve"> kuras ilgtermiņā atmaksājas,</w:t>
            </w:r>
            <w:r w:rsidRPr="00577909">
              <w:t xml:space="preserve"> </w:t>
            </w:r>
            <w:r w:rsidR="00DE1826" w:rsidRPr="00577909">
              <w:t xml:space="preserve">noteikumu projekts paredz svītrot </w:t>
            </w:r>
            <w:r w:rsidR="004972D1" w:rsidRPr="00577909">
              <w:t xml:space="preserve">noteikumu </w:t>
            </w:r>
            <w:r w:rsidR="00DE1826" w:rsidRPr="00577909">
              <w:t xml:space="preserve">185.punktu, kurš noteica </w:t>
            </w:r>
            <w:r w:rsidR="00DE1826" w:rsidRPr="00577909">
              <w:lastRenderedPageBreak/>
              <w:t xml:space="preserve">ārstniecības iestāžu laboratoriju akreditāciju </w:t>
            </w:r>
            <w:r w:rsidR="00CC1672" w:rsidRPr="00577909">
              <w:t xml:space="preserve">atbilstoši </w:t>
            </w:r>
            <w:r w:rsidR="00CC1672" w:rsidRPr="00577909">
              <w:rPr>
                <w:rFonts w:eastAsia="Batang"/>
                <w:lang w:eastAsia="ko-KR"/>
              </w:rPr>
              <w:t xml:space="preserve">ISO 15189 </w:t>
            </w:r>
            <w:r w:rsidR="00152F90" w:rsidRPr="00577909">
              <w:t xml:space="preserve">standartam </w:t>
            </w:r>
            <w:r w:rsidR="00DE1826" w:rsidRPr="00577909">
              <w:t xml:space="preserve">līdz 2016.gada </w:t>
            </w:r>
            <w:r w:rsidR="00CC1672" w:rsidRPr="00577909">
              <w:t>31.decembrim</w:t>
            </w:r>
            <w:r w:rsidR="00DE1826" w:rsidRPr="00577909">
              <w:t xml:space="preserve"> un </w:t>
            </w:r>
            <w:r w:rsidR="004972D1" w:rsidRPr="00577909">
              <w:t xml:space="preserve">svītrot </w:t>
            </w:r>
            <w:r w:rsidR="00DE1826" w:rsidRPr="00577909">
              <w:t>110.1.apakšpunktā prasību daudzprofilu slimnīcu laboratoriju akreditācij</w:t>
            </w:r>
            <w:r w:rsidR="004972D1" w:rsidRPr="00577909">
              <w:t>ai</w:t>
            </w:r>
            <w:r w:rsidR="00DE1826" w:rsidRPr="00577909">
              <w:t xml:space="preserve"> </w:t>
            </w:r>
            <w:r w:rsidR="00CC1672" w:rsidRPr="00577909">
              <w:t xml:space="preserve">atbilstoši standartam </w:t>
            </w:r>
            <w:r w:rsidR="00CC1672" w:rsidRPr="00577909">
              <w:rPr>
                <w:rFonts w:eastAsia="Batang"/>
                <w:lang w:eastAsia="ko-KR"/>
              </w:rPr>
              <w:t>ISO 15189.</w:t>
            </w:r>
          </w:p>
          <w:p w:rsidR="00BF764E" w:rsidRDefault="00BF764E" w:rsidP="00BF764E">
            <w:pPr>
              <w:ind w:firstLine="311"/>
              <w:jc w:val="both"/>
              <w:rPr>
                <w:rFonts w:eastAsia="Batang"/>
                <w:lang w:eastAsia="ko-KR"/>
              </w:rPr>
            </w:pPr>
          </w:p>
          <w:p w:rsidR="00BF764E" w:rsidRPr="00BF764E" w:rsidRDefault="00BF764E" w:rsidP="00BF764E">
            <w:pPr>
              <w:ind w:firstLine="311"/>
              <w:jc w:val="both"/>
              <w:rPr>
                <w:rFonts w:eastAsia="Batang"/>
                <w:lang w:eastAsia="ko-KR"/>
              </w:rPr>
            </w:pPr>
            <w:r w:rsidRPr="00BF764E">
              <w:rPr>
                <w:rFonts w:eastAsia="Batang"/>
                <w:lang w:eastAsia="ko-KR"/>
              </w:rPr>
              <w:t xml:space="preserve">Eiropas Padomes 2009.gada 9.jūnija ieteikums 2009/C151/01 par pacientu drošību, tostarp par veselības aprūpē iegūtu infekciju profilaksei un kontroli, rosina dalībvalstis ietvert pacientu drošību kā prioritāru jautājumu veselības politikā, piešķirt iedzīvotājiem un pacientiem pilnvaras un informēt viņus par riska, drošības pasākumiem, ko piemēro, lai mazinātu un novērstu kļūdas un kaitējumu, kā arī izveidot nenosodošas ziņošanas un mācīšanās sistēmas par nevēlamiem notikumiem, kas sniegtu informāciju par kļūdu, nevēlamo noteikumu un starpgadījumu izplatības pakāpi, veidiem, cēloņiem un risinājumiem, lai šādi gadījumi neatkārtotos. </w:t>
            </w:r>
            <w:r w:rsidR="0057335A">
              <w:rPr>
                <w:rFonts w:eastAsia="Batang"/>
                <w:lang w:eastAsia="ko-KR"/>
              </w:rPr>
              <w:t>Š</w:t>
            </w:r>
            <w:r w:rsidRPr="00BF764E">
              <w:rPr>
                <w:rFonts w:eastAsia="Batang"/>
                <w:lang w:eastAsia="ko-KR"/>
              </w:rPr>
              <w:t>āda</w:t>
            </w:r>
            <w:r w:rsidR="0057335A">
              <w:rPr>
                <w:rFonts w:eastAsia="Batang"/>
                <w:lang w:eastAsia="ko-KR"/>
              </w:rPr>
              <w:t>i</w:t>
            </w:r>
            <w:r w:rsidRPr="00BF764E">
              <w:rPr>
                <w:rFonts w:eastAsia="Batang"/>
                <w:lang w:eastAsia="ko-KR"/>
              </w:rPr>
              <w:t xml:space="preserve"> sistēma</w:t>
            </w:r>
            <w:r w:rsidR="0057335A">
              <w:rPr>
                <w:rFonts w:eastAsia="Batang"/>
                <w:lang w:eastAsia="ko-KR"/>
              </w:rPr>
              <w:t>i</w:t>
            </w:r>
            <w:r w:rsidRPr="00BF764E">
              <w:rPr>
                <w:rFonts w:eastAsia="Batang"/>
                <w:lang w:eastAsia="ko-KR"/>
              </w:rPr>
              <w:t xml:space="preserve"> </w:t>
            </w:r>
            <w:r w:rsidR="0057335A">
              <w:rPr>
                <w:rFonts w:eastAsia="Batang"/>
                <w:lang w:eastAsia="ko-KR"/>
              </w:rPr>
              <w:t>jā</w:t>
            </w:r>
            <w:r w:rsidRPr="00BF764E">
              <w:rPr>
                <w:rFonts w:eastAsia="Batang"/>
                <w:lang w:eastAsia="ko-KR"/>
              </w:rPr>
              <w:t>būt vērsta</w:t>
            </w:r>
            <w:r w:rsidR="0057335A">
              <w:rPr>
                <w:rFonts w:eastAsia="Batang"/>
                <w:lang w:eastAsia="ko-KR"/>
              </w:rPr>
              <w:t>i</w:t>
            </w:r>
            <w:r w:rsidRPr="00BF764E">
              <w:rPr>
                <w:rFonts w:eastAsia="Batang"/>
                <w:lang w:eastAsia="ko-KR"/>
              </w:rPr>
              <w:t xml:space="preserve"> uz cēloņu identificēšanu un novēršan</w:t>
            </w:r>
            <w:r w:rsidR="0057335A">
              <w:rPr>
                <w:rFonts w:eastAsia="Batang"/>
                <w:lang w:eastAsia="ko-KR"/>
              </w:rPr>
              <w:t>u</w:t>
            </w:r>
            <w:r w:rsidRPr="00BF764E">
              <w:rPr>
                <w:rFonts w:eastAsia="Batang"/>
                <w:lang w:eastAsia="ko-KR"/>
              </w:rPr>
              <w:t>,</w:t>
            </w:r>
            <w:r w:rsidR="0057335A">
              <w:rPr>
                <w:rFonts w:eastAsia="Batang"/>
                <w:lang w:eastAsia="ko-KR"/>
              </w:rPr>
              <w:t xml:space="preserve"> kā arī </w:t>
            </w:r>
            <w:r w:rsidRPr="00BF764E">
              <w:rPr>
                <w:rFonts w:eastAsia="Batang"/>
                <w:lang w:eastAsia="ko-KR"/>
              </w:rPr>
              <w:t xml:space="preserve"> t</w:t>
            </w:r>
            <w:r w:rsidR="0057335A">
              <w:rPr>
                <w:rFonts w:eastAsia="Batang"/>
                <w:lang w:eastAsia="ko-KR"/>
              </w:rPr>
              <w:t xml:space="preserve">ai </w:t>
            </w:r>
            <w:r w:rsidRPr="00BF764E">
              <w:rPr>
                <w:rFonts w:eastAsia="Batang"/>
                <w:lang w:eastAsia="ko-KR"/>
              </w:rPr>
              <w:t xml:space="preserve"> </w:t>
            </w:r>
            <w:r w:rsidR="0057335A">
              <w:rPr>
                <w:rFonts w:eastAsia="Batang"/>
                <w:lang w:eastAsia="ko-KR"/>
              </w:rPr>
              <w:t xml:space="preserve">vajadzētu </w:t>
            </w:r>
            <w:r w:rsidRPr="00BF764E">
              <w:rPr>
                <w:rFonts w:eastAsia="Batang"/>
                <w:lang w:eastAsia="ko-KR"/>
              </w:rPr>
              <w:t>būt ārstniecības personu nesodoša</w:t>
            </w:r>
            <w:r w:rsidR="0057335A">
              <w:rPr>
                <w:rFonts w:eastAsia="Batang"/>
                <w:lang w:eastAsia="ko-KR"/>
              </w:rPr>
              <w:t>i</w:t>
            </w:r>
            <w:r w:rsidRPr="00BF764E">
              <w:rPr>
                <w:rFonts w:eastAsia="Batang"/>
                <w:lang w:eastAsia="ko-KR"/>
              </w:rPr>
              <w:t>.</w:t>
            </w:r>
          </w:p>
          <w:p w:rsidR="00BF764E" w:rsidRPr="00BF764E" w:rsidRDefault="00BF764E" w:rsidP="00BF764E">
            <w:pPr>
              <w:ind w:firstLine="311"/>
              <w:jc w:val="both"/>
              <w:rPr>
                <w:rFonts w:eastAsia="Batang"/>
                <w:lang w:eastAsia="ko-KR"/>
              </w:rPr>
            </w:pPr>
            <w:r>
              <w:rPr>
                <w:rFonts w:eastAsia="Batang"/>
                <w:lang w:eastAsia="ko-KR"/>
              </w:rPr>
              <w:t xml:space="preserve">Noteikumu </w:t>
            </w:r>
            <w:r w:rsidRPr="00BF764E">
              <w:rPr>
                <w:rFonts w:eastAsia="Batang"/>
                <w:lang w:eastAsia="ko-KR"/>
              </w:rPr>
              <w:t>17.punkt</w:t>
            </w:r>
            <w:r>
              <w:rPr>
                <w:rFonts w:eastAsia="Batang"/>
                <w:lang w:eastAsia="ko-KR"/>
              </w:rPr>
              <w:t>ā noteikts</w:t>
            </w:r>
            <w:r w:rsidRPr="00BF764E">
              <w:rPr>
                <w:rFonts w:eastAsia="Batang"/>
                <w:lang w:eastAsia="ko-KR"/>
              </w:rPr>
              <w:t xml:space="preserve">, ka ārstniecības iestādē ir izstrādāta, vadītāja apstiprināta un ieviesta kvalitātes vadības sistēma, kas ietver vismaz regulāru sniegto ārstniecības pakalpojumu kvalitātes kontroli, pacientu sūdzību un ieteikumu izskatīšanu, ārstniecības rezultātu analīzi, kā arī ārstniecības pakalpojumu kvalitātes pilnveidošanu. </w:t>
            </w:r>
            <w:r>
              <w:rPr>
                <w:rFonts w:eastAsia="Batang"/>
                <w:lang w:eastAsia="ko-KR"/>
              </w:rPr>
              <w:t>Tomēr j</w:t>
            </w:r>
            <w:r w:rsidRPr="00BF764E">
              <w:rPr>
                <w:rFonts w:eastAsia="Batang"/>
                <w:lang w:eastAsia="ko-KR"/>
              </w:rPr>
              <w:t xml:space="preserve">āatzīmē, ka slimnīcas ir sarežģītas struktūras un diemžēl ne vienmēr </w:t>
            </w:r>
            <w:r>
              <w:rPr>
                <w:rFonts w:eastAsia="Batang"/>
                <w:lang w:eastAsia="ko-KR"/>
              </w:rPr>
              <w:t xml:space="preserve">tiek nodrošināta </w:t>
            </w:r>
            <w:r w:rsidRPr="00BF764E">
              <w:rPr>
                <w:rFonts w:eastAsia="Batang"/>
                <w:lang w:eastAsia="ko-KR"/>
              </w:rPr>
              <w:t xml:space="preserve">100% droša veselības aprūpe, par ko liecina pētījumu rezultāti, kas norāda, ka katrs desmitais no pacientiem veselības aprūpes laikā saskaras ar nevēlamiem notikumiem. Tāpat vairāk nekā 50% </w:t>
            </w:r>
            <w:proofErr w:type="spellStart"/>
            <w:r w:rsidRPr="00BF764E">
              <w:rPr>
                <w:rFonts w:eastAsia="Batang"/>
                <w:lang w:eastAsia="ko-KR"/>
              </w:rPr>
              <w:t>Eirobarometra</w:t>
            </w:r>
            <w:proofErr w:type="spellEnd"/>
            <w:r w:rsidRPr="00BF764E">
              <w:rPr>
                <w:rFonts w:eastAsia="Batang"/>
                <w:lang w:eastAsia="ko-KR"/>
              </w:rPr>
              <w:t xml:space="preserve"> aptaujas (publicēta 2014.gada jūnijā) respondentu uzskata, ka pacientiem var tikt nodarīts kaitējums gan stacionārajā, gan </w:t>
            </w:r>
            <w:r>
              <w:rPr>
                <w:rFonts w:eastAsia="Batang"/>
                <w:lang w:eastAsia="ko-KR"/>
              </w:rPr>
              <w:t xml:space="preserve">ambulatorajā veselības </w:t>
            </w:r>
            <w:r w:rsidRPr="00BF764E">
              <w:rPr>
                <w:rFonts w:eastAsia="Batang"/>
                <w:lang w:eastAsia="ko-KR"/>
              </w:rPr>
              <w:t xml:space="preserve">aprūpē. </w:t>
            </w:r>
          </w:p>
          <w:p w:rsidR="00BF764E" w:rsidRPr="00577909" w:rsidRDefault="00D41927" w:rsidP="00504E99">
            <w:pPr>
              <w:ind w:firstLine="311"/>
              <w:jc w:val="both"/>
              <w:rPr>
                <w:rFonts w:eastAsia="Batang"/>
                <w:lang w:eastAsia="ko-KR"/>
              </w:rPr>
            </w:pPr>
            <w:r w:rsidRPr="00D41927">
              <w:rPr>
                <w:rFonts w:eastAsia="Batang"/>
                <w:lang w:eastAsia="ko-KR"/>
              </w:rPr>
              <w:t>Lai pilnveidotu likumdošanu un nodrošinātu pacientu centrētu, kvalitatīvu veselības aprūpi, Veselības ministrija ir izstrādājusi grozījumus Noteikumos Nr.60, papildinot tos ar 17</w:t>
            </w:r>
            <w:r>
              <w:rPr>
                <w:rFonts w:eastAsia="Batang"/>
                <w:lang w:eastAsia="ko-KR"/>
              </w:rPr>
              <w:t>.</w:t>
            </w:r>
            <w:r w:rsidRPr="00D41927">
              <w:rPr>
                <w:rFonts w:eastAsia="Batang"/>
                <w:vertAlign w:val="superscript"/>
                <w:lang w:eastAsia="ko-KR"/>
              </w:rPr>
              <w:t>1</w:t>
            </w:r>
            <w:r w:rsidRPr="00D41927">
              <w:rPr>
                <w:rFonts w:eastAsia="Batang"/>
                <w:lang w:eastAsia="ko-KR"/>
              </w:rPr>
              <w:t xml:space="preserve">punktu, kurā noteikti stacionāro ārstniecības iestāžu un dienas stacionāru, kuros tiek veiktas ķirurģiskās procedūras un sniegti anestēzijas pakalpojumi, kvalitātes vadības sistēmā papildus iekļaujamie pasākumi, tai skaitā pasākumi attiecībā uz pacientu drošības prasību noteikšanu, tai skaitā paredzot, ka ārstniecības iestādē tiek nozīmēta atbildīgā persona par pacientu aprūpes kvalitāti un pacientu drošības jautājumiem, kā arī izveidota nenosodoša ziņošanas un mācīšanās sistēma. </w:t>
            </w:r>
            <w:r w:rsidR="00BF764E" w:rsidRPr="00BF764E">
              <w:rPr>
                <w:rFonts w:eastAsia="Batang"/>
                <w:lang w:eastAsia="ko-KR"/>
              </w:rPr>
              <w:t xml:space="preserve">Tāpat noteikumu projektā ir iekļautas prasības attiecībā uz personāla kompetences uzraudzību, pacientu korektas identifikācijas nodrošināšanu, prasībām informācijas nodošanai pacientu pārvedot uz citu ārstniecības iestādi, kā arī </w:t>
            </w:r>
            <w:r w:rsidR="0017311A">
              <w:rPr>
                <w:rFonts w:eastAsia="Batang"/>
                <w:lang w:eastAsia="ko-KR"/>
              </w:rPr>
              <w:t xml:space="preserve">kārtība </w:t>
            </w:r>
            <w:r w:rsidR="00BF764E" w:rsidRPr="00BF764E">
              <w:rPr>
                <w:rFonts w:eastAsia="Batang"/>
                <w:lang w:eastAsia="ko-KR"/>
              </w:rPr>
              <w:t>veicot pacientiem augsta riska procedūras.</w:t>
            </w:r>
            <w:r>
              <w:rPr>
                <w:rFonts w:eastAsia="Batang"/>
                <w:lang w:eastAsia="ko-KR"/>
              </w:rPr>
              <w:t xml:space="preserve"> </w:t>
            </w:r>
            <w:r w:rsidRPr="00D41927">
              <w:rPr>
                <w:rFonts w:eastAsia="Batang"/>
                <w:lang w:eastAsia="ko-KR"/>
              </w:rPr>
              <w:t>Lai slimnīcas varētu pilnveidot esošo sistēmu atbilstoši Noteikumu projektā iekļautajām prasībām, paredzēts, ka minētā prasība stājas spēkā 2017.gada 1.jūlijā.</w:t>
            </w:r>
          </w:p>
          <w:p w:rsidR="00721BE4" w:rsidRPr="00857BA9" w:rsidRDefault="004972D1" w:rsidP="007A2034">
            <w:pPr>
              <w:ind w:firstLine="311"/>
              <w:jc w:val="both"/>
              <w:rPr>
                <w:lang w:eastAsia="en-US"/>
              </w:rPr>
            </w:pPr>
            <w:r>
              <w:lastRenderedPageBreak/>
              <w:t>Vienlaikus noteikumi tiek papildināti ar 5.6.13.apakšnodaļu ”Prasības Insulta vienībai”. P</w:t>
            </w:r>
            <w:r w:rsidR="004D1517">
              <w:t>amatojoties uz Latvijas Neirologu biedrības ierosinājumu</w:t>
            </w:r>
            <w:r w:rsidR="00D74A99">
              <w:t xml:space="preserve"> un, lai nodrošinātu insulta pacientiem kvalitatīvu un uz vienotiem principiem balstītu pakalpojumu pieejamību</w:t>
            </w:r>
            <w:r w:rsidR="004D1517">
              <w:t xml:space="preserve">, noteikumu projektā iekļauta jauna apakšnodaļa ar prasībām Insulta vienībām. Minētā norma </w:t>
            </w:r>
            <w:r w:rsidR="00B2207B">
              <w:t xml:space="preserve">nodrošinās insulta pacientu ārstēšanu insulta vienībās ar vienotām obligātām prasībām </w:t>
            </w:r>
            <w:r w:rsidR="009A3A98">
              <w:t>šāda</w:t>
            </w:r>
            <w:r w:rsidR="00CC1672">
              <w:t>s</w:t>
            </w:r>
            <w:r w:rsidR="009A3A98">
              <w:t xml:space="preserve"> vienība</w:t>
            </w:r>
            <w:r w:rsidR="00CC1672">
              <w:t>s aprīkojumam, personālam un izmeklējumiem, kuri tiek veikti pacientam atrodoties Insulta vienībā.</w:t>
            </w:r>
          </w:p>
        </w:tc>
      </w:tr>
      <w:tr w:rsidR="00027E0A" w:rsidRPr="00857BA9" w:rsidTr="00422997">
        <w:tc>
          <w:tcPr>
            <w:tcW w:w="468" w:type="dxa"/>
          </w:tcPr>
          <w:p w:rsidR="00027E0A" w:rsidRPr="00857BA9" w:rsidRDefault="00027E0A" w:rsidP="00F44071">
            <w:pPr>
              <w:rPr>
                <w:lang w:eastAsia="en-US"/>
              </w:rPr>
            </w:pPr>
            <w:r w:rsidRPr="00857BA9">
              <w:rPr>
                <w:lang w:eastAsia="en-US"/>
              </w:rPr>
              <w:lastRenderedPageBreak/>
              <w:t>3.</w:t>
            </w:r>
          </w:p>
        </w:tc>
        <w:tc>
          <w:tcPr>
            <w:tcW w:w="2050" w:type="dxa"/>
          </w:tcPr>
          <w:p w:rsidR="00027E0A" w:rsidRPr="00857BA9" w:rsidRDefault="00A332F5" w:rsidP="00F44071">
            <w:pPr>
              <w:rPr>
                <w:lang w:eastAsia="en-US"/>
              </w:rPr>
            </w:pPr>
            <w:r w:rsidRPr="00857BA9">
              <w:rPr>
                <w:lang w:eastAsia="en-US"/>
              </w:rPr>
              <w:t>Projekta izstrādē iesaistītās institūcijas</w:t>
            </w:r>
          </w:p>
        </w:tc>
        <w:tc>
          <w:tcPr>
            <w:tcW w:w="6662" w:type="dxa"/>
          </w:tcPr>
          <w:p w:rsidR="00027E0A" w:rsidRPr="00857BA9" w:rsidRDefault="00547FD6" w:rsidP="00732A7F">
            <w:pPr>
              <w:rPr>
                <w:lang w:eastAsia="en-US"/>
              </w:rPr>
            </w:pPr>
            <w:r w:rsidRPr="00857BA9">
              <w:rPr>
                <w:lang w:eastAsia="en-US"/>
              </w:rPr>
              <w:t>Projekts šo jomu neskar</w:t>
            </w:r>
          </w:p>
        </w:tc>
      </w:tr>
      <w:tr w:rsidR="00027E0A" w:rsidRPr="00857BA9" w:rsidTr="00422997">
        <w:tc>
          <w:tcPr>
            <w:tcW w:w="468" w:type="dxa"/>
          </w:tcPr>
          <w:p w:rsidR="00027E0A" w:rsidRPr="00857BA9" w:rsidRDefault="00A332F5" w:rsidP="00F44071">
            <w:pPr>
              <w:rPr>
                <w:lang w:eastAsia="en-US"/>
              </w:rPr>
            </w:pPr>
            <w:r w:rsidRPr="00857BA9">
              <w:rPr>
                <w:lang w:eastAsia="en-US"/>
              </w:rPr>
              <w:t>4</w:t>
            </w:r>
            <w:r w:rsidR="00027E0A" w:rsidRPr="00857BA9">
              <w:rPr>
                <w:lang w:eastAsia="en-US"/>
              </w:rPr>
              <w:t>.</w:t>
            </w:r>
          </w:p>
        </w:tc>
        <w:tc>
          <w:tcPr>
            <w:tcW w:w="2050" w:type="dxa"/>
          </w:tcPr>
          <w:p w:rsidR="00027E0A" w:rsidRPr="00857BA9" w:rsidRDefault="00027E0A" w:rsidP="00F44071">
            <w:pPr>
              <w:rPr>
                <w:lang w:eastAsia="en-US"/>
              </w:rPr>
            </w:pPr>
            <w:r w:rsidRPr="00857BA9">
              <w:rPr>
                <w:lang w:eastAsia="en-US"/>
              </w:rPr>
              <w:t>Cita informācija</w:t>
            </w:r>
          </w:p>
        </w:tc>
        <w:tc>
          <w:tcPr>
            <w:tcW w:w="6662" w:type="dxa"/>
          </w:tcPr>
          <w:p w:rsidR="00027E0A" w:rsidRPr="00857BA9" w:rsidRDefault="00027E0A" w:rsidP="00F44071">
            <w:pPr>
              <w:rPr>
                <w:lang w:eastAsia="en-US"/>
              </w:rPr>
            </w:pPr>
            <w:r w:rsidRPr="00857BA9">
              <w:rPr>
                <w:lang w:eastAsia="en-US"/>
              </w:rPr>
              <w:t>Nav</w:t>
            </w:r>
          </w:p>
        </w:tc>
      </w:tr>
    </w:tbl>
    <w:p w:rsidR="000A0AF4" w:rsidRPr="00857BA9" w:rsidRDefault="000A0AF4" w:rsidP="00F44071">
      <w:pPr>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050"/>
        <w:gridCol w:w="6662"/>
      </w:tblGrid>
      <w:tr w:rsidR="00AD78C9" w:rsidRPr="00857BA9" w:rsidTr="00F44071">
        <w:tc>
          <w:tcPr>
            <w:tcW w:w="9180" w:type="dxa"/>
            <w:gridSpan w:val="3"/>
          </w:tcPr>
          <w:p w:rsidR="00AD78C9" w:rsidRPr="00857BA9" w:rsidRDefault="00AD78C9" w:rsidP="00F44071">
            <w:pPr>
              <w:jc w:val="center"/>
            </w:pPr>
            <w:r w:rsidRPr="00857BA9">
              <w:rPr>
                <w:b/>
                <w:bCs/>
                <w:lang w:val="fi-FI" w:eastAsia="en-US"/>
              </w:rPr>
              <w:t>II. Tiesību akta projekta ietekme uz sabiedrību</w:t>
            </w:r>
            <w:r w:rsidR="00DE3257" w:rsidRPr="00857BA9">
              <w:rPr>
                <w:b/>
                <w:bCs/>
                <w:lang w:val="fi-FI" w:eastAsia="en-US"/>
              </w:rPr>
              <w:t>, tauts</w:t>
            </w:r>
            <w:r w:rsidR="00A332F5" w:rsidRPr="00857BA9">
              <w:rPr>
                <w:b/>
                <w:bCs/>
                <w:lang w:val="fi-FI" w:eastAsia="en-US"/>
              </w:rPr>
              <w:t>a</w:t>
            </w:r>
            <w:r w:rsidR="00DE3257" w:rsidRPr="00857BA9">
              <w:rPr>
                <w:b/>
                <w:bCs/>
                <w:lang w:val="fi-FI" w:eastAsia="en-US"/>
              </w:rPr>
              <w:t>i</w:t>
            </w:r>
            <w:r w:rsidR="00A332F5" w:rsidRPr="00857BA9">
              <w:rPr>
                <w:b/>
                <w:bCs/>
                <w:lang w:val="fi-FI" w:eastAsia="en-US"/>
              </w:rPr>
              <w:t xml:space="preserve">mniecības </w:t>
            </w:r>
            <w:r w:rsidR="00DE3257" w:rsidRPr="00857BA9">
              <w:rPr>
                <w:b/>
                <w:bCs/>
                <w:lang w:val="fi-FI" w:eastAsia="en-US"/>
              </w:rPr>
              <w:t xml:space="preserve">attīstību </w:t>
            </w:r>
            <w:r w:rsidR="00A332F5" w:rsidRPr="00857BA9">
              <w:rPr>
                <w:b/>
                <w:bCs/>
                <w:lang w:val="fi-FI" w:eastAsia="en-US"/>
              </w:rPr>
              <w:t xml:space="preserve">un </w:t>
            </w:r>
            <w:r w:rsidR="00DE3257" w:rsidRPr="00857BA9">
              <w:rPr>
                <w:b/>
                <w:bCs/>
                <w:lang w:val="fi-FI" w:eastAsia="en-US"/>
              </w:rPr>
              <w:t>administratīvo slogu</w:t>
            </w:r>
          </w:p>
        </w:tc>
      </w:tr>
      <w:tr w:rsidR="00AD78C9" w:rsidRPr="00857BA9" w:rsidTr="00422997">
        <w:tc>
          <w:tcPr>
            <w:tcW w:w="468" w:type="dxa"/>
          </w:tcPr>
          <w:p w:rsidR="00AD78C9" w:rsidRPr="00857BA9" w:rsidRDefault="00AD78C9" w:rsidP="00F44071">
            <w:pPr>
              <w:rPr>
                <w:lang w:eastAsia="en-US"/>
              </w:rPr>
            </w:pPr>
            <w:r w:rsidRPr="00857BA9">
              <w:rPr>
                <w:lang w:eastAsia="en-US"/>
              </w:rPr>
              <w:t>1.</w:t>
            </w:r>
          </w:p>
        </w:tc>
        <w:tc>
          <w:tcPr>
            <w:tcW w:w="2050" w:type="dxa"/>
          </w:tcPr>
          <w:p w:rsidR="00AD78C9" w:rsidRPr="00857BA9" w:rsidRDefault="00AD78C9" w:rsidP="00F44071">
            <w:pPr>
              <w:ind w:left="-42" w:right="-108"/>
              <w:rPr>
                <w:lang w:eastAsia="en-US"/>
              </w:rPr>
            </w:pPr>
            <w:r w:rsidRPr="00857BA9">
              <w:rPr>
                <w:lang w:eastAsia="en-US"/>
              </w:rPr>
              <w:t>Sabiedrības mērķgrupa</w:t>
            </w:r>
            <w:r w:rsidR="00A332F5" w:rsidRPr="00857BA9">
              <w:rPr>
                <w:lang w:eastAsia="en-US"/>
              </w:rPr>
              <w:t>s, kuras tiesiskais regulējums ietekmē vai varētu ietekmēt</w:t>
            </w:r>
          </w:p>
        </w:tc>
        <w:tc>
          <w:tcPr>
            <w:tcW w:w="6662" w:type="dxa"/>
          </w:tcPr>
          <w:p w:rsidR="0022460C" w:rsidRPr="009E6A06" w:rsidRDefault="00A332F5" w:rsidP="007A1685">
            <w:pPr>
              <w:jc w:val="both"/>
              <w:rPr>
                <w:color w:val="000000" w:themeColor="text1"/>
                <w:lang w:eastAsia="en-US"/>
              </w:rPr>
            </w:pPr>
            <w:r w:rsidRPr="009E6A06">
              <w:rPr>
                <w:color w:val="000000" w:themeColor="text1"/>
              </w:rPr>
              <w:t>Ārstniecības iestādes</w:t>
            </w:r>
            <w:r w:rsidR="00242B0F" w:rsidRPr="009E6A06">
              <w:rPr>
                <w:color w:val="000000" w:themeColor="text1"/>
              </w:rPr>
              <w:t>, kuras sniedz</w:t>
            </w:r>
            <w:r w:rsidR="00C303B6">
              <w:rPr>
                <w:color w:val="000000" w:themeColor="text1"/>
              </w:rPr>
              <w:t xml:space="preserve"> laboratoriskos pakalpojumus,</w:t>
            </w:r>
            <w:r w:rsidR="00242B0F" w:rsidRPr="009E6A06">
              <w:rPr>
                <w:color w:val="000000" w:themeColor="text1"/>
              </w:rPr>
              <w:t xml:space="preserve"> </w:t>
            </w:r>
            <w:r w:rsidR="009E6A06" w:rsidRPr="009E6A06">
              <w:rPr>
                <w:color w:val="000000" w:themeColor="text1"/>
              </w:rPr>
              <w:t xml:space="preserve">ārstniecības iestādes, kurās </w:t>
            </w:r>
            <w:r w:rsidR="009A3A98">
              <w:rPr>
                <w:color w:val="000000" w:themeColor="text1"/>
              </w:rPr>
              <w:t>tiks</w:t>
            </w:r>
            <w:r w:rsidR="009E6A06" w:rsidRPr="009E6A06">
              <w:rPr>
                <w:color w:val="000000" w:themeColor="text1"/>
              </w:rPr>
              <w:t xml:space="preserve"> izveidotas Insulta vienības</w:t>
            </w:r>
            <w:r w:rsidR="009E6A06">
              <w:rPr>
                <w:color w:val="000000" w:themeColor="text1"/>
              </w:rPr>
              <w:t>,</w:t>
            </w:r>
            <w:r w:rsidR="0064671A" w:rsidRPr="009E6A06">
              <w:rPr>
                <w:color w:val="000000" w:themeColor="text1"/>
              </w:rPr>
              <w:t xml:space="preserve"> </w:t>
            </w:r>
            <w:r w:rsidR="00242B0F" w:rsidRPr="009E6A06">
              <w:rPr>
                <w:color w:val="000000" w:themeColor="text1"/>
              </w:rPr>
              <w:t>Veselības inspekcija</w:t>
            </w:r>
            <w:r w:rsidR="007526FA" w:rsidRPr="009E6A06">
              <w:rPr>
                <w:color w:val="000000" w:themeColor="text1"/>
              </w:rPr>
              <w:t>,</w:t>
            </w:r>
            <w:r w:rsidR="00D95545" w:rsidRPr="009E6A06">
              <w:rPr>
                <w:color w:val="000000" w:themeColor="text1"/>
              </w:rPr>
              <w:t xml:space="preserve"> Nacionālais veselības dienests</w:t>
            </w:r>
            <w:r w:rsidR="00B05232" w:rsidRPr="009E6A06">
              <w:rPr>
                <w:color w:val="000000" w:themeColor="text1"/>
              </w:rPr>
              <w:t xml:space="preserve">, </w:t>
            </w:r>
            <w:r w:rsidR="0064671A" w:rsidRPr="009E6A06">
              <w:rPr>
                <w:color w:val="000000" w:themeColor="text1"/>
              </w:rPr>
              <w:t>NMP dienests</w:t>
            </w:r>
            <w:r w:rsidR="009E6A06">
              <w:rPr>
                <w:color w:val="000000" w:themeColor="text1"/>
              </w:rPr>
              <w:t>.</w:t>
            </w:r>
          </w:p>
        </w:tc>
      </w:tr>
      <w:tr w:rsidR="00A332F5" w:rsidRPr="00857BA9" w:rsidTr="00422997">
        <w:tc>
          <w:tcPr>
            <w:tcW w:w="468" w:type="dxa"/>
          </w:tcPr>
          <w:p w:rsidR="00A332F5" w:rsidRPr="00857BA9" w:rsidRDefault="00A332F5" w:rsidP="00F44071">
            <w:pPr>
              <w:rPr>
                <w:lang w:eastAsia="en-US"/>
              </w:rPr>
            </w:pPr>
            <w:r w:rsidRPr="00857BA9">
              <w:rPr>
                <w:lang w:eastAsia="en-US"/>
              </w:rPr>
              <w:t>2.</w:t>
            </w:r>
          </w:p>
        </w:tc>
        <w:tc>
          <w:tcPr>
            <w:tcW w:w="2050" w:type="dxa"/>
          </w:tcPr>
          <w:p w:rsidR="00A332F5" w:rsidRPr="00857BA9" w:rsidRDefault="00A332F5" w:rsidP="00F44071">
            <w:pPr>
              <w:ind w:left="-42" w:right="-108"/>
            </w:pPr>
            <w:r w:rsidRPr="00857BA9">
              <w:t>Tiesiskā regulējuma ietekme uz tautsaimniecību un administratīvo slogu</w:t>
            </w:r>
          </w:p>
        </w:tc>
        <w:tc>
          <w:tcPr>
            <w:tcW w:w="6662" w:type="dxa"/>
          </w:tcPr>
          <w:p w:rsidR="00760006" w:rsidRPr="00EF3FA3" w:rsidRDefault="009E6A06" w:rsidP="00732A7F">
            <w:pPr>
              <w:ind w:firstLine="34"/>
              <w:jc w:val="both"/>
              <w:rPr>
                <w:color w:val="000000" w:themeColor="text1"/>
                <w:lang w:eastAsia="en-US"/>
              </w:rPr>
            </w:pPr>
            <w:r w:rsidRPr="00857BA9">
              <w:rPr>
                <w:lang w:eastAsia="en-US"/>
              </w:rPr>
              <w:t>Projekts šo jomu neskar</w:t>
            </w:r>
          </w:p>
        </w:tc>
      </w:tr>
      <w:tr w:rsidR="00A332F5" w:rsidRPr="00857BA9" w:rsidTr="00422997">
        <w:tc>
          <w:tcPr>
            <w:tcW w:w="468" w:type="dxa"/>
          </w:tcPr>
          <w:p w:rsidR="00A332F5" w:rsidRPr="00857BA9" w:rsidRDefault="00A332F5" w:rsidP="00F44071">
            <w:pPr>
              <w:rPr>
                <w:lang w:eastAsia="en-US"/>
              </w:rPr>
            </w:pPr>
            <w:r w:rsidRPr="00857BA9">
              <w:rPr>
                <w:lang w:eastAsia="en-US"/>
              </w:rPr>
              <w:t>3.</w:t>
            </w:r>
          </w:p>
        </w:tc>
        <w:tc>
          <w:tcPr>
            <w:tcW w:w="2050" w:type="dxa"/>
          </w:tcPr>
          <w:p w:rsidR="00A332F5" w:rsidRPr="00857BA9" w:rsidRDefault="00A332F5" w:rsidP="00F44071">
            <w:pPr>
              <w:ind w:left="-42" w:right="-108"/>
            </w:pPr>
            <w:r w:rsidRPr="00857BA9">
              <w:t>Administratīvo izmaksu monetārs novērtējums</w:t>
            </w:r>
          </w:p>
        </w:tc>
        <w:tc>
          <w:tcPr>
            <w:tcW w:w="6662" w:type="dxa"/>
          </w:tcPr>
          <w:p w:rsidR="00A332F5" w:rsidRPr="009E6A06" w:rsidRDefault="009E6A06" w:rsidP="0017311A">
            <w:pPr>
              <w:jc w:val="both"/>
              <w:rPr>
                <w:highlight w:val="yellow"/>
                <w:lang w:eastAsia="en-US"/>
              </w:rPr>
            </w:pPr>
            <w:r w:rsidRPr="009E6A06">
              <w:rPr>
                <w:lang w:eastAsia="en-US"/>
              </w:rPr>
              <w:t>Noteikumu projektā iekļautās normas veselības aprūpes pakalpojumu sniedzēji nodrošinās savu budžetu ietvaros, jo ārstniecības iestāde nedrīkst sniegt iedzīvotājiem veselības aprūpes pakalpojumus, ja nenodrošina Noteikumos noteiktās obligātās prasības ārstniecības iestādēm un to struktūrvienībām, kuru ievērošana nodrošina iedzīvotājiem pieejamu un kvalitatīvu veselības aprūpes pakalpojumu saņemšanu</w:t>
            </w:r>
            <w:r w:rsidR="0017311A">
              <w:rPr>
                <w:lang w:eastAsia="en-US"/>
              </w:rPr>
              <w:t xml:space="preserve">. Jāatzīmē, ka jau šobrīd ārstniecības iestādes noteikumu projektā iekļautās normas attiecībā uz prasībām insulta vienībai un </w:t>
            </w:r>
            <w:r w:rsidR="0017311A" w:rsidRPr="0017311A">
              <w:rPr>
                <w:lang w:eastAsia="en-US"/>
              </w:rPr>
              <w:t>pakalpojumu kvalitātes vadīb</w:t>
            </w:r>
            <w:r w:rsidR="0017311A">
              <w:rPr>
                <w:lang w:eastAsia="en-US"/>
              </w:rPr>
              <w:t>ai</w:t>
            </w:r>
            <w:r w:rsidR="0017311A" w:rsidRPr="0017311A">
              <w:rPr>
                <w:lang w:eastAsia="en-US"/>
              </w:rPr>
              <w:t xml:space="preserve"> ārstniecības iestādē</w:t>
            </w:r>
            <w:r w:rsidR="0017311A">
              <w:rPr>
                <w:lang w:eastAsia="en-US"/>
              </w:rPr>
              <w:t xml:space="preserve"> jau nodrošina, bet noteikumu projekts nosaka obligātu šo normu ievērošanu un nodrošināšanu. </w:t>
            </w:r>
          </w:p>
        </w:tc>
      </w:tr>
      <w:tr w:rsidR="00A332F5" w:rsidRPr="00857BA9" w:rsidTr="00422997">
        <w:tc>
          <w:tcPr>
            <w:tcW w:w="468" w:type="dxa"/>
          </w:tcPr>
          <w:p w:rsidR="00A332F5" w:rsidRPr="00857BA9" w:rsidRDefault="00A332F5" w:rsidP="00F44071">
            <w:pPr>
              <w:rPr>
                <w:lang w:eastAsia="en-US"/>
              </w:rPr>
            </w:pPr>
            <w:r w:rsidRPr="00857BA9">
              <w:rPr>
                <w:lang w:eastAsia="en-US"/>
              </w:rPr>
              <w:t>4.</w:t>
            </w:r>
          </w:p>
        </w:tc>
        <w:tc>
          <w:tcPr>
            <w:tcW w:w="2050" w:type="dxa"/>
          </w:tcPr>
          <w:p w:rsidR="00A332F5" w:rsidRPr="00857BA9" w:rsidRDefault="00A332F5" w:rsidP="00F44071">
            <w:pPr>
              <w:ind w:left="-42" w:right="-108"/>
            </w:pPr>
            <w:r w:rsidRPr="00857BA9">
              <w:t>Cita informācija</w:t>
            </w:r>
          </w:p>
        </w:tc>
        <w:tc>
          <w:tcPr>
            <w:tcW w:w="6662" w:type="dxa"/>
          </w:tcPr>
          <w:p w:rsidR="00A332F5" w:rsidRPr="009E6A06" w:rsidRDefault="009E6A06" w:rsidP="009E6A06">
            <w:pPr>
              <w:ind w:firstLine="34"/>
              <w:jc w:val="both"/>
              <w:rPr>
                <w:lang w:eastAsia="en-US"/>
              </w:rPr>
            </w:pPr>
            <w:r w:rsidRPr="009E6A06">
              <w:rPr>
                <w:lang w:eastAsia="en-US"/>
              </w:rPr>
              <w:t>Nav</w:t>
            </w:r>
          </w:p>
          <w:p w:rsidR="008151F2" w:rsidRPr="00857BA9" w:rsidRDefault="008151F2" w:rsidP="009E6A06">
            <w:pPr>
              <w:ind w:firstLine="311"/>
              <w:jc w:val="both"/>
              <w:rPr>
                <w:highlight w:val="yellow"/>
                <w:lang w:eastAsia="en-US"/>
              </w:rPr>
            </w:pPr>
          </w:p>
        </w:tc>
      </w:tr>
    </w:tbl>
    <w:p w:rsidR="00242B0F" w:rsidRPr="00857BA9" w:rsidRDefault="00A859D0" w:rsidP="00F44071">
      <w:pPr>
        <w:rPr>
          <w:sz w:val="28"/>
          <w:szCs w:val="28"/>
          <w:lang w:val="de-DE" w:eastAsia="en-US"/>
        </w:rPr>
      </w:pPr>
      <w:r w:rsidRPr="00857BA9">
        <w:rPr>
          <w:sz w:val="28"/>
          <w:szCs w:val="28"/>
          <w:lang w:val="de-DE" w:eastAsia="en-US"/>
        </w:rPr>
        <w:t>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050"/>
        <w:gridCol w:w="6662"/>
      </w:tblGrid>
      <w:tr w:rsidR="00242B0F" w:rsidRPr="00857BA9" w:rsidTr="00F44071">
        <w:tc>
          <w:tcPr>
            <w:tcW w:w="9180" w:type="dxa"/>
            <w:gridSpan w:val="3"/>
          </w:tcPr>
          <w:p w:rsidR="00242B0F" w:rsidRPr="00857BA9" w:rsidRDefault="00242B0F" w:rsidP="00F44071">
            <w:pPr>
              <w:jc w:val="center"/>
              <w:rPr>
                <w:lang w:eastAsia="en-US"/>
              </w:rPr>
            </w:pPr>
            <w:r w:rsidRPr="00857BA9">
              <w:rPr>
                <w:b/>
                <w:bCs/>
                <w:lang w:eastAsia="en-US"/>
              </w:rPr>
              <w:t>VI. Sabiedrības līdzdalība un komunikācijas aktivitātes</w:t>
            </w:r>
          </w:p>
        </w:tc>
      </w:tr>
      <w:tr w:rsidR="00242B0F" w:rsidRPr="00857BA9" w:rsidTr="00422997">
        <w:tc>
          <w:tcPr>
            <w:tcW w:w="468" w:type="dxa"/>
          </w:tcPr>
          <w:p w:rsidR="00242B0F" w:rsidRPr="00857BA9" w:rsidRDefault="00242B0F" w:rsidP="00F44071">
            <w:pPr>
              <w:rPr>
                <w:lang w:eastAsia="en-US"/>
              </w:rPr>
            </w:pPr>
            <w:r w:rsidRPr="00857BA9">
              <w:rPr>
                <w:lang w:eastAsia="en-US"/>
              </w:rPr>
              <w:t>1.</w:t>
            </w:r>
          </w:p>
        </w:tc>
        <w:tc>
          <w:tcPr>
            <w:tcW w:w="2050" w:type="dxa"/>
          </w:tcPr>
          <w:p w:rsidR="00242B0F" w:rsidRPr="00857BA9" w:rsidRDefault="00922B58" w:rsidP="00F44071">
            <w:pPr>
              <w:rPr>
                <w:lang w:eastAsia="en-US"/>
              </w:rPr>
            </w:pPr>
            <w:r w:rsidRPr="00857BA9">
              <w:rPr>
                <w:lang w:eastAsia="en-US"/>
              </w:rPr>
              <w:t>Plānotās sabiedrības līdzdalības un komunikācijas aktivitātes saistībā ar projektu</w:t>
            </w:r>
          </w:p>
        </w:tc>
        <w:tc>
          <w:tcPr>
            <w:tcW w:w="6662" w:type="dxa"/>
          </w:tcPr>
          <w:p w:rsidR="00242B0F" w:rsidRPr="00A72DEA" w:rsidRDefault="00922B58" w:rsidP="00E46CA4">
            <w:pPr>
              <w:ind w:firstLine="175"/>
              <w:jc w:val="both"/>
              <w:rPr>
                <w:highlight w:val="yellow"/>
                <w:lang w:eastAsia="en-US"/>
              </w:rPr>
            </w:pPr>
            <w:r w:rsidRPr="00A72DEA">
              <w:rPr>
                <w:lang w:eastAsia="en-US"/>
              </w:rPr>
              <w:t>P</w:t>
            </w:r>
            <w:r w:rsidR="00242B0F" w:rsidRPr="00A72DEA">
              <w:rPr>
                <w:lang w:eastAsia="en-US"/>
              </w:rPr>
              <w:t>rojekts tik</w:t>
            </w:r>
            <w:r w:rsidR="00120FF6" w:rsidRPr="00A72DEA">
              <w:rPr>
                <w:lang w:eastAsia="en-US"/>
              </w:rPr>
              <w:t>s</w:t>
            </w:r>
            <w:r w:rsidR="00242B0F" w:rsidRPr="00A72DEA">
              <w:rPr>
                <w:lang w:eastAsia="en-US"/>
              </w:rPr>
              <w:t xml:space="preserve"> ievietots Veselības ministrijas tīmekļa vietnē </w:t>
            </w:r>
            <w:hyperlink r:id="rId8" w:history="1">
              <w:r w:rsidRPr="00E46CA4">
                <w:rPr>
                  <w:rStyle w:val="Hyperlink"/>
                  <w:color w:val="auto"/>
                  <w:lang w:eastAsia="en-US"/>
                </w:rPr>
                <w:t>www.vm.gov.lv</w:t>
              </w:r>
            </w:hyperlink>
            <w:r w:rsidRPr="00E46CA4">
              <w:rPr>
                <w:lang w:eastAsia="en-US"/>
              </w:rPr>
              <w:t xml:space="preserve"> un nodots sabiedriskajai apspriešanai</w:t>
            </w:r>
            <w:r w:rsidRPr="00A72DEA">
              <w:rPr>
                <w:lang w:eastAsia="en-US"/>
              </w:rPr>
              <w:t>.</w:t>
            </w:r>
            <w:r w:rsidR="007526FA" w:rsidRPr="00A72DEA">
              <w:rPr>
                <w:lang w:eastAsia="en-US"/>
              </w:rPr>
              <w:t xml:space="preserve"> </w:t>
            </w:r>
          </w:p>
        </w:tc>
      </w:tr>
      <w:tr w:rsidR="00242B0F" w:rsidRPr="00857BA9" w:rsidTr="00422997">
        <w:tc>
          <w:tcPr>
            <w:tcW w:w="468" w:type="dxa"/>
          </w:tcPr>
          <w:p w:rsidR="00242B0F" w:rsidRPr="00857BA9" w:rsidRDefault="00242B0F" w:rsidP="00F44071">
            <w:pPr>
              <w:rPr>
                <w:lang w:eastAsia="en-US"/>
              </w:rPr>
            </w:pPr>
            <w:r w:rsidRPr="00857BA9">
              <w:rPr>
                <w:lang w:eastAsia="en-US"/>
              </w:rPr>
              <w:t>2.</w:t>
            </w:r>
          </w:p>
        </w:tc>
        <w:tc>
          <w:tcPr>
            <w:tcW w:w="2050" w:type="dxa"/>
          </w:tcPr>
          <w:p w:rsidR="00242B0F" w:rsidRPr="00857BA9" w:rsidRDefault="00242B0F" w:rsidP="00F44071">
            <w:pPr>
              <w:rPr>
                <w:lang w:eastAsia="en-US"/>
              </w:rPr>
            </w:pPr>
            <w:r w:rsidRPr="00857BA9">
              <w:rPr>
                <w:lang w:eastAsia="en-US"/>
              </w:rPr>
              <w:t xml:space="preserve">Sabiedrības </w:t>
            </w:r>
            <w:r w:rsidRPr="00857BA9">
              <w:rPr>
                <w:lang w:eastAsia="en-US"/>
              </w:rPr>
              <w:lastRenderedPageBreak/>
              <w:t>līdzdalība projekta izstrādē</w:t>
            </w:r>
          </w:p>
        </w:tc>
        <w:tc>
          <w:tcPr>
            <w:tcW w:w="6662" w:type="dxa"/>
          </w:tcPr>
          <w:p w:rsidR="00242B0F" w:rsidRPr="00A72DEA" w:rsidRDefault="00105C18" w:rsidP="00105C18">
            <w:pPr>
              <w:ind w:firstLine="34"/>
              <w:jc w:val="both"/>
              <w:rPr>
                <w:highlight w:val="yellow"/>
                <w:lang w:eastAsia="en-US"/>
              </w:rPr>
            </w:pPr>
            <w:r>
              <w:rPr>
                <w:lang w:eastAsia="en-US"/>
              </w:rPr>
              <w:lastRenderedPageBreak/>
              <w:t>Nav</w:t>
            </w:r>
            <w:r w:rsidR="0098128B" w:rsidRPr="00A72DEA">
              <w:rPr>
                <w:lang w:eastAsia="en-US"/>
              </w:rPr>
              <w:t xml:space="preserve"> </w:t>
            </w:r>
          </w:p>
        </w:tc>
      </w:tr>
      <w:tr w:rsidR="00242B0F" w:rsidRPr="00857BA9" w:rsidTr="00422997">
        <w:tc>
          <w:tcPr>
            <w:tcW w:w="468" w:type="dxa"/>
          </w:tcPr>
          <w:p w:rsidR="00242B0F" w:rsidRPr="00857BA9" w:rsidRDefault="00242B0F" w:rsidP="00F44071">
            <w:pPr>
              <w:rPr>
                <w:lang w:eastAsia="en-US"/>
              </w:rPr>
            </w:pPr>
            <w:r w:rsidRPr="00857BA9">
              <w:rPr>
                <w:lang w:eastAsia="en-US"/>
              </w:rPr>
              <w:lastRenderedPageBreak/>
              <w:t>3.</w:t>
            </w:r>
          </w:p>
        </w:tc>
        <w:tc>
          <w:tcPr>
            <w:tcW w:w="2050" w:type="dxa"/>
          </w:tcPr>
          <w:p w:rsidR="00242B0F" w:rsidRPr="00857BA9" w:rsidRDefault="00242B0F" w:rsidP="00F44071">
            <w:pPr>
              <w:rPr>
                <w:lang w:eastAsia="en-US"/>
              </w:rPr>
            </w:pPr>
            <w:r w:rsidRPr="00857BA9">
              <w:rPr>
                <w:lang w:eastAsia="en-US"/>
              </w:rPr>
              <w:t>Sabiedrības līdzdalības rezultāti</w:t>
            </w:r>
          </w:p>
        </w:tc>
        <w:tc>
          <w:tcPr>
            <w:tcW w:w="6662" w:type="dxa"/>
          </w:tcPr>
          <w:p w:rsidR="0098128B" w:rsidRPr="00105C18" w:rsidRDefault="00105C18" w:rsidP="00105C18">
            <w:pPr>
              <w:ind w:firstLine="34"/>
              <w:jc w:val="both"/>
              <w:rPr>
                <w:highlight w:val="yellow"/>
                <w:lang w:eastAsia="en-US"/>
              </w:rPr>
            </w:pPr>
            <w:r w:rsidRPr="00105C18">
              <w:rPr>
                <w:lang w:eastAsia="en-US"/>
              </w:rPr>
              <w:t>Nav</w:t>
            </w:r>
          </w:p>
        </w:tc>
      </w:tr>
      <w:tr w:rsidR="00242B0F" w:rsidRPr="00857BA9" w:rsidTr="00422997">
        <w:tc>
          <w:tcPr>
            <w:tcW w:w="468" w:type="dxa"/>
          </w:tcPr>
          <w:p w:rsidR="00242B0F" w:rsidRPr="00857BA9" w:rsidRDefault="00242B0F" w:rsidP="00F44071">
            <w:pPr>
              <w:rPr>
                <w:lang w:eastAsia="en-US"/>
              </w:rPr>
            </w:pPr>
            <w:r w:rsidRPr="00857BA9">
              <w:rPr>
                <w:lang w:eastAsia="en-US"/>
              </w:rPr>
              <w:t>4.</w:t>
            </w:r>
          </w:p>
        </w:tc>
        <w:tc>
          <w:tcPr>
            <w:tcW w:w="2050" w:type="dxa"/>
          </w:tcPr>
          <w:p w:rsidR="00242B0F" w:rsidRPr="00857BA9" w:rsidRDefault="00242B0F" w:rsidP="00F44071">
            <w:pPr>
              <w:rPr>
                <w:lang w:eastAsia="en-US"/>
              </w:rPr>
            </w:pPr>
            <w:r w:rsidRPr="00857BA9">
              <w:rPr>
                <w:lang w:eastAsia="en-US"/>
              </w:rPr>
              <w:t>Cita informācija</w:t>
            </w:r>
          </w:p>
        </w:tc>
        <w:tc>
          <w:tcPr>
            <w:tcW w:w="6662" w:type="dxa"/>
          </w:tcPr>
          <w:p w:rsidR="00242B0F" w:rsidRPr="00857BA9" w:rsidRDefault="00242B0F" w:rsidP="00F44071">
            <w:pPr>
              <w:rPr>
                <w:lang w:eastAsia="en-US"/>
              </w:rPr>
            </w:pPr>
            <w:r w:rsidRPr="00857BA9">
              <w:rPr>
                <w:lang w:eastAsia="en-US"/>
              </w:rPr>
              <w:t>Nav</w:t>
            </w:r>
          </w:p>
        </w:tc>
      </w:tr>
    </w:tbl>
    <w:p w:rsidR="00242B0F" w:rsidRPr="00857BA9" w:rsidRDefault="00242B0F" w:rsidP="00F44071">
      <w:pPr>
        <w:rPr>
          <w:sz w:val="32"/>
          <w:szCs w:val="28"/>
          <w:lang w:val="de-DE"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184"/>
        <w:gridCol w:w="5528"/>
      </w:tblGrid>
      <w:tr w:rsidR="00164E0D" w:rsidRPr="00857BA9" w:rsidTr="00F44071">
        <w:tc>
          <w:tcPr>
            <w:tcW w:w="9180" w:type="dxa"/>
            <w:gridSpan w:val="3"/>
          </w:tcPr>
          <w:p w:rsidR="00164E0D" w:rsidRPr="00857BA9" w:rsidRDefault="00164E0D" w:rsidP="00F44071">
            <w:pPr>
              <w:jc w:val="center"/>
              <w:rPr>
                <w:lang w:eastAsia="en-US"/>
              </w:rPr>
            </w:pPr>
            <w:r w:rsidRPr="00857BA9">
              <w:rPr>
                <w:b/>
                <w:bCs/>
                <w:lang w:eastAsia="en-US"/>
              </w:rPr>
              <w:t>VII. Tiesību akta projekta izpildes nodrošināšana un tās ietekme uz institūcijām</w:t>
            </w:r>
          </w:p>
        </w:tc>
      </w:tr>
      <w:tr w:rsidR="00164E0D" w:rsidRPr="00857BA9" w:rsidTr="00422997">
        <w:tc>
          <w:tcPr>
            <w:tcW w:w="468" w:type="dxa"/>
          </w:tcPr>
          <w:p w:rsidR="00164E0D" w:rsidRPr="00857BA9" w:rsidRDefault="00164E0D" w:rsidP="00F44071">
            <w:pPr>
              <w:rPr>
                <w:lang w:eastAsia="en-US"/>
              </w:rPr>
            </w:pPr>
            <w:r w:rsidRPr="00857BA9">
              <w:rPr>
                <w:lang w:eastAsia="en-US"/>
              </w:rPr>
              <w:t>1.</w:t>
            </w:r>
          </w:p>
        </w:tc>
        <w:tc>
          <w:tcPr>
            <w:tcW w:w="3184" w:type="dxa"/>
          </w:tcPr>
          <w:p w:rsidR="00164E0D" w:rsidRPr="00857BA9" w:rsidRDefault="00164E0D" w:rsidP="00F44071">
            <w:pPr>
              <w:rPr>
                <w:lang w:eastAsia="en-US"/>
              </w:rPr>
            </w:pPr>
            <w:r w:rsidRPr="00857BA9">
              <w:rPr>
                <w:lang w:eastAsia="en-US"/>
              </w:rPr>
              <w:t>Projekta izpildē iesaistītās institūcijas</w:t>
            </w:r>
          </w:p>
        </w:tc>
        <w:tc>
          <w:tcPr>
            <w:tcW w:w="5528" w:type="dxa"/>
          </w:tcPr>
          <w:p w:rsidR="00164E0D" w:rsidRPr="009F3615" w:rsidRDefault="009E6A06" w:rsidP="007A1685">
            <w:pPr>
              <w:ind w:firstLine="317"/>
              <w:jc w:val="both"/>
              <w:rPr>
                <w:color w:val="FF0000"/>
                <w:highlight w:val="yellow"/>
                <w:lang w:eastAsia="en-US"/>
              </w:rPr>
            </w:pPr>
            <w:r w:rsidRPr="009E6A06">
              <w:rPr>
                <w:color w:val="000000" w:themeColor="text1"/>
              </w:rPr>
              <w:t>Veselības inspekcija, Nacionālais veselības dienests, NMP dienests</w:t>
            </w:r>
            <w:r w:rsidR="007A1685">
              <w:rPr>
                <w:color w:val="000000" w:themeColor="text1"/>
              </w:rPr>
              <w:t>, ārstniecības iestādes</w:t>
            </w:r>
            <w:r w:rsidR="007A2034">
              <w:rPr>
                <w:color w:val="000000" w:themeColor="text1"/>
              </w:rPr>
              <w:t>.</w:t>
            </w:r>
          </w:p>
        </w:tc>
      </w:tr>
      <w:tr w:rsidR="00164E0D" w:rsidRPr="00857BA9" w:rsidTr="00422997">
        <w:trPr>
          <w:trHeight w:val="578"/>
        </w:trPr>
        <w:tc>
          <w:tcPr>
            <w:tcW w:w="468" w:type="dxa"/>
          </w:tcPr>
          <w:p w:rsidR="00164E0D" w:rsidRPr="00857BA9" w:rsidRDefault="00164E0D" w:rsidP="00F44071">
            <w:pPr>
              <w:rPr>
                <w:lang w:eastAsia="en-US"/>
              </w:rPr>
            </w:pPr>
            <w:r w:rsidRPr="00857BA9">
              <w:rPr>
                <w:lang w:eastAsia="en-US"/>
              </w:rPr>
              <w:t>2.</w:t>
            </w:r>
          </w:p>
        </w:tc>
        <w:tc>
          <w:tcPr>
            <w:tcW w:w="3184" w:type="dxa"/>
          </w:tcPr>
          <w:p w:rsidR="00164E0D" w:rsidRPr="00857BA9" w:rsidRDefault="00164E0D" w:rsidP="00422997">
            <w:pPr>
              <w:jc w:val="both"/>
              <w:rPr>
                <w:lang w:eastAsia="en-US"/>
              </w:rPr>
            </w:pPr>
            <w:r w:rsidRPr="00857BA9">
              <w:rPr>
                <w:lang w:eastAsia="en-US"/>
              </w:rPr>
              <w:t>Projekta izpildes ietekme uz pārvaldes funkcijām</w:t>
            </w:r>
            <w:r w:rsidR="00F44B80" w:rsidRPr="00857BA9">
              <w:rPr>
                <w:lang w:eastAsia="en-US"/>
              </w:rPr>
              <w:t xml:space="preserve"> un institucionālo struktūru. Jaunu institūciju izveide, esošo institūciju likvidācija vai reorganizācija, to ietekme uz institūcijas cilvēkresursiem</w:t>
            </w:r>
          </w:p>
        </w:tc>
        <w:tc>
          <w:tcPr>
            <w:tcW w:w="5528" w:type="dxa"/>
          </w:tcPr>
          <w:p w:rsidR="00164E0D" w:rsidRPr="00857BA9" w:rsidRDefault="007000A8" w:rsidP="00F44071">
            <w:pPr>
              <w:jc w:val="both"/>
              <w:rPr>
                <w:highlight w:val="yellow"/>
                <w:lang w:eastAsia="en-US"/>
              </w:rPr>
            </w:pPr>
            <w:r w:rsidRPr="00857BA9">
              <w:rPr>
                <w:lang w:eastAsia="en-US"/>
              </w:rPr>
              <w:t>Projekts šo jomu neskar</w:t>
            </w:r>
          </w:p>
        </w:tc>
      </w:tr>
      <w:tr w:rsidR="00164E0D" w:rsidRPr="00857BA9" w:rsidTr="00422997">
        <w:tc>
          <w:tcPr>
            <w:tcW w:w="468" w:type="dxa"/>
          </w:tcPr>
          <w:p w:rsidR="00164E0D" w:rsidRPr="00857BA9" w:rsidRDefault="00F44B80" w:rsidP="00F44071">
            <w:pPr>
              <w:rPr>
                <w:lang w:eastAsia="en-US"/>
              </w:rPr>
            </w:pPr>
            <w:r w:rsidRPr="00857BA9">
              <w:rPr>
                <w:lang w:eastAsia="en-US"/>
              </w:rPr>
              <w:t>3</w:t>
            </w:r>
            <w:r w:rsidR="00164E0D" w:rsidRPr="00857BA9">
              <w:rPr>
                <w:lang w:eastAsia="en-US"/>
              </w:rPr>
              <w:t>.</w:t>
            </w:r>
          </w:p>
        </w:tc>
        <w:tc>
          <w:tcPr>
            <w:tcW w:w="3184" w:type="dxa"/>
          </w:tcPr>
          <w:p w:rsidR="00164E0D" w:rsidRPr="00857BA9" w:rsidRDefault="00164E0D" w:rsidP="00F44071">
            <w:pPr>
              <w:rPr>
                <w:lang w:eastAsia="en-US"/>
              </w:rPr>
            </w:pPr>
            <w:r w:rsidRPr="00857BA9">
              <w:rPr>
                <w:lang w:eastAsia="en-US"/>
              </w:rPr>
              <w:t>Cita informācija</w:t>
            </w:r>
          </w:p>
        </w:tc>
        <w:tc>
          <w:tcPr>
            <w:tcW w:w="5528" w:type="dxa"/>
          </w:tcPr>
          <w:p w:rsidR="00164E0D" w:rsidRPr="00857BA9" w:rsidRDefault="00164E0D" w:rsidP="00F44071">
            <w:pPr>
              <w:rPr>
                <w:lang w:eastAsia="en-US"/>
              </w:rPr>
            </w:pPr>
            <w:r w:rsidRPr="00857BA9">
              <w:rPr>
                <w:lang w:eastAsia="en-US"/>
              </w:rPr>
              <w:t>Nav</w:t>
            </w:r>
          </w:p>
        </w:tc>
      </w:tr>
    </w:tbl>
    <w:p w:rsidR="00A73A2F" w:rsidRPr="00857BA9" w:rsidRDefault="00A859D0" w:rsidP="00422997">
      <w:pPr>
        <w:pStyle w:val="NormalWeb"/>
        <w:spacing w:before="200" w:beforeAutospacing="0" w:after="0" w:afterAutospacing="0"/>
        <w:rPr>
          <w:color w:val="auto"/>
          <w:sz w:val="24"/>
          <w:szCs w:val="24"/>
        </w:rPr>
      </w:pPr>
      <w:r w:rsidRPr="00857BA9">
        <w:rPr>
          <w:color w:val="auto"/>
          <w:sz w:val="24"/>
          <w:szCs w:val="24"/>
          <w:lang w:val="de-DE" w:eastAsia="en-US"/>
        </w:rPr>
        <w:t> </w:t>
      </w:r>
      <w:r w:rsidR="00476603" w:rsidRPr="00857BA9">
        <w:rPr>
          <w:color w:val="auto"/>
          <w:sz w:val="24"/>
          <w:szCs w:val="24"/>
        </w:rPr>
        <w:t xml:space="preserve">Anotācijas III, IV un </w:t>
      </w:r>
      <w:r w:rsidR="00A73A2F" w:rsidRPr="00857BA9">
        <w:rPr>
          <w:color w:val="auto"/>
          <w:sz w:val="24"/>
          <w:szCs w:val="24"/>
        </w:rPr>
        <w:t>V</w:t>
      </w:r>
      <w:r w:rsidR="00476603" w:rsidRPr="00857BA9">
        <w:rPr>
          <w:color w:val="auto"/>
          <w:sz w:val="24"/>
          <w:szCs w:val="24"/>
        </w:rPr>
        <w:t xml:space="preserve"> </w:t>
      </w:r>
      <w:r w:rsidR="00A73A2F" w:rsidRPr="00857BA9">
        <w:rPr>
          <w:color w:val="auto"/>
          <w:sz w:val="24"/>
          <w:szCs w:val="24"/>
        </w:rPr>
        <w:t>sadaļa – p</w:t>
      </w:r>
      <w:r w:rsidR="00A73A2F" w:rsidRPr="00857BA9">
        <w:rPr>
          <w:color w:val="auto"/>
          <w:sz w:val="24"/>
          <w:szCs w:val="24"/>
          <w:lang w:eastAsia="en-US"/>
        </w:rPr>
        <w:t>rojekts šīs jomas neska</w:t>
      </w:r>
      <w:r w:rsidR="00D70AE5" w:rsidRPr="00857BA9">
        <w:rPr>
          <w:color w:val="auto"/>
          <w:sz w:val="24"/>
          <w:szCs w:val="24"/>
          <w:lang w:eastAsia="en-US"/>
        </w:rPr>
        <w:t>r</w:t>
      </w:r>
      <w:r w:rsidR="00490D9E" w:rsidRPr="00857BA9">
        <w:rPr>
          <w:color w:val="auto"/>
          <w:sz w:val="24"/>
          <w:szCs w:val="24"/>
          <w:lang w:eastAsia="en-US"/>
        </w:rPr>
        <w:t>.</w:t>
      </w:r>
    </w:p>
    <w:p w:rsidR="00A859D0" w:rsidRPr="00857BA9" w:rsidRDefault="00A859D0" w:rsidP="00F44071">
      <w:pPr>
        <w:rPr>
          <w:lang w:eastAsia="en-US"/>
        </w:rPr>
      </w:pPr>
    </w:p>
    <w:p w:rsidR="007A495B" w:rsidRPr="00857BA9" w:rsidRDefault="007A495B" w:rsidP="00F44071">
      <w:pPr>
        <w:tabs>
          <w:tab w:val="left" w:pos="7655"/>
        </w:tabs>
      </w:pPr>
    </w:p>
    <w:p w:rsidR="00C03F61" w:rsidRPr="00857BA9" w:rsidRDefault="00C03F61" w:rsidP="00F44071">
      <w:pPr>
        <w:tabs>
          <w:tab w:val="left" w:pos="7655"/>
        </w:tabs>
      </w:pPr>
    </w:p>
    <w:p w:rsidR="00351E32" w:rsidRPr="00857BA9" w:rsidRDefault="00422997" w:rsidP="004B4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1"/>
        </w:tabs>
        <w:spacing w:after="720"/>
        <w:rPr>
          <w:rFonts w:eastAsia="Calibri"/>
          <w:sz w:val="28"/>
          <w:szCs w:val="28"/>
          <w:lang w:eastAsia="en-US"/>
        </w:rPr>
      </w:pPr>
      <w:r>
        <w:rPr>
          <w:rFonts w:eastAsia="Calibri"/>
          <w:sz w:val="28"/>
          <w:szCs w:val="28"/>
          <w:lang w:eastAsia="en-US"/>
        </w:rPr>
        <w:t>Veselības ministrs</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w:t>
      </w:r>
      <w:r>
        <w:rPr>
          <w:rFonts w:eastAsia="Calibri"/>
          <w:sz w:val="28"/>
          <w:szCs w:val="28"/>
          <w:lang w:eastAsia="en-US"/>
        </w:rPr>
        <w:tab/>
      </w:r>
      <w:r w:rsidR="004B4EA1">
        <w:rPr>
          <w:rFonts w:eastAsia="Calibri"/>
          <w:sz w:val="28"/>
          <w:szCs w:val="28"/>
          <w:lang w:eastAsia="en-US"/>
        </w:rPr>
        <w:tab/>
        <w:t xml:space="preserve">Anda </w:t>
      </w:r>
      <w:proofErr w:type="spellStart"/>
      <w:r w:rsidR="004B4EA1">
        <w:rPr>
          <w:rFonts w:eastAsia="Calibri"/>
          <w:sz w:val="28"/>
          <w:szCs w:val="28"/>
          <w:lang w:eastAsia="en-US"/>
        </w:rPr>
        <w:t>Čakša</w:t>
      </w:r>
      <w:proofErr w:type="spellEnd"/>
      <w:r>
        <w:rPr>
          <w:rFonts w:eastAsia="Calibri"/>
          <w:sz w:val="28"/>
          <w:szCs w:val="28"/>
          <w:lang w:eastAsia="en-US"/>
        </w:rPr>
        <w:tab/>
      </w:r>
    </w:p>
    <w:p w:rsidR="00351E32" w:rsidRPr="00857BA9" w:rsidRDefault="007F00D7" w:rsidP="007F00D7">
      <w:pPr>
        <w:tabs>
          <w:tab w:val="right" w:pos="9072"/>
        </w:tabs>
        <w:rPr>
          <w:rFonts w:eastAsia="Calibri"/>
          <w:sz w:val="28"/>
          <w:szCs w:val="28"/>
          <w:lang w:eastAsia="en-US"/>
        </w:rPr>
      </w:pPr>
      <w:r>
        <w:rPr>
          <w:rFonts w:eastAsia="Calibri"/>
          <w:sz w:val="28"/>
          <w:szCs w:val="28"/>
          <w:lang w:eastAsia="en-US"/>
        </w:rPr>
        <w:t>Vīza: Valsts sekretār</w:t>
      </w:r>
      <w:r w:rsidR="004B4EA1">
        <w:rPr>
          <w:rFonts w:eastAsia="Calibri"/>
          <w:sz w:val="28"/>
          <w:szCs w:val="28"/>
          <w:lang w:eastAsia="en-US"/>
        </w:rPr>
        <w:t xml:space="preserve">a </w:t>
      </w:r>
      <w:proofErr w:type="spellStart"/>
      <w:r w:rsidR="004B4EA1">
        <w:rPr>
          <w:rFonts w:eastAsia="Calibri"/>
          <w:sz w:val="28"/>
          <w:szCs w:val="28"/>
          <w:lang w:eastAsia="en-US"/>
        </w:rPr>
        <w:t>p.i</w:t>
      </w:r>
      <w:proofErr w:type="spellEnd"/>
      <w:r w:rsidR="004B4EA1">
        <w:rPr>
          <w:rFonts w:eastAsia="Calibri"/>
          <w:sz w:val="28"/>
          <w:szCs w:val="28"/>
          <w:lang w:eastAsia="en-US"/>
        </w:rPr>
        <w:t>.</w:t>
      </w:r>
      <w:r w:rsidR="00351E32" w:rsidRPr="00857BA9">
        <w:rPr>
          <w:rFonts w:eastAsia="Calibri"/>
          <w:sz w:val="28"/>
          <w:szCs w:val="28"/>
          <w:lang w:eastAsia="en-US"/>
        </w:rPr>
        <w:t xml:space="preserve">                                              </w:t>
      </w:r>
      <w:r>
        <w:rPr>
          <w:rFonts w:eastAsia="Calibri"/>
          <w:sz w:val="28"/>
          <w:szCs w:val="28"/>
          <w:lang w:eastAsia="en-US"/>
        </w:rPr>
        <w:t xml:space="preserve">             </w:t>
      </w:r>
      <w:r w:rsidR="004B4EA1">
        <w:rPr>
          <w:rFonts w:eastAsia="Calibri"/>
          <w:sz w:val="28"/>
          <w:szCs w:val="28"/>
          <w:lang w:eastAsia="en-US"/>
        </w:rPr>
        <w:t xml:space="preserve">Kārlis </w:t>
      </w:r>
      <w:proofErr w:type="spellStart"/>
      <w:r w:rsidR="004B4EA1">
        <w:rPr>
          <w:rFonts w:eastAsia="Calibri"/>
          <w:sz w:val="28"/>
          <w:szCs w:val="28"/>
          <w:lang w:eastAsia="en-US"/>
        </w:rPr>
        <w:t>Ketners</w:t>
      </w:r>
      <w:proofErr w:type="spellEnd"/>
      <w:r>
        <w:rPr>
          <w:rFonts w:eastAsia="Calibri"/>
          <w:sz w:val="28"/>
          <w:szCs w:val="28"/>
          <w:lang w:eastAsia="en-US"/>
        </w:rPr>
        <w:t xml:space="preserve">             </w:t>
      </w:r>
      <w:r w:rsidR="00E93EF2">
        <w:rPr>
          <w:rFonts w:eastAsia="Calibri"/>
          <w:sz w:val="28"/>
          <w:szCs w:val="28"/>
          <w:lang w:eastAsia="en-US"/>
        </w:rPr>
        <w:t xml:space="preserve">    </w:t>
      </w:r>
    </w:p>
    <w:p w:rsidR="007C77BC" w:rsidRPr="00857BA9" w:rsidRDefault="007C77BC" w:rsidP="00F44071"/>
    <w:p w:rsidR="00351E32" w:rsidRPr="00857BA9" w:rsidRDefault="00351E32" w:rsidP="00F44071">
      <w:pPr>
        <w:rPr>
          <w:sz w:val="28"/>
          <w:szCs w:val="28"/>
        </w:rPr>
      </w:pPr>
    </w:p>
    <w:p w:rsidR="00351E32" w:rsidRDefault="00351E32" w:rsidP="00F44071">
      <w:pPr>
        <w:rPr>
          <w:sz w:val="28"/>
          <w:szCs w:val="28"/>
        </w:rPr>
      </w:pPr>
    </w:p>
    <w:p w:rsidR="00412DBB" w:rsidRPr="00857BA9" w:rsidRDefault="00412DBB" w:rsidP="00F44071">
      <w:pPr>
        <w:rPr>
          <w:sz w:val="28"/>
          <w:szCs w:val="28"/>
        </w:rPr>
      </w:pPr>
    </w:p>
    <w:p w:rsidR="00E3544A" w:rsidRPr="00857BA9" w:rsidRDefault="00E46CA4" w:rsidP="00F44071">
      <w:pPr>
        <w:jc w:val="both"/>
        <w:rPr>
          <w:sz w:val="20"/>
          <w:szCs w:val="20"/>
        </w:rPr>
      </w:pPr>
      <w:r>
        <w:rPr>
          <w:sz w:val="20"/>
          <w:szCs w:val="20"/>
        </w:rPr>
        <w:t>12</w:t>
      </w:r>
      <w:r w:rsidR="0002466B" w:rsidRPr="00857BA9">
        <w:rPr>
          <w:sz w:val="20"/>
          <w:szCs w:val="20"/>
        </w:rPr>
        <w:t>.</w:t>
      </w:r>
      <w:r w:rsidR="009E6A06">
        <w:rPr>
          <w:sz w:val="20"/>
          <w:szCs w:val="20"/>
        </w:rPr>
        <w:t>0</w:t>
      </w:r>
      <w:r w:rsidR="008C786C">
        <w:rPr>
          <w:sz w:val="20"/>
          <w:szCs w:val="20"/>
        </w:rPr>
        <w:t>9</w:t>
      </w:r>
      <w:r w:rsidR="0002466B" w:rsidRPr="00857BA9">
        <w:rPr>
          <w:sz w:val="20"/>
          <w:szCs w:val="20"/>
        </w:rPr>
        <w:t>.201</w:t>
      </w:r>
      <w:r w:rsidR="009E6A06">
        <w:rPr>
          <w:sz w:val="20"/>
          <w:szCs w:val="20"/>
        </w:rPr>
        <w:t>6</w:t>
      </w:r>
      <w:r w:rsidR="00DA3684" w:rsidRPr="00857BA9">
        <w:rPr>
          <w:sz w:val="20"/>
          <w:szCs w:val="20"/>
        </w:rPr>
        <w:t xml:space="preserve">. </w:t>
      </w:r>
      <w:r w:rsidR="007F00D7">
        <w:rPr>
          <w:sz w:val="20"/>
          <w:szCs w:val="20"/>
        </w:rPr>
        <w:t>1</w:t>
      </w:r>
      <w:r w:rsidR="00D41927">
        <w:rPr>
          <w:sz w:val="20"/>
          <w:szCs w:val="20"/>
        </w:rPr>
        <w:t>5</w:t>
      </w:r>
      <w:r w:rsidR="00E71890">
        <w:rPr>
          <w:sz w:val="20"/>
          <w:szCs w:val="20"/>
        </w:rPr>
        <w:t>:</w:t>
      </w:r>
      <w:r w:rsidR="00D41927">
        <w:rPr>
          <w:sz w:val="20"/>
          <w:szCs w:val="20"/>
        </w:rPr>
        <w:t>52</w:t>
      </w:r>
    </w:p>
    <w:p w:rsidR="00AA63F1" w:rsidRPr="00857BA9" w:rsidRDefault="00105C18" w:rsidP="00F44071">
      <w:pPr>
        <w:jc w:val="both"/>
        <w:rPr>
          <w:sz w:val="20"/>
          <w:szCs w:val="20"/>
        </w:rPr>
      </w:pPr>
      <w:r>
        <w:rPr>
          <w:sz w:val="20"/>
          <w:szCs w:val="20"/>
        </w:rPr>
        <w:t>1</w:t>
      </w:r>
      <w:r w:rsidR="0017311A">
        <w:rPr>
          <w:sz w:val="20"/>
          <w:szCs w:val="20"/>
        </w:rPr>
        <w:t>6</w:t>
      </w:r>
      <w:r w:rsidR="00D41927">
        <w:rPr>
          <w:sz w:val="20"/>
          <w:szCs w:val="20"/>
        </w:rPr>
        <w:t>50</w:t>
      </w:r>
    </w:p>
    <w:p w:rsidR="0095464B" w:rsidRPr="00857BA9" w:rsidRDefault="003F0A58" w:rsidP="00F44071">
      <w:pPr>
        <w:jc w:val="both"/>
        <w:rPr>
          <w:sz w:val="20"/>
          <w:szCs w:val="20"/>
        </w:rPr>
      </w:pPr>
      <w:r w:rsidRPr="00857BA9">
        <w:rPr>
          <w:sz w:val="20"/>
          <w:szCs w:val="20"/>
        </w:rPr>
        <w:t>L.Eglīte</w:t>
      </w:r>
      <w:r w:rsidR="0095464B" w:rsidRPr="00857BA9">
        <w:rPr>
          <w:sz w:val="20"/>
          <w:szCs w:val="20"/>
        </w:rPr>
        <w:t xml:space="preserve"> </w:t>
      </w:r>
      <w:r w:rsidR="00A63374" w:rsidRPr="00857BA9">
        <w:rPr>
          <w:sz w:val="20"/>
          <w:szCs w:val="20"/>
        </w:rPr>
        <w:t>67876091</w:t>
      </w:r>
    </w:p>
    <w:p w:rsidR="00E04494" w:rsidRDefault="003F0A58" w:rsidP="00F44071">
      <w:pPr>
        <w:jc w:val="both"/>
      </w:pPr>
      <w:r w:rsidRPr="00447AE5">
        <w:rPr>
          <w:sz w:val="20"/>
          <w:szCs w:val="20"/>
        </w:rPr>
        <w:t>Leonora.Eglite</w:t>
      </w:r>
      <w:hyperlink r:id="rId9" w:history="1">
        <w:r w:rsidR="00E04494" w:rsidRPr="00447AE5">
          <w:rPr>
            <w:rStyle w:val="Hyperlink"/>
            <w:color w:val="auto"/>
            <w:sz w:val="20"/>
            <w:szCs w:val="20"/>
            <w:u w:val="none"/>
          </w:rPr>
          <w:t>@vm.gov.lv</w:t>
        </w:r>
      </w:hyperlink>
    </w:p>
    <w:p w:rsidR="008C786C" w:rsidRDefault="008C786C" w:rsidP="008C786C">
      <w:pPr>
        <w:jc w:val="both"/>
        <w:rPr>
          <w:color w:val="000000" w:themeColor="text1"/>
          <w:sz w:val="20"/>
          <w:szCs w:val="20"/>
        </w:rPr>
      </w:pPr>
      <w:proofErr w:type="spellStart"/>
      <w:r>
        <w:rPr>
          <w:color w:val="000000" w:themeColor="text1"/>
          <w:sz w:val="20"/>
          <w:szCs w:val="20"/>
        </w:rPr>
        <w:t>Jermacāne</w:t>
      </w:r>
      <w:proofErr w:type="spellEnd"/>
      <w:r>
        <w:rPr>
          <w:color w:val="000000" w:themeColor="text1"/>
          <w:sz w:val="20"/>
          <w:szCs w:val="20"/>
        </w:rPr>
        <w:t xml:space="preserve"> 67876167</w:t>
      </w:r>
    </w:p>
    <w:p w:rsidR="008C786C" w:rsidRPr="000361D8" w:rsidRDefault="008C786C" w:rsidP="008C786C">
      <w:pPr>
        <w:jc w:val="both"/>
        <w:rPr>
          <w:color w:val="000000" w:themeColor="text1"/>
          <w:sz w:val="20"/>
          <w:szCs w:val="20"/>
        </w:rPr>
      </w:pPr>
      <w:r>
        <w:rPr>
          <w:color w:val="000000" w:themeColor="text1"/>
          <w:sz w:val="20"/>
          <w:szCs w:val="20"/>
        </w:rPr>
        <w:t>Guna.Jermacane@vm.gov.lv</w:t>
      </w:r>
    </w:p>
    <w:p w:rsidR="00E3544A" w:rsidRDefault="00E3544A" w:rsidP="00F44071">
      <w:pPr>
        <w:jc w:val="both"/>
      </w:pPr>
    </w:p>
    <w:p w:rsidR="00E3544A" w:rsidRPr="00857BA9" w:rsidRDefault="00E3544A" w:rsidP="00F44071">
      <w:pPr>
        <w:jc w:val="both"/>
        <w:rPr>
          <w:sz w:val="20"/>
          <w:szCs w:val="20"/>
        </w:rPr>
      </w:pPr>
    </w:p>
    <w:sectPr w:rsidR="00E3544A" w:rsidRPr="00857BA9" w:rsidSect="00422997">
      <w:headerReference w:type="even" r:id="rId10"/>
      <w:headerReference w:type="default" r:id="rId11"/>
      <w:footerReference w:type="default" r:id="rId12"/>
      <w:headerReference w:type="first" r:id="rId13"/>
      <w:footerReference w:type="first" r:id="rId14"/>
      <w:pgSz w:w="11906" w:h="16838"/>
      <w:pgMar w:top="1418" w:right="1134" w:bottom="1134" w:left="1701" w:header="709"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CA4" w:rsidRDefault="00E46CA4">
      <w:r>
        <w:separator/>
      </w:r>
    </w:p>
  </w:endnote>
  <w:endnote w:type="continuationSeparator" w:id="0">
    <w:p w:rsidR="00E46CA4" w:rsidRDefault="00E46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A4" w:rsidRPr="007B7774" w:rsidRDefault="00E46CA4" w:rsidP="00422997">
    <w:pPr>
      <w:pStyle w:val="naisc"/>
      <w:spacing w:before="0" w:after="0"/>
      <w:jc w:val="both"/>
      <w:rPr>
        <w:bCs/>
        <w:color w:val="000000"/>
        <w:sz w:val="20"/>
        <w:szCs w:val="20"/>
      </w:rPr>
    </w:pPr>
    <w:r w:rsidRPr="007B7774">
      <w:rPr>
        <w:sz w:val="20"/>
        <w:szCs w:val="20"/>
      </w:rPr>
      <w:t>VManot_</w:t>
    </w:r>
    <w:r>
      <w:rPr>
        <w:sz w:val="20"/>
        <w:szCs w:val="20"/>
      </w:rPr>
      <w:t>12</w:t>
    </w:r>
    <w:r w:rsidRPr="007B7774">
      <w:rPr>
        <w:sz w:val="20"/>
        <w:szCs w:val="20"/>
      </w:rPr>
      <w:t>0</w:t>
    </w:r>
    <w:r>
      <w:rPr>
        <w:sz w:val="20"/>
        <w:szCs w:val="20"/>
      </w:rPr>
      <w:t>9</w:t>
    </w:r>
    <w:r w:rsidRPr="007B7774">
      <w:rPr>
        <w:sz w:val="20"/>
        <w:szCs w:val="20"/>
      </w:rPr>
      <w:t xml:space="preserve">16_not60 ; </w:t>
    </w:r>
    <w:bookmarkStart w:id="5" w:name="OLE_LINK7"/>
    <w:bookmarkStart w:id="6" w:name="OLE_LINK8"/>
    <w:bookmarkStart w:id="7" w:name="_Hlk439928935"/>
    <w:r w:rsidRPr="007B7774">
      <w:rPr>
        <w:bCs/>
        <w:color w:val="000000"/>
        <w:sz w:val="20"/>
        <w:szCs w:val="20"/>
      </w:rPr>
      <w:t>Ministru kabineta noteikumu projekta ”G</w:t>
    </w:r>
    <w:r w:rsidRPr="007B7774">
      <w:rPr>
        <w:color w:val="000000"/>
        <w:sz w:val="20"/>
        <w:szCs w:val="20"/>
      </w:rPr>
      <w:t xml:space="preserve">rozījumi </w:t>
    </w:r>
    <w:r w:rsidRPr="007B7774">
      <w:rPr>
        <w:sz w:val="20"/>
        <w:szCs w:val="20"/>
      </w:rPr>
      <w:t xml:space="preserve">Ministru kabineta 2009.gada 20.janvāra noteikumos Nr.60 „Noteikumi par obligātajām prasībām ārstniecības iestādēm un to struktūrvienībām”” </w:t>
    </w:r>
    <w:r w:rsidRPr="007B7774">
      <w:rPr>
        <w:color w:val="000000"/>
        <w:sz w:val="20"/>
        <w:szCs w:val="20"/>
      </w:rPr>
      <w:t>sākotnējās ietekmes novērtējuma ziņojums (</w:t>
    </w:r>
    <w:r w:rsidRPr="007B7774">
      <w:rPr>
        <w:bCs/>
        <w:color w:val="000000"/>
        <w:sz w:val="20"/>
        <w:szCs w:val="20"/>
      </w:rPr>
      <w:t>anotācija)</w:t>
    </w:r>
    <w:r w:rsidRPr="007B7774">
      <w:rPr>
        <w:sz w:val="20"/>
        <w:szCs w:val="20"/>
      </w:rPr>
      <w:tab/>
    </w:r>
    <w:bookmarkEnd w:id="5"/>
    <w:bookmarkEnd w:id="6"/>
    <w:bookmarkEnd w:id="7"/>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A4" w:rsidRPr="007B7774" w:rsidRDefault="00E46CA4" w:rsidP="00422997">
    <w:pPr>
      <w:pStyle w:val="naisc"/>
      <w:spacing w:before="0" w:after="0"/>
      <w:jc w:val="both"/>
      <w:rPr>
        <w:bCs/>
        <w:color w:val="000000"/>
        <w:sz w:val="20"/>
        <w:szCs w:val="20"/>
      </w:rPr>
    </w:pPr>
    <w:bookmarkStart w:id="8" w:name="OLE_LINK1"/>
    <w:bookmarkStart w:id="9" w:name="OLE_LINK2"/>
    <w:r w:rsidRPr="007B7774">
      <w:rPr>
        <w:sz w:val="20"/>
        <w:szCs w:val="20"/>
      </w:rPr>
      <w:t>VManot_</w:t>
    </w:r>
    <w:r>
      <w:rPr>
        <w:sz w:val="20"/>
        <w:szCs w:val="20"/>
      </w:rPr>
      <w:t>12</w:t>
    </w:r>
    <w:r w:rsidRPr="007B7774">
      <w:rPr>
        <w:sz w:val="20"/>
        <w:szCs w:val="20"/>
      </w:rPr>
      <w:t>0</w:t>
    </w:r>
    <w:r>
      <w:rPr>
        <w:sz w:val="20"/>
        <w:szCs w:val="20"/>
      </w:rPr>
      <w:t>9</w:t>
    </w:r>
    <w:r w:rsidRPr="007B7774">
      <w:rPr>
        <w:sz w:val="20"/>
        <w:szCs w:val="20"/>
      </w:rPr>
      <w:t xml:space="preserve">16_not60 ; </w:t>
    </w:r>
    <w:r w:rsidRPr="007B7774">
      <w:rPr>
        <w:bCs/>
        <w:color w:val="000000"/>
        <w:sz w:val="20"/>
        <w:szCs w:val="20"/>
      </w:rPr>
      <w:t>Ministru kabineta noteikumu projekta ”</w:t>
    </w:r>
    <w:r w:rsidRPr="007B7774">
      <w:rPr>
        <w:color w:val="000000"/>
        <w:sz w:val="20"/>
        <w:szCs w:val="20"/>
      </w:rPr>
      <w:t xml:space="preserve">Grozījumi </w:t>
    </w:r>
    <w:r w:rsidRPr="007B7774">
      <w:rPr>
        <w:sz w:val="20"/>
        <w:szCs w:val="20"/>
      </w:rPr>
      <w:t xml:space="preserve">Ministru kabineta 2009.gada 20.janvāra noteikumos Nr.60 ”Noteikumi par obligātajām prasībām ārstniecības iestādēm un to struktūrvienībām”” </w:t>
    </w:r>
    <w:r w:rsidRPr="007B7774">
      <w:rPr>
        <w:color w:val="000000"/>
        <w:sz w:val="20"/>
        <w:szCs w:val="20"/>
      </w:rPr>
      <w:t>sākotnējās ietekmes novērtējuma ziņojums (</w:t>
    </w:r>
    <w:r w:rsidRPr="007B7774">
      <w:rPr>
        <w:bCs/>
        <w:color w:val="000000"/>
        <w:sz w:val="20"/>
        <w:szCs w:val="20"/>
      </w:rPr>
      <w:t>anotācija)</w:t>
    </w:r>
    <w:bookmarkEnd w:id="8"/>
    <w:bookmarkEnd w:id="9"/>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CA4" w:rsidRDefault="00E46CA4">
      <w:r>
        <w:separator/>
      </w:r>
    </w:p>
  </w:footnote>
  <w:footnote w:type="continuationSeparator" w:id="0">
    <w:p w:rsidR="00E46CA4" w:rsidRDefault="00E46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A4" w:rsidRDefault="00E46CA4">
    <w:pPr>
      <w:pStyle w:val="Header"/>
    </w:pPr>
    <w:r w:rsidRPr="00732A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71047" o:spid="_x0000_s2050" type="#_x0000_t136" style="position:absolute;margin-left:0;margin-top:0;width:511.55pt;height:127.85pt;rotation:315;z-index:-251654144;mso-position-horizontal:center;mso-position-horizontal-relative:margin;mso-position-vertical:center;mso-position-vertical-relative:margin" o:allowincell="f" fillcolor="silver" stroked="f">
          <v:textpath style="font-family:&quot;Times New Roman&quot;;font-size:1pt" string="PROJEK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A4" w:rsidRDefault="00E46CA4">
    <w:pPr>
      <w:pStyle w:val="Header"/>
      <w:jc w:val="center"/>
    </w:pPr>
    <w:r w:rsidRPr="00732A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71048" o:spid="_x0000_s2051" type="#_x0000_t136" style="position:absolute;left:0;text-align:left;margin-left:0;margin-top:0;width:511.55pt;height:127.85pt;rotation:315;z-index:-251652096;mso-position-horizontal:center;mso-position-horizontal-relative:margin;mso-position-vertical:center;mso-position-vertical-relative:margin" o:allowincell="f" fillcolor="silver" stroked="f">
          <v:textpath style="font-family:&quot;Times New Roman&quot;;font-size:1pt" string="PROJEKTS"/>
          <w10:wrap anchorx="margin" anchory="margin"/>
        </v:shape>
      </w:pict>
    </w:r>
    <w:fldSimple w:instr=" PAGE   \* MERGEFORMAT ">
      <w:r w:rsidR="00D41927">
        <w:rPr>
          <w:noProof/>
        </w:rPr>
        <w:t>7</w:t>
      </w:r>
    </w:fldSimple>
  </w:p>
  <w:p w:rsidR="00E46CA4" w:rsidRDefault="00E46C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A4" w:rsidRDefault="00E46CA4">
    <w:pPr>
      <w:pStyle w:val="Header"/>
    </w:pPr>
    <w:r w:rsidRPr="00732A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71046" o:spid="_x0000_s2049" type="#_x0000_t136" style="position:absolute;margin-left:0;margin-top:0;width:511.55pt;height:127.85pt;rotation:315;z-index:-251656192;mso-position-horizontal:center;mso-position-horizontal-relative:margin;mso-position-vertical:center;mso-position-vertical-relative:margin" o:allowincell="f" fillcolor="silver" stroked="f">
          <v:textpath style="font-family:&quot;Times New Roman&quot;;font-size:1pt" string="PROJEK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0773"/>
    <w:multiLevelType w:val="multilevel"/>
    <w:tmpl w:val="32962740"/>
    <w:lvl w:ilvl="0">
      <w:start w:val="3"/>
      <w:numFmt w:val="decimal"/>
      <w:pStyle w:val="Heading3"/>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3"/>
      <w:numFmt w:val="none"/>
      <w:lvlText w:val="3.1.1."/>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E2D7939"/>
    <w:multiLevelType w:val="hybridMultilevel"/>
    <w:tmpl w:val="2FB24EC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1C495134"/>
    <w:multiLevelType w:val="hybridMultilevel"/>
    <w:tmpl w:val="8DB4A364"/>
    <w:lvl w:ilvl="0" w:tplc="6E542480">
      <w:start w:val="1"/>
      <w:numFmt w:val="decimal"/>
      <w:lvlText w:val="%1)"/>
      <w:lvlJc w:val="left"/>
      <w:pPr>
        <w:ind w:left="75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C22C9"/>
    <w:multiLevelType w:val="hybridMultilevel"/>
    <w:tmpl w:val="84B0F296"/>
    <w:lvl w:ilvl="0" w:tplc="0426000B">
      <w:start w:val="1"/>
      <w:numFmt w:val="bullet"/>
      <w:lvlText w:val=""/>
      <w:lvlJc w:val="left"/>
      <w:pPr>
        <w:tabs>
          <w:tab w:val="num" w:pos="758"/>
        </w:tabs>
        <w:ind w:left="758" w:hanging="360"/>
      </w:pPr>
      <w:rPr>
        <w:rFonts w:ascii="Wingdings" w:hAnsi="Wingdings"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4">
    <w:nsid w:val="5FD9405C"/>
    <w:multiLevelType w:val="hybridMultilevel"/>
    <w:tmpl w:val="B03A2804"/>
    <w:lvl w:ilvl="0" w:tplc="6E542480">
      <w:start w:val="1"/>
      <w:numFmt w:val="decimal"/>
      <w:lvlText w:val="%1)"/>
      <w:lvlJc w:val="left"/>
      <w:pPr>
        <w:ind w:left="1110" w:hanging="39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932EC4"/>
    <w:multiLevelType w:val="hybridMultilevel"/>
    <w:tmpl w:val="2716E0E0"/>
    <w:lvl w:ilvl="0" w:tplc="D56622F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3137638"/>
    <w:multiLevelType w:val="hybridMultilevel"/>
    <w:tmpl w:val="463A95AC"/>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js Šaicāns">
    <w15:presenceInfo w15:providerId="Windows Live" w15:userId="714984dd0a32834b"/>
  </w15:person>
  <w15:person w15:author="Edijs Šaicāns [2]">
    <w15:presenceInfo w15:providerId="AD" w15:userId="S-1-5-21-734147818-1251574435-2103723179-51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9B58DD"/>
    <w:rsid w:val="0000113E"/>
    <w:rsid w:val="000031C7"/>
    <w:rsid w:val="000034AF"/>
    <w:rsid w:val="00005E84"/>
    <w:rsid w:val="000068C6"/>
    <w:rsid w:val="0001089A"/>
    <w:rsid w:val="00010ABB"/>
    <w:rsid w:val="00011294"/>
    <w:rsid w:val="00012493"/>
    <w:rsid w:val="00014C78"/>
    <w:rsid w:val="000174C5"/>
    <w:rsid w:val="000176EB"/>
    <w:rsid w:val="00017FF4"/>
    <w:rsid w:val="0002305A"/>
    <w:rsid w:val="00023AAB"/>
    <w:rsid w:val="00023E2D"/>
    <w:rsid w:val="0002466B"/>
    <w:rsid w:val="000250E9"/>
    <w:rsid w:val="000256D4"/>
    <w:rsid w:val="00026C12"/>
    <w:rsid w:val="00027E0A"/>
    <w:rsid w:val="00030571"/>
    <w:rsid w:val="00030798"/>
    <w:rsid w:val="00031500"/>
    <w:rsid w:val="00031732"/>
    <w:rsid w:val="00031733"/>
    <w:rsid w:val="00031886"/>
    <w:rsid w:val="0003319B"/>
    <w:rsid w:val="00034D98"/>
    <w:rsid w:val="00037CDF"/>
    <w:rsid w:val="00040062"/>
    <w:rsid w:val="00040DC9"/>
    <w:rsid w:val="00043607"/>
    <w:rsid w:val="0004420D"/>
    <w:rsid w:val="00044B5E"/>
    <w:rsid w:val="00044E80"/>
    <w:rsid w:val="00051386"/>
    <w:rsid w:val="000546C7"/>
    <w:rsid w:val="00055D29"/>
    <w:rsid w:val="00056C23"/>
    <w:rsid w:val="000576A1"/>
    <w:rsid w:val="0006159E"/>
    <w:rsid w:val="000619F9"/>
    <w:rsid w:val="00063AAA"/>
    <w:rsid w:val="00066F66"/>
    <w:rsid w:val="000676CB"/>
    <w:rsid w:val="000676FB"/>
    <w:rsid w:val="000717CD"/>
    <w:rsid w:val="00073CF0"/>
    <w:rsid w:val="00077CD1"/>
    <w:rsid w:val="000827DA"/>
    <w:rsid w:val="0008464F"/>
    <w:rsid w:val="00092040"/>
    <w:rsid w:val="00094E86"/>
    <w:rsid w:val="000951F2"/>
    <w:rsid w:val="0009545F"/>
    <w:rsid w:val="0009708C"/>
    <w:rsid w:val="000A0206"/>
    <w:rsid w:val="000A0AF4"/>
    <w:rsid w:val="000A1767"/>
    <w:rsid w:val="000A33B9"/>
    <w:rsid w:val="000A5F86"/>
    <w:rsid w:val="000A74DA"/>
    <w:rsid w:val="000B0EF5"/>
    <w:rsid w:val="000B167D"/>
    <w:rsid w:val="000B1783"/>
    <w:rsid w:val="000B1AFD"/>
    <w:rsid w:val="000B3D74"/>
    <w:rsid w:val="000B4559"/>
    <w:rsid w:val="000B6855"/>
    <w:rsid w:val="000B734E"/>
    <w:rsid w:val="000C07D2"/>
    <w:rsid w:val="000C1D34"/>
    <w:rsid w:val="000C29BF"/>
    <w:rsid w:val="000C4676"/>
    <w:rsid w:val="000C505D"/>
    <w:rsid w:val="000C54A2"/>
    <w:rsid w:val="000D16C6"/>
    <w:rsid w:val="000D64E7"/>
    <w:rsid w:val="000D7EF5"/>
    <w:rsid w:val="000E173C"/>
    <w:rsid w:val="000E20C6"/>
    <w:rsid w:val="000E305C"/>
    <w:rsid w:val="000E3E76"/>
    <w:rsid w:val="000E4FD4"/>
    <w:rsid w:val="000F39C9"/>
    <w:rsid w:val="000F4515"/>
    <w:rsid w:val="000F7A43"/>
    <w:rsid w:val="00101C91"/>
    <w:rsid w:val="001035F0"/>
    <w:rsid w:val="001037D3"/>
    <w:rsid w:val="0010476F"/>
    <w:rsid w:val="00105C18"/>
    <w:rsid w:val="0010762C"/>
    <w:rsid w:val="0010771F"/>
    <w:rsid w:val="00112374"/>
    <w:rsid w:val="001128FC"/>
    <w:rsid w:val="00113023"/>
    <w:rsid w:val="00113C2A"/>
    <w:rsid w:val="00113F45"/>
    <w:rsid w:val="00113FA2"/>
    <w:rsid w:val="001159F3"/>
    <w:rsid w:val="00117010"/>
    <w:rsid w:val="00117254"/>
    <w:rsid w:val="001177DE"/>
    <w:rsid w:val="001200C9"/>
    <w:rsid w:val="00120FF6"/>
    <w:rsid w:val="00122545"/>
    <w:rsid w:val="00123611"/>
    <w:rsid w:val="00123DAC"/>
    <w:rsid w:val="001259EA"/>
    <w:rsid w:val="001271DB"/>
    <w:rsid w:val="0012742C"/>
    <w:rsid w:val="00130667"/>
    <w:rsid w:val="00132F5B"/>
    <w:rsid w:val="00135F08"/>
    <w:rsid w:val="00136127"/>
    <w:rsid w:val="00136E98"/>
    <w:rsid w:val="0013746E"/>
    <w:rsid w:val="00140A78"/>
    <w:rsid w:val="00142E18"/>
    <w:rsid w:val="0014300F"/>
    <w:rsid w:val="0014313B"/>
    <w:rsid w:val="00143607"/>
    <w:rsid w:val="00144D0A"/>
    <w:rsid w:val="00144FA0"/>
    <w:rsid w:val="00145966"/>
    <w:rsid w:val="00145A61"/>
    <w:rsid w:val="00145C8C"/>
    <w:rsid w:val="00146F86"/>
    <w:rsid w:val="00147067"/>
    <w:rsid w:val="00147269"/>
    <w:rsid w:val="00147429"/>
    <w:rsid w:val="00152F90"/>
    <w:rsid w:val="00153F11"/>
    <w:rsid w:val="00154B02"/>
    <w:rsid w:val="001568DF"/>
    <w:rsid w:val="001611B9"/>
    <w:rsid w:val="0016169D"/>
    <w:rsid w:val="00161770"/>
    <w:rsid w:val="00162154"/>
    <w:rsid w:val="00164E0D"/>
    <w:rsid w:val="001660B4"/>
    <w:rsid w:val="0016756A"/>
    <w:rsid w:val="0017058A"/>
    <w:rsid w:val="0017311A"/>
    <w:rsid w:val="00175238"/>
    <w:rsid w:val="00175E5D"/>
    <w:rsid w:val="00177A52"/>
    <w:rsid w:val="00177E99"/>
    <w:rsid w:val="001821E2"/>
    <w:rsid w:val="001847F2"/>
    <w:rsid w:val="00184A2B"/>
    <w:rsid w:val="00184C48"/>
    <w:rsid w:val="00184DB7"/>
    <w:rsid w:val="0018553D"/>
    <w:rsid w:val="00190A6B"/>
    <w:rsid w:val="001912A6"/>
    <w:rsid w:val="001939EA"/>
    <w:rsid w:val="00194B39"/>
    <w:rsid w:val="001A05DD"/>
    <w:rsid w:val="001A3AE5"/>
    <w:rsid w:val="001A3B37"/>
    <w:rsid w:val="001A53F2"/>
    <w:rsid w:val="001B107C"/>
    <w:rsid w:val="001B2A94"/>
    <w:rsid w:val="001B5C42"/>
    <w:rsid w:val="001C1F44"/>
    <w:rsid w:val="001C23FE"/>
    <w:rsid w:val="001C2E0F"/>
    <w:rsid w:val="001C4613"/>
    <w:rsid w:val="001C669E"/>
    <w:rsid w:val="001D00B3"/>
    <w:rsid w:val="001D118F"/>
    <w:rsid w:val="001D383C"/>
    <w:rsid w:val="001D3CCA"/>
    <w:rsid w:val="001D5271"/>
    <w:rsid w:val="001D53C6"/>
    <w:rsid w:val="001D5B3B"/>
    <w:rsid w:val="001E0208"/>
    <w:rsid w:val="001E29A2"/>
    <w:rsid w:val="001E3F47"/>
    <w:rsid w:val="001E4278"/>
    <w:rsid w:val="001E575C"/>
    <w:rsid w:val="001E5B27"/>
    <w:rsid w:val="001F0A94"/>
    <w:rsid w:val="001F0CAF"/>
    <w:rsid w:val="001F1E00"/>
    <w:rsid w:val="001F30D2"/>
    <w:rsid w:val="002000F7"/>
    <w:rsid w:val="002020FF"/>
    <w:rsid w:val="00205C8A"/>
    <w:rsid w:val="002060EC"/>
    <w:rsid w:val="00206977"/>
    <w:rsid w:val="002136B5"/>
    <w:rsid w:val="00213854"/>
    <w:rsid w:val="00214599"/>
    <w:rsid w:val="0021793B"/>
    <w:rsid w:val="002218F5"/>
    <w:rsid w:val="00221D4B"/>
    <w:rsid w:val="0022381D"/>
    <w:rsid w:val="002242D6"/>
    <w:rsid w:val="0022460C"/>
    <w:rsid w:val="00224B1A"/>
    <w:rsid w:val="00225EAC"/>
    <w:rsid w:val="002273DA"/>
    <w:rsid w:val="00227961"/>
    <w:rsid w:val="002308BA"/>
    <w:rsid w:val="00233C07"/>
    <w:rsid w:val="0023419C"/>
    <w:rsid w:val="00234940"/>
    <w:rsid w:val="00234E66"/>
    <w:rsid w:val="00237374"/>
    <w:rsid w:val="0024184F"/>
    <w:rsid w:val="00241B1E"/>
    <w:rsid w:val="00242B0F"/>
    <w:rsid w:val="00242E57"/>
    <w:rsid w:val="002432BB"/>
    <w:rsid w:val="00243B72"/>
    <w:rsid w:val="0024403C"/>
    <w:rsid w:val="0024488B"/>
    <w:rsid w:val="00245ED8"/>
    <w:rsid w:val="00245FC5"/>
    <w:rsid w:val="0024629E"/>
    <w:rsid w:val="00246A57"/>
    <w:rsid w:val="00252F69"/>
    <w:rsid w:val="00257C48"/>
    <w:rsid w:val="00260A76"/>
    <w:rsid w:val="00261998"/>
    <w:rsid w:val="00265324"/>
    <w:rsid w:val="002655A1"/>
    <w:rsid w:val="00266FB9"/>
    <w:rsid w:val="00271570"/>
    <w:rsid w:val="00272515"/>
    <w:rsid w:val="00272BF2"/>
    <w:rsid w:val="00273FB6"/>
    <w:rsid w:val="00276D6D"/>
    <w:rsid w:val="002815CD"/>
    <w:rsid w:val="00281C46"/>
    <w:rsid w:val="002839E0"/>
    <w:rsid w:val="002842CB"/>
    <w:rsid w:val="0028665C"/>
    <w:rsid w:val="00286E84"/>
    <w:rsid w:val="00287CB9"/>
    <w:rsid w:val="00287EA0"/>
    <w:rsid w:val="00291A37"/>
    <w:rsid w:val="00295400"/>
    <w:rsid w:val="00295C7B"/>
    <w:rsid w:val="00297ABE"/>
    <w:rsid w:val="002A0731"/>
    <w:rsid w:val="002A4154"/>
    <w:rsid w:val="002A4C89"/>
    <w:rsid w:val="002B07FB"/>
    <w:rsid w:val="002B0FB0"/>
    <w:rsid w:val="002B458F"/>
    <w:rsid w:val="002B6DE9"/>
    <w:rsid w:val="002C05A6"/>
    <w:rsid w:val="002C29C4"/>
    <w:rsid w:val="002C2EAE"/>
    <w:rsid w:val="002C30F9"/>
    <w:rsid w:val="002C3A84"/>
    <w:rsid w:val="002C43F0"/>
    <w:rsid w:val="002C47AA"/>
    <w:rsid w:val="002C76AB"/>
    <w:rsid w:val="002C7813"/>
    <w:rsid w:val="002D0430"/>
    <w:rsid w:val="002D15DE"/>
    <w:rsid w:val="002D1C33"/>
    <w:rsid w:val="002D4D71"/>
    <w:rsid w:val="002D56DC"/>
    <w:rsid w:val="002D57A6"/>
    <w:rsid w:val="002D5B5B"/>
    <w:rsid w:val="002D5E88"/>
    <w:rsid w:val="002D6C93"/>
    <w:rsid w:val="002D75E7"/>
    <w:rsid w:val="002D772C"/>
    <w:rsid w:val="002D78A3"/>
    <w:rsid w:val="002E097D"/>
    <w:rsid w:val="002E0DD7"/>
    <w:rsid w:val="002E14FF"/>
    <w:rsid w:val="002E176D"/>
    <w:rsid w:val="002E3F65"/>
    <w:rsid w:val="002E57B0"/>
    <w:rsid w:val="002E6506"/>
    <w:rsid w:val="002E65F8"/>
    <w:rsid w:val="002F0534"/>
    <w:rsid w:val="002F0A81"/>
    <w:rsid w:val="002F141B"/>
    <w:rsid w:val="002F2CA8"/>
    <w:rsid w:val="002F2FBB"/>
    <w:rsid w:val="002F3C88"/>
    <w:rsid w:val="002F6280"/>
    <w:rsid w:val="002F7359"/>
    <w:rsid w:val="00301823"/>
    <w:rsid w:val="003034D0"/>
    <w:rsid w:val="00305C3B"/>
    <w:rsid w:val="0031020A"/>
    <w:rsid w:val="00312360"/>
    <w:rsid w:val="00313EAB"/>
    <w:rsid w:val="003204B7"/>
    <w:rsid w:val="0032065A"/>
    <w:rsid w:val="0032097C"/>
    <w:rsid w:val="00320CDC"/>
    <w:rsid w:val="00323D14"/>
    <w:rsid w:val="00323FC3"/>
    <w:rsid w:val="0032430F"/>
    <w:rsid w:val="00331338"/>
    <w:rsid w:val="00333352"/>
    <w:rsid w:val="00334768"/>
    <w:rsid w:val="0033535C"/>
    <w:rsid w:val="00336953"/>
    <w:rsid w:val="003372F7"/>
    <w:rsid w:val="00343948"/>
    <w:rsid w:val="003443B4"/>
    <w:rsid w:val="00344AA6"/>
    <w:rsid w:val="003462FA"/>
    <w:rsid w:val="003509A0"/>
    <w:rsid w:val="00351E32"/>
    <w:rsid w:val="00352D9E"/>
    <w:rsid w:val="00354C86"/>
    <w:rsid w:val="00355817"/>
    <w:rsid w:val="003563A0"/>
    <w:rsid w:val="0036011F"/>
    <w:rsid w:val="0036294D"/>
    <w:rsid w:val="00363740"/>
    <w:rsid w:val="003647EA"/>
    <w:rsid w:val="00365673"/>
    <w:rsid w:val="0037016E"/>
    <w:rsid w:val="0037548E"/>
    <w:rsid w:val="00376728"/>
    <w:rsid w:val="0037779A"/>
    <w:rsid w:val="00381B6E"/>
    <w:rsid w:val="00381D0F"/>
    <w:rsid w:val="00382CAE"/>
    <w:rsid w:val="0038568D"/>
    <w:rsid w:val="003878B2"/>
    <w:rsid w:val="00387DDB"/>
    <w:rsid w:val="00391D85"/>
    <w:rsid w:val="00392DF0"/>
    <w:rsid w:val="0039312B"/>
    <w:rsid w:val="003947D6"/>
    <w:rsid w:val="003978AD"/>
    <w:rsid w:val="003A26A9"/>
    <w:rsid w:val="003A3239"/>
    <w:rsid w:val="003A6C30"/>
    <w:rsid w:val="003A6F14"/>
    <w:rsid w:val="003A743B"/>
    <w:rsid w:val="003B1BEF"/>
    <w:rsid w:val="003B7EC4"/>
    <w:rsid w:val="003C1C11"/>
    <w:rsid w:val="003C3861"/>
    <w:rsid w:val="003C478C"/>
    <w:rsid w:val="003C4B4E"/>
    <w:rsid w:val="003C50F9"/>
    <w:rsid w:val="003D182F"/>
    <w:rsid w:val="003D1D09"/>
    <w:rsid w:val="003D2169"/>
    <w:rsid w:val="003D3A57"/>
    <w:rsid w:val="003D440A"/>
    <w:rsid w:val="003D4645"/>
    <w:rsid w:val="003D5681"/>
    <w:rsid w:val="003D6A33"/>
    <w:rsid w:val="003D6EC8"/>
    <w:rsid w:val="003D72A6"/>
    <w:rsid w:val="003D790B"/>
    <w:rsid w:val="003D79FF"/>
    <w:rsid w:val="003E1774"/>
    <w:rsid w:val="003E19C2"/>
    <w:rsid w:val="003E2999"/>
    <w:rsid w:val="003E30E7"/>
    <w:rsid w:val="003E6AFE"/>
    <w:rsid w:val="003E6CAD"/>
    <w:rsid w:val="003F0A58"/>
    <w:rsid w:val="003F2BF2"/>
    <w:rsid w:val="003F323C"/>
    <w:rsid w:val="003F74F9"/>
    <w:rsid w:val="00401E82"/>
    <w:rsid w:val="00403486"/>
    <w:rsid w:val="004049E7"/>
    <w:rsid w:val="00404C05"/>
    <w:rsid w:val="004104C0"/>
    <w:rsid w:val="004118E2"/>
    <w:rsid w:val="00411E72"/>
    <w:rsid w:val="00412DBB"/>
    <w:rsid w:val="0041396D"/>
    <w:rsid w:val="0041545A"/>
    <w:rsid w:val="0041545F"/>
    <w:rsid w:val="00421D2E"/>
    <w:rsid w:val="00421D75"/>
    <w:rsid w:val="00422997"/>
    <w:rsid w:val="004265BA"/>
    <w:rsid w:val="004276A7"/>
    <w:rsid w:val="0043181F"/>
    <w:rsid w:val="00432C56"/>
    <w:rsid w:val="0043716D"/>
    <w:rsid w:val="004426E2"/>
    <w:rsid w:val="004429EC"/>
    <w:rsid w:val="00447AE5"/>
    <w:rsid w:val="00447C2F"/>
    <w:rsid w:val="00451235"/>
    <w:rsid w:val="004528B8"/>
    <w:rsid w:val="00452AE5"/>
    <w:rsid w:val="00455B0A"/>
    <w:rsid w:val="00456A84"/>
    <w:rsid w:val="00462FCC"/>
    <w:rsid w:val="0046578D"/>
    <w:rsid w:val="00465EF7"/>
    <w:rsid w:val="0046769B"/>
    <w:rsid w:val="0046794A"/>
    <w:rsid w:val="0047199D"/>
    <w:rsid w:val="00472E40"/>
    <w:rsid w:val="00476603"/>
    <w:rsid w:val="00481F95"/>
    <w:rsid w:val="004824F3"/>
    <w:rsid w:val="004833BD"/>
    <w:rsid w:val="00483FEF"/>
    <w:rsid w:val="0048448D"/>
    <w:rsid w:val="00484C7A"/>
    <w:rsid w:val="004851CA"/>
    <w:rsid w:val="00485815"/>
    <w:rsid w:val="004859A7"/>
    <w:rsid w:val="00486836"/>
    <w:rsid w:val="0048748B"/>
    <w:rsid w:val="00490D9E"/>
    <w:rsid w:val="004929F7"/>
    <w:rsid w:val="00492B18"/>
    <w:rsid w:val="00492DA4"/>
    <w:rsid w:val="00494269"/>
    <w:rsid w:val="00495A50"/>
    <w:rsid w:val="00496298"/>
    <w:rsid w:val="004970CD"/>
    <w:rsid w:val="004972D1"/>
    <w:rsid w:val="004A00E0"/>
    <w:rsid w:val="004A154B"/>
    <w:rsid w:val="004A3125"/>
    <w:rsid w:val="004A3B09"/>
    <w:rsid w:val="004A5A28"/>
    <w:rsid w:val="004A635A"/>
    <w:rsid w:val="004A72C4"/>
    <w:rsid w:val="004B07AC"/>
    <w:rsid w:val="004B142C"/>
    <w:rsid w:val="004B46A3"/>
    <w:rsid w:val="004B4EA1"/>
    <w:rsid w:val="004B7E0C"/>
    <w:rsid w:val="004C087D"/>
    <w:rsid w:val="004C43C5"/>
    <w:rsid w:val="004C5648"/>
    <w:rsid w:val="004C5A7B"/>
    <w:rsid w:val="004C5D70"/>
    <w:rsid w:val="004C6719"/>
    <w:rsid w:val="004D1517"/>
    <w:rsid w:val="004D2C45"/>
    <w:rsid w:val="004D391A"/>
    <w:rsid w:val="004D3E05"/>
    <w:rsid w:val="004D4DBA"/>
    <w:rsid w:val="004D68B6"/>
    <w:rsid w:val="004E3CC8"/>
    <w:rsid w:val="004E40E0"/>
    <w:rsid w:val="004F3687"/>
    <w:rsid w:val="004F780E"/>
    <w:rsid w:val="004F7F63"/>
    <w:rsid w:val="00500E5F"/>
    <w:rsid w:val="00502B58"/>
    <w:rsid w:val="00503A51"/>
    <w:rsid w:val="00504842"/>
    <w:rsid w:val="00504E99"/>
    <w:rsid w:val="0050589F"/>
    <w:rsid w:val="00505A04"/>
    <w:rsid w:val="0050715A"/>
    <w:rsid w:val="0051011D"/>
    <w:rsid w:val="00510BB5"/>
    <w:rsid w:val="00511EFB"/>
    <w:rsid w:val="00511FB3"/>
    <w:rsid w:val="005128F2"/>
    <w:rsid w:val="0051369E"/>
    <w:rsid w:val="005137DB"/>
    <w:rsid w:val="00515ACF"/>
    <w:rsid w:val="00515E25"/>
    <w:rsid w:val="00516351"/>
    <w:rsid w:val="00517C56"/>
    <w:rsid w:val="00517E41"/>
    <w:rsid w:val="00520D39"/>
    <w:rsid w:val="0052688F"/>
    <w:rsid w:val="005274D0"/>
    <w:rsid w:val="0052757E"/>
    <w:rsid w:val="00531164"/>
    <w:rsid w:val="00532961"/>
    <w:rsid w:val="005414EC"/>
    <w:rsid w:val="00542532"/>
    <w:rsid w:val="00542C2B"/>
    <w:rsid w:val="00544F28"/>
    <w:rsid w:val="0054545F"/>
    <w:rsid w:val="0054643C"/>
    <w:rsid w:val="00547FD6"/>
    <w:rsid w:val="005534D6"/>
    <w:rsid w:val="0055376E"/>
    <w:rsid w:val="005570C5"/>
    <w:rsid w:val="0055723C"/>
    <w:rsid w:val="00560994"/>
    <w:rsid w:val="00564B80"/>
    <w:rsid w:val="005666B2"/>
    <w:rsid w:val="0057335A"/>
    <w:rsid w:val="00577909"/>
    <w:rsid w:val="00581067"/>
    <w:rsid w:val="005815A2"/>
    <w:rsid w:val="00581747"/>
    <w:rsid w:val="005819B6"/>
    <w:rsid w:val="005822A3"/>
    <w:rsid w:val="00582F1B"/>
    <w:rsid w:val="00583B4B"/>
    <w:rsid w:val="005841F5"/>
    <w:rsid w:val="00586CEB"/>
    <w:rsid w:val="005875B4"/>
    <w:rsid w:val="00587721"/>
    <w:rsid w:val="005878AF"/>
    <w:rsid w:val="00587B6F"/>
    <w:rsid w:val="00587F0F"/>
    <w:rsid w:val="00587F1A"/>
    <w:rsid w:val="005927A1"/>
    <w:rsid w:val="00593BCE"/>
    <w:rsid w:val="005943F8"/>
    <w:rsid w:val="00594F77"/>
    <w:rsid w:val="005965DB"/>
    <w:rsid w:val="00596BD9"/>
    <w:rsid w:val="00596D24"/>
    <w:rsid w:val="005A3790"/>
    <w:rsid w:val="005A381C"/>
    <w:rsid w:val="005A45CB"/>
    <w:rsid w:val="005A56C6"/>
    <w:rsid w:val="005A6F82"/>
    <w:rsid w:val="005B0363"/>
    <w:rsid w:val="005B292D"/>
    <w:rsid w:val="005C462A"/>
    <w:rsid w:val="005C5805"/>
    <w:rsid w:val="005D1155"/>
    <w:rsid w:val="005D219D"/>
    <w:rsid w:val="005D2C7C"/>
    <w:rsid w:val="005D2E90"/>
    <w:rsid w:val="005D34C4"/>
    <w:rsid w:val="005D6278"/>
    <w:rsid w:val="005D6AF8"/>
    <w:rsid w:val="005D7F88"/>
    <w:rsid w:val="005E11DD"/>
    <w:rsid w:val="005E3958"/>
    <w:rsid w:val="005E3D75"/>
    <w:rsid w:val="005E6678"/>
    <w:rsid w:val="005E6A2C"/>
    <w:rsid w:val="005E794A"/>
    <w:rsid w:val="005E7B83"/>
    <w:rsid w:val="005E7F17"/>
    <w:rsid w:val="005F1145"/>
    <w:rsid w:val="005F1E46"/>
    <w:rsid w:val="005F4DEF"/>
    <w:rsid w:val="005F56E7"/>
    <w:rsid w:val="005F7F00"/>
    <w:rsid w:val="0060082B"/>
    <w:rsid w:val="006008F9"/>
    <w:rsid w:val="006023DA"/>
    <w:rsid w:val="00602C2D"/>
    <w:rsid w:val="0060435F"/>
    <w:rsid w:val="006046E1"/>
    <w:rsid w:val="006052EA"/>
    <w:rsid w:val="00606099"/>
    <w:rsid w:val="00606BAE"/>
    <w:rsid w:val="00611EB4"/>
    <w:rsid w:val="006146DF"/>
    <w:rsid w:val="0062099E"/>
    <w:rsid w:val="00621AAA"/>
    <w:rsid w:val="006227E4"/>
    <w:rsid w:val="00622DC5"/>
    <w:rsid w:val="006236CF"/>
    <w:rsid w:val="00623985"/>
    <w:rsid w:val="00623C89"/>
    <w:rsid w:val="0062607A"/>
    <w:rsid w:val="006273C3"/>
    <w:rsid w:val="006278E4"/>
    <w:rsid w:val="0063024A"/>
    <w:rsid w:val="00631E71"/>
    <w:rsid w:val="006336C5"/>
    <w:rsid w:val="0063576F"/>
    <w:rsid w:val="00637D38"/>
    <w:rsid w:val="00640E9E"/>
    <w:rsid w:val="00644B7F"/>
    <w:rsid w:val="00644BB7"/>
    <w:rsid w:val="00645225"/>
    <w:rsid w:val="00645D29"/>
    <w:rsid w:val="0064671A"/>
    <w:rsid w:val="00647907"/>
    <w:rsid w:val="00650670"/>
    <w:rsid w:val="00652F16"/>
    <w:rsid w:val="006554D1"/>
    <w:rsid w:val="00656CAA"/>
    <w:rsid w:val="00656EC2"/>
    <w:rsid w:val="00662D95"/>
    <w:rsid w:val="006637C8"/>
    <w:rsid w:val="00664918"/>
    <w:rsid w:val="0066696E"/>
    <w:rsid w:val="00667977"/>
    <w:rsid w:val="00667C0B"/>
    <w:rsid w:val="00667F61"/>
    <w:rsid w:val="006709A7"/>
    <w:rsid w:val="00671690"/>
    <w:rsid w:val="0067468E"/>
    <w:rsid w:val="0067550E"/>
    <w:rsid w:val="00677E02"/>
    <w:rsid w:val="006811CC"/>
    <w:rsid w:val="00683181"/>
    <w:rsid w:val="00683DB1"/>
    <w:rsid w:val="0068561D"/>
    <w:rsid w:val="006858E3"/>
    <w:rsid w:val="00686B5D"/>
    <w:rsid w:val="00686E46"/>
    <w:rsid w:val="00691BE8"/>
    <w:rsid w:val="00691E21"/>
    <w:rsid w:val="006930D7"/>
    <w:rsid w:val="00693190"/>
    <w:rsid w:val="00695AA1"/>
    <w:rsid w:val="00695E5E"/>
    <w:rsid w:val="0069664B"/>
    <w:rsid w:val="00697E56"/>
    <w:rsid w:val="006A14BC"/>
    <w:rsid w:val="006A7404"/>
    <w:rsid w:val="006B0F45"/>
    <w:rsid w:val="006B3C48"/>
    <w:rsid w:val="006B3E34"/>
    <w:rsid w:val="006B6A78"/>
    <w:rsid w:val="006C014B"/>
    <w:rsid w:val="006D059A"/>
    <w:rsid w:val="006D27AF"/>
    <w:rsid w:val="006D3E25"/>
    <w:rsid w:val="006D4F08"/>
    <w:rsid w:val="006D528E"/>
    <w:rsid w:val="006E033C"/>
    <w:rsid w:val="006E0A51"/>
    <w:rsid w:val="006E67B5"/>
    <w:rsid w:val="006E6ECE"/>
    <w:rsid w:val="006E72A6"/>
    <w:rsid w:val="006F02D4"/>
    <w:rsid w:val="006F060E"/>
    <w:rsid w:val="006F5077"/>
    <w:rsid w:val="006F6CB7"/>
    <w:rsid w:val="007000A8"/>
    <w:rsid w:val="00702A26"/>
    <w:rsid w:val="0070413B"/>
    <w:rsid w:val="007063FA"/>
    <w:rsid w:val="00706743"/>
    <w:rsid w:val="00707A3C"/>
    <w:rsid w:val="00710043"/>
    <w:rsid w:val="00710DFC"/>
    <w:rsid w:val="007114FE"/>
    <w:rsid w:val="00711977"/>
    <w:rsid w:val="00712129"/>
    <w:rsid w:val="0071223C"/>
    <w:rsid w:val="0071236D"/>
    <w:rsid w:val="00712ABA"/>
    <w:rsid w:val="0071329D"/>
    <w:rsid w:val="007135F9"/>
    <w:rsid w:val="00713DA7"/>
    <w:rsid w:val="0071407E"/>
    <w:rsid w:val="007143BD"/>
    <w:rsid w:val="00716440"/>
    <w:rsid w:val="00721BE4"/>
    <w:rsid w:val="00721D6C"/>
    <w:rsid w:val="00724FF7"/>
    <w:rsid w:val="00732A7F"/>
    <w:rsid w:val="00732AB9"/>
    <w:rsid w:val="00732DD2"/>
    <w:rsid w:val="00736A92"/>
    <w:rsid w:val="00740875"/>
    <w:rsid w:val="00741025"/>
    <w:rsid w:val="0074150B"/>
    <w:rsid w:val="00743A64"/>
    <w:rsid w:val="00743F7D"/>
    <w:rsid w:val="00744C0B"/>
    <w:rsid w:val="007457E1"/>
    <w:rsid w:val="00745A8C"/>
    <w:rsid w:val="007466B0"/>
    <w:rsid w:val="00751104"/>
    <w:rsid w:val="007526FA"/>
    <w:rsid w:val="00753E5C"/>
    <w:rsid w:val="00754494"/>
    <w:rsid w:val="00760006"/>
    <w:rsid w:val="0076069B"/>
    <w:rsid w:val="00761409"/>
    <w:rsid w:val="007614E1"/>
    <w:rsid w:val="007626C4"/>
    <w:rsid w:val="00763337"/>
    <w:rsid w:val="00763490"/>
    <w:rsid w:val="007643AB"/>
    <w:rsid w:val="00764662"/>
    <w:rsid w:val="007666C1"/>
    <w:rsid w:val="00771333"/>
    <w:rsid w:val="00772A15"/>
    <w:rsid w:val="007733B1"/>
    <w:rsid w:val="00774D01"/>
    <w:rsid w:val="00775C40"/>
    <w:rsid w:val="00780B33"/>
    <w:rsid w:val="00783D1F"/>
    <w:rsid w:val="00785972"/>
    <w:rsid w:val="00787A34"/>
    <w:rsid w:val="00787CA3"/>
    <w:rsid w:val="00792BBA"/>
    <w:rsid w:val="00795834"/>
    <w:rsid w:val="007971E6"/>
    <w:rsid w:val="007A01FD"/>
    <w:rsid w:val="007A0AE2"/>
    <w:rsid w:val="007A1685"/>
    <w:rsid w:val="007A2034"/>
    <w:rsid w:val="007A2F70"/>
    <w:rsid w:val="007A39D4"/>
    <w:rsid w:val="007A495B"/>
    <w:rsid w:val="007A59F8"/>
    <w:rsid w:val="007A704F"/>
    <w:rsid w:val="007B240F"/>
    <w:rsid w:val="007B2D71"/>
    <w:rsid w:val="007B3330"/>
    <w:rsid w:val="007B3D4D"/>
    <w:rsid w:val="007B7774"/>
    <w:rsid w:val="007B7827"/>
    <w:rsid w:val="007C183D"/>
    <w:rsid w:val="007C235B"/>
    <w:rsid w:val="007C52CF"/>
    <w:rsid w:val="007C5784"/>
    <w:rsid w:val="007C6AB3"/>
    <w:rsid w:val="007C77BC"/>
    <w:rsid w:val="007C7C8A"/>
    <w:rsid w:val="007D05A3"/>
    <w:rsid w:val="007D1825"/>
    <w:rsid w:val="007D37E2"/>
    <w:rsid w:val="007E1FEA"/>
    <w:rsid w:val="007E3515"/>
    <w:rsid w:val="007E393D"/>
    <w:rsid w:val="007E547E"/>
    <w:rsid w:val="007E75DE"/>
    <w:rsid w:val="007F00D7"/>
    <w:rsid w:val="007F0A6E"/>
    <w:rsid w:val="007F21A5"/>
    <w:rsid w:val="007F2591"/>
    <w:rsid w:val="007F31DB"/>
    <w:rsid w:val="007F4DBB"/>
    <w:rsid w:val="007F560F"/>
    <w:rsid w:val="00800740"/>
    <w:rsid w:val="00802269"/>
    <w:rsid w:val="008023B4"/>
    <w:rsid w:val="0080294C"/>
    <w:rsid w:val="00807859"/>
    <w:rsid w:val="00811882"/>
    <w:rsid w:val="00811ADB"/>
    <w:rsid w:val="00814DA6"/>
    <w:rsid w:val="008151F2"/>
    <w:rsid w:val="008161AF"/>
    <w:rsid w:val="0081628E"/>
    <w:rsid w:val="00816D96"/>
    <w:rsid w:val="00816E70"/>
    <w:rsid w:val="00817300"/>
    <w:rsid w:val="008214D6"/>
    <w:rsid w:val="00822602"/>
    <w:rsid w:val="00827508"/>
    <w:rsid w:val="00827B0A"/>
    <w:rsid w:val="00830C75"/>
    <w:rsid w:val="0083104D"/>
    <w:rsid w:val="008319A3"/>
    <w:rsid w:val="00831B49"/>
    <w:rsid w:val="00831CD9"/>
    <w:rsid w:val="008355B5"/>
    <w:rsid w:val="008363C6"/>
    <w:rsid w:val="00836A26"/>
    <w:rsid w:val="008379D7"/>
    <w:rsid w:val="00840615"/>
    <w:rsid w:val="00841C48"/>
    <w:rsid w:val="00841CCE"/>
    <w:rsid w:val="008426D4"/>
    <w:rsid w:val="0084489C"/>
    <w:rsid w:val="00846C77"/>
    <w:rsid w:val="00850C22"/>
    <w:rsid w:val="00851D1D"/>
    <w:rsid w:val="00853EB2"/>
    <w:rsid w:val="008549C2"/>
    <w:rsid w:val="0085544B"/>
    <w:rsid w:val="00856025"/>
    <w:rsid w:val="008570F0"/>
    <w:rsid w:val="00857BA9"/>
    <w:rsid w:val="008625BC"/>
    <w:rsid w:val="00863BF4"/>
    <w:rsid w:val="008644D1"/>
    <w:rsid w:val="008649E0"/>
    <w:rsid w:val="00870C67"/>
    <w:rsid w:val="008710BD"/>
    <w:rsid w:val="008729EB"/>
    <w:rsid w:val="008731BC"/>
    <w:rsid w:val="008749C4"/>
    <w:rsid w:val="00875341"/>
    <w:rsid w:val="00875FCF"/>
    <w:rsid w:val="00876616"/>
    <w:rsid w:val="00877125"/>
    <w:rsid w:val="00882FCE"/>
    <w:rsid w:val="008846D1"/>
    <w:rsid w:val="00887216"/>
    <w:rsid w:val="00890E6D"/>
    <w:rsid w:val="00890FFD"/>
    <w:rsid w:val="00893F9C"/>
    <w:rsid w:val="008978CF"/>
    <w:rsid w:val="008A221B"/>
    <w:rsid w:val="008A4B2C"/>
    <w:rsid w:val="008A6A8C"/>
    <w:rsid w:val="008A6D1F"/>
    <w:rsid w:val="008A7FFB"/>
    <w:rsid w:val="008B011C"/>
    <w:rsid w:val="008B1239"/>
    <w:rsid w:val="008B15D9"/>
    <w:rsid w:val="008B5EA3"/>
    <w:rsid w:val="008B5FA3"/>
    <w:rsid w:val="008B6E78"/>
    <w:rsid w:val="008C0C35"/>
    <w:rsid w:val="008C15BC"/>
    <w:rsid w:val="008C37B8"/>
    <w:rsid w:val="008C5969"/>
    <w:rsid w:val="008C675E"/>
    <w:rsid w:val="008C68B5"/>
    <w:rsid w:val="008C786C"/>
    <w:rsid w:val="008D052C"/>
    <w:rsid w:val="008D0750"/>
    <w:rsid w:val="008D118E"/>
    <w:rsid w:val="008D1A3C"/>
    <w:rsid w:val="008D2BD9"/>
    <w:rsid w:val="008D310A"/>
    <w:rsid w:val="008D3EF2"/>
    <w:rsid w:val="008D4312"/>
    <w:rsid w:val="008D540B"/>
    <w:rsid w:val="008D650C"/>
    <w:rsid w:val="008E1B88"/>
    <w:rsid w:val="008E31DD"/>
    <w:rsid w:val="008E4003"/>
    <w:rsid w:val="008E4C0E"/>
    <w:rsid w:val="008E4C24"/>
    <w:rsid w:val="008F35D7"/>
    <w:rsid w:val="008F3AEE"/>
    <w:rsid w:val="008F6925"/>
    <w:rsid w:val="008F72BB"/>
    <w:rsid w:val="008F7510"/>
    <w:rsid w:val="008F7C30"/>
    <w:rsid w:val="008F7F1C"/>
    <w:rsid w:val="0090262C"/>
    <w:rsid w:val="00903903"/>
    <w:rsid w:val="00903D2C"/>
    <w:rsid w:val="00904E2C"/>
    <w:rsid w:val="00905C8E"/>
    <w:rsid w:val="00910D7F"/>
    <w:rsid w:val="009114CD"/>
    <w:rsid w:val="00912E48"/>
    <w:rsid w:val="00916A05"/>
    <w:rsid w:val="009207DF"/>
    <w:rsid w:val="0092113B"/>
    <w:rsid w:val="00922B58"/>
    <w:rsid w:val="00923A11"/>
    <w:rsid w:val="009241A5"/>
    <w:rsid w:val="00925A53"/>
    <w:rsid w:val="00925AFF"/>
    <w:rsid w:val="0092778A"/>
    <w:rsid w:val="00932877"/>
    <w:rsid w:val="00936167"/>
    <w:rsid w:val="00936ADF"/>
    <w:rsid w:val="00937463"/>
    <w:rsid w:val="0093747F"/>
    <w:rsid w:val="00940F2D"/>
    <w:rsid w:val="00941442"/>
    <w:rsid w:val="009414C6"/>
    <w:rsid w:val="00941AEE"/>
    <w:rsid w:val="00941E23"/>
    <w:rsid w:val="00943410"/>
    <w:rsid w:val="00943667"/>
    <w:rsid w:val="0094413D"/>
    <w:rsid w:val="00950E46"/>
    <w:rsid w:val="00951E98"/>
    <w:rsid w:val="00953966"/>
    <w:rsid w:val="00953A89"/>
    <w:rsid w:val="009542CF"/>
    <w:rsid w:val="0095464B"/>
    <w:rsid w:val="00960547"/>
    <w:rsid w:val="00962580"/>
    <w:rsid w:val="00963B4A"/>
    <w:rsid w:val="00964392"/>
    <w:rsid w:val="00970E9E"/>
    <w:rsid w:val="0097425B"/>
    <w:rsid w:val="00975F50"/>
    <w:rsid w:val="0097692D"/>
    <w:rsid w:val="00977346"/>
    <w:rsid w:val="00977733"/>
    <w:rsid w:val="00977841"/>
    <w:rsid w:val="00980504"/>
    <w:rsid w:val="00981071"/>
    <w:rsid w:val="0098128B"/>
    <w:rsid w:val="009813B6"/>
    <w:rsid w:val="00982BF2"/>
    <w:rsid w:val="00983F46"/>
    <w:rsid w:val="00984573"/>
    <w:rsid w:val="00991BA2"/>
    <w:rsid w:val="009929F4"/>
    <w:rsid w:val="00992A59"/>
    <w:rsid w:val="00992D55"/>
    <w:rsid w:val="009A0212"/>
    <w:rsid w:val="009A0590"/>
    <w:rsid w:val="009A0B3C"/>
    <w:rsid w:val="009A0BD6"/>
    <w:rsid w:val="009A3A98"/>
    <w:rsid w:val="009A3F0B"/>
    <w:rsid w:val="009A47DB"/>
    <w:rsid w:val="009A54A8"/>
    <w:rsid w:val="009A62F5"/>
    <w:rsid w:val="009A63A9"/>
    <w:rsid w:val="009A786A"/>
    <w:rsid w:val="009B0B81"/>
    <w:rsid w:val="009B15FF"/>
    <w:rsid w:val="009B50A2"/>
    <w:rsid w:val="009B58DD"/>
    <w:rsid w:val="009B7486"/>
    <w:rsid w:val="009C1962"/>
    <w:rsid w:val="009C7045"/>
    <w:rsid w:val="009D03E6"/>
    <w:rsid w:val="009D0985"/>
    <w:rsid w:val="009D15C8"/>
    <w:rsid w:val="009D2F6F"/>
    <w:rsid w:val="009D35D6"/>
    <w:rsid w:val="009D4851"/>
    <w:rsid w:val="009D69C7"/>
    <w:rsid w:val="009E410A"/>
    <w:rsid w:val="009E43B3"/>
    <w:rsid w:val="009E67E8"/>
    <w:rsid w:val="009E6A06"/>
    <w:rsid w:val="009F3573"/>
    <w:rsid w:val="009F3615"/>
    <w:rsid w:val="009F502F"/>
    <w:rsid w:val="009F60F5"/>
    <w:rsid w:val="009F6682"/>
    <w:rsid w:val="00A005BA"/>
    <w:rsid w:val="00A03089"/>
    <w:rsid w:val="00A0495C"/>
    <w:rsid w:val="00A06A88"/>
    <w:rsid w:val="00A06CC1"/>
    <w:rsid w:val="00A06DC8"/>
    <w:rsid w:val="00A1347F"/>
    <w:rsid w:val="00A14A50"/>
    <w:rsid w:val="00A151AF"/>
    <w:rsid w:val="00A15700"/>
    <w:rsid w:val="00A157B8"/>
    <w:rsid w:val="00A175CC"/>
    <w:rsid w:val="00A220D8"/>
    <w:rsid w:val="00A2275B"/>
    <w:rsid w:val="00A22E56"/>
    <w:rsid w:val="00A23FE0"/>
    <w:rsid w:val="00A24482"/>
    <w:rsid w:val="00A24F30"/>
    <w:rsid w:val="00A2715C"/>
    <w:rsid w:val="00A326FD"/>
    <w:rsid w:val="00A332F5"/>
    <w:rsid w:val="00A33D33"/>
    <w:rsid w:val="00A3503B"/>
    <w:rsid w:val="00A3551F"/>
    <w:rsid w:val="00A3575C"/>
    <w:rsid w:val="00A35DD6"/>
    <w:rsid w:val="00A3631D"/>
    <w:rsid w:val="00A366E0"/>
    <w:rsid w:val="00A448C7"/>
    <w:rsid w:val="00A459F4"/>
    <w:rsid w:val="00A45C69"/>
    <w:rsid w:val="00A508B5"/>
    <w:rsid w:val="00A50E82"/>
    <w:rsid w:val="00A53449"/>
    <w:rsid w:val="00A60B6B"/>
    <w:rsid w:val="00A60C2C"/>
    <w:rsid w:val="00A62C07"/>
    <w:rsid w:val="00A63061"/>
    <w:rsid w:val="00A63374"/>
    <w:rsid w:val="00A6377C"/>
    <w:rsid w:val="00A657E5"/>
    <w:rsid w:val="00A65DCC"/>
    <w:rsid w:val="00A67365"/>
    <w:rsid w:val="00A708EC"/>
    <w:rsid w:val="00A72DEA"/>
    <w:rsid w:val="00A73A2F"/>
    <w:rsid w:val="00A74847"/>
    <w:rsid w:val="00A7591E"/>
    <w:rsid w:val="00A7674F"/>
    <w:rsid w:val="00A77333"/>
    <w:rsid w:val="00A77DEE"/>
    <w:rsid w:val="00A81F06"/>
    <w:rsid w:val="00A83AFE"/>
    <w:rsid w:val="00A852BA"/>
    <w:rsid w:val="00A859D0"/>
    <w:rsid w:val="00A8638B"/>
    <w:rsid w:val="00A87DB7"/>
    <w:rsid w:val="00A90ACE"/>
    <w:rsid w:val="00A911DD"/>
    <w:rsid w:val="00A91EDE"/>
    <w:rsid w:val="00A92F6F"/>
    <w:rsid w:val="00A94366"/>
    <w:rsid w:val="00A94570"/>
    <w:rsid w:val="00A95276"/>
    <w:rsid w:val="00AA0410"/>
    <w:rsid w:val="00AA0598"/>
    <w:rsid w:val="00AA16D1"/>
    <w:rsid w:val="00AA2781"/>
    <w:rsid w:val="00AA3A62"/>
    <w:rsid w:val="00AA63F1"/>
    <w:rsid w:val="00AB0908"/>
    <w:rsid w:val="00AB1EFB"/>
    <w:rsid w:val="00AB2F3E"/>
    <w:rsid w:val="00AB6493"/>
    <w:rsid w:val="00AC0455"/>
    <w:rsid w:val="00AC18B5"/>
    <w:rsid w:val="00AC2438"/>
    <w:rsid w:val="00AC54E6"/>
    <w:rsid w:val="00AC60D1"/>
    <w:rsid w:val="00AC714B"/>
    <w:rsid w:val="00AD0D3E"/>
    <w:rsid w:val="00AD17E3"/>
    <w:rsid w:val="00AD2824"/>
    <w:rsid w:val="00AD78C9"/>
    <w:rsid w:val="00AE0F54"/>
    <w:rsid w:val="00AE25C4"/>
    <w:rsid w:val="00AE3986"/>
    <w:rsid w:val="00AE651E"/>
    <w:rsid w:val="00AE7A23"/>
    <w:rsid w:val="00AF168E"/>
    <w:rsid w:val="00AF55C9"/>
    <w:rsid w:val="00AF644E"/>
    <w:rsid w:val="00AF6A8F"/>
    <w:rsid w:val="00B008A4"/>
    <w:rsid w:val="00B01988"/>
    <w:rsid w:val="00B0283F"/>
    <w:rsid w:val="00B03452"/>
    <w:rsid w:val="00B05232"/>
    <w:rsid w:val="00B05E21"/>
    <w:rsid w:val="00B06EB7"/>
    <w:rsid w:val="00B0709D"/>
    <w:rsid w:val="00B11749"/>
    <w:rsid w:val="00B15E0B"/>
    <w:rsid w:val="00B16C84"/>
    <w:rsid w:val="00B16DB3"/>
    <w:rsid w:val="00B17189"/>
    <w:rsid w:val="00B176F5"/>
    <w:rsid w:val="00B17F30"/>
    <w:rsid w:val="00B2207B"/>
    <w:rsid w:val="00B22A34"/>
    <w:rsid w:val="00B25E06"/>
    <w:rsid w:val="00B2773D"/>
    <w:rsid w:val="00B27BB7"/>
    <w:rsid w:val="00B31132"/>
    <w:rsid w:val="00B319CD"/>
    <w:rsid w:val="00B34DC9"/>
    <w:rsid w:val="00B35EFC"/>
    <w:rsid w:val="00B36C7C"/>
    <w:rsid w:val="00B37D35"/>
    <w:rsid w:val="00B37D51"/>
    <w:rsid w:val="00B4043D"/>
    <w:rsid w:val="00B4082A"/>
    <w:rsid w:val="00B44C31"/>
    <w:rsid w:val="00B4544A"/>
    <w:rsid w:val="00B46525"/>
    <w:rsid w:val="00B5021C"/>
    <w:rsid w:val="00B5029C"/>
    <w:rsid w:val="00B5050C"/>
    <w:rsid w:val="00B521E2"/>
    <w:rsid w:val="00B53AE1"/>
    <w:rsid w:val="00B56382"/>
    <w:rsid w:val="00B56FDF"/>
    <w:rsid w:val="00B57300"/>
    <w:rsid w:val="00B6031C"/>
    <w:rsid w:val="00B6283F"/>
    <w:rsid w:val="00B62A1C"/>
    <w:rsid w:val="00B62B4B"/>
    <w:rsid w:val="00B62F3E"/>
    <w:rsid w:val="00B62FA1"/>
    <w:rsid w:val="00B65904"/>
    <w:rsid w:val="00B66A9B"/>
    <w:rsid w:val="00B70A62"/>
    <w:rsid w:val="00B72086"/>
    <w:rsid w:val="00B741DB"/>
    <w:rsid w:val="00B75006"/>
    <w:rsid w:val="00B80142"/>
    <w:rsid w:val="00B810D3"/>
    <w:rsid w:val="00B8228F"/>
    <w:rsid w:val="00B832F9"/>
    <w:rsid w:val="00B83910"/>
    <w:rsid w:val="00B8508F"/>
    <w:rsid w:val="00B8520F"/>
    <w:rsid w:val="00B8524B"/>
    <w:rsid w:val="00B858FD"/>
    <w:rsid w:val="00B924DD"/>
    <w:rsid w:val="00B9364D"/>
    <w:rsid w:val="00B938F1"/>
    <w:rsid w:val="00B93B11"/>
    <w:rsid w:val="00B93C97"/>
    <w:rsid w:val="00B94694"/>
    <w:rsid w:val="00B96F5B"/>
    <w:rsid w:val="00B979D8"/>
    <w:rsid w:val="00BA00D2"/>
    <w:rsid w:val="00BA085A"/>
    <w:rsid w:val="00BA2469"/>
    <w:rsid w:val="00BA38EC"/>
    <w:rsid w:val="00BA3D14"/>
    <w:rsid w:val="00BA3FD8"/>
    <w:rsid w:val="00BA4619"/>
    <w:rsid w:val="00BA4F2D"/>
    <w:rsid w:val="00BA60C1"/>
    <w:rsid w:val="00BA6563"/>
    <w:rsid w:val="00BB1D7D"/>
    <w:rsid w:val="00BB3C7A"/>
    <w:rsid w:val="00BB4FFA"/>
    <w:rsid w:val="00BB5CF2"/>
    <w:rsid w:val="00BB67EF"/>
    <w:rsid w:val="00BB6DE7"/>
    <w:rsid w:val="00BC0027"/>
    <w:rsid w:val="00BC3CF9"/>
    <w:rsid w:val="00BC5C78"/>
    <w:rsid w:val="00BC6353"/>
    <w:rsid w:val="00BC6CA4"/>
    <w:rsid w:val="00BD0E73"/>
    <w:rsid w:val="00BD1565"/>
    <w:rsid w:val="00BD3DBC"/>
    <w:rsid w:val="00BD41FF"/>
    <w:rsid w:val="00BD6046"/>
    <w:rsid w:val="00BD6927"/>
    <w:rsid w:val="00BD7449"/>
    <w:rsid w:val="00BE179F"/>
    <w:rsid w:val="00BE1E09"/>
    <w:rsid w:val="00BE2DDA"/>
    <w:rsid w:val="00BE312A"/>
    <w:rsid w:val="00BE4501"/>
    <w:rsid w:val="00BE548B"/>
    <w:rsid w:val="00BF1D7E"/>
    <w:rsid w:val="00BF217F"/>
    <w:rsid w:val="00BF2591"/>
    <w:rsid w:val="00BF5FB0"/>
    <w:rsid w:val="00BF5FBE"/>
    <w:rsid w:val="00BF6F58"/>
    <w:rsid w:val="00BF764E"/>
    <w:rsid w:val="00C00C17"/>
    <w:rsid w:val="00C01AA2"/>
    <w:rsid w:val="00C038D3"/>
    <w:rsid w:val="00C03F61"/>
    <w:rsid w:val="00C04496"/>
    <w:rsid w:val="00C048BE"/>
    <w:rsid w:val="00C1213D"/>
    <w:rsid w:val="00C12B93"/>
    <w:rsid w:val="00C13E0E"/>
    <w:rsid w:val="00C13EB4"/>
    <w:rsid w:val="00C146F2"/>
    <w:rsid w:val="00C14BD6"/>
    <w:rsid w:val="00C16397"/>
    <w:rsid w:val="00C177D5"/>
    <w:rsid w:val="00C20405"/>
    <w:rsid w:val="00C20A06"/>
    <w:rsid w:val="00C2200E"/>
    <w:rsid w:val="00C2355E"/>
    <w:rsid w:val="00C235D0"/>
    <w:rsid w:val="00C237C4"/>
    <w:rsid w:val="00C24D07"/>
    <w:rsid w:val="00C303B6"/>
    <w:rsid w:val="00C305CF"/>
    <w:rsid w:val="00C31908"/>
    <w:rsid w:val="00C31BB6"/>
    <w:rsid w:val="00C3468B"/>
    <w:rsid w:val="00C3555C"/>
    <w:rsid w:val="00C361FA"/>
    <w:rsid w:val="00C41387"/>
    <w:rsid w:val="00C43D8F"/>
    <w:rsid w:val="00C43E05"/>
    <w:rsid w:val="00C5113D"/>
    <w:rsid w:val="00C5156F"/>
    <w:rsid w:val="00C51DBA"/>
    <w:rsid w:val="00C5555F"/>
    <w:rsid w:val="00C56795"/>
    <w:rsid w:val="00C6462C"/>
    <w:rsid w:val="00C677CE"/>
    <w:rsid w:val="00C72C04"/>
    <w:rsid w:val="00C730AD"/>
    <w:rsid w:val="00C73394"/>
    <w:rsid w:val="00C74462"/>
    <w:rsid w:val="00C74DB6"/>
    <w:rsid w:val="00C77556"/>
    <w:rsid w:val="00C820F1"/>
    <w:rsid w:val="00C833A7"/>
    <w:rsid w:val="00C84167"/>
    <w:rsid w:val="00C84862"/>
    <w:rsid w:val="00C84B35"/>
    <w:rsid w:val="00C86F2C"/>
    <w:rsid w:val="00C904E4"/>
    <w:rsid w:val="00C91AD6"/>
    <w:rsid w:val="00C91DFD"/>
    <w:rsid w:val="00C92D75"/>
    <w:rsid w:val="00C93A0F"/>
    <w:rsid w:val="00C95499"/>
    <w:rsid w:val="00C97640"/>
    <w:rsid w:val="00CA0947"/>
    <w:rsid w:val="00CA0DC8"/>
    <w:rsid w:val="00CA188A"/>
    <w:rsid w:val="00CA211B"/>
    <w:rsid w:val="00CA5301"/>
    <w:rsid w:val="00CA6482"/>
    <w:rsid w:val="00CB36B5"/>
    <w:rsid w:val="00CB426D"/>
    <w:rsid w:val="00CB6C2A"/>
    <w:rsid w:val="00CC1672"/>
    <w:rsid w:val="00CC3A15"/>
    <w:rsid w:val="00CC5466"/>
    <w:rsid w:val="00CC590E"/>
    <w:rsid w:val="00CC61F9"/>
    <w:rsid w:val="00CC620C"/>
    <w:rsid w:val="00CD0669"/>
    <w:rsid w:val="00CD2984"/>
    <w:rsid w:val="00CD748A"/>
    <w:rsid w:val="00CE2B7D"/>
    <w:rsid w:val="00CE49C4"/>
    <w:rsid w:val="00CE4C5B"/>
    <w:rsid w:val="00CE50D8"/>
    <w:rsid w:val="00CE7652"/>
    <w:rsid w:val="00CE7AD7"/>
    <w:rsid w:val="00CF0AEC"/>
    <w:rsid w:val="00CF31AF"/>
    <w:rsid w:val="00CF5943"/>
    <w:rsid w:val="00D0023B"/>
    <w:rsid w:val="00D006A1"/>
    <w:rsid w:val="00D006BB"/>
    <w:rsid w:val="00D02055"/>
    <w:rsid w:val="00D02306"/>
    <w:rsid w:val="00D04C1D"/>
    <w:rsid w:val="00D075BC"/>
    <w:rsid w:val="00D11C5C"/>
    <w:rsid w:val="00D1702E"/>
    <w:rsid w:val="00D23718"/>
    <w:rsid w:val="00D24AD3"/>
    <w:rsid w:val="00D25FF7"/>
    <w:rsid w:val="00D26B34"/>
    <w:rsid w:val="00D26F2A"/>
    <w:rsid w:val="00D309A2"/>
    <w:rsid w:val="00D332ED"/>
    <w:rsid w:val="00D339B6"/>
    <w:rsid w:val="00D35808"/>
    <w:rsid w:val="00D376BA"/>
    <w:rsid w:val="00D376E8"/>
    <w:rsid w:val="00D41927"/>
    <w:rsid w:val="00D41B1C"/>
    <w:rsid w:val="00D42020"/>
    <w:rsid w:val="00D440F7"/>
    <w:rsid w:val="00D4417E"/>
    <w:rsid w:val="00D46EAA"/>
    <w:rsid w:val="00D47037"/>
    <w:rsid w:val="00D5025E"/>
    <w:rsid w:val="00D50DB4"/>
    <w:rsid w:val="00D517C8"/>
    <w:rsid w:val="00D51A91"/>
    <w:rsid w:val="00D520BD"/>
    <w:rsid w:val="00D5513B"/>
    <w:rsid w:val="00D55EED"/>
    <w:rsid w:val="00D6075D"/>
    <w:rsid w:val="00D629B1"/>
    <w:rsid w:val="00D70AE5"/>
    <w:rsid w:val="00D74A99"/>
    <w:rsid w:val="00D75729"/>
    <w:rsid w:val="00D762D0"/>
    <w:rsid w:val="00D77F12"/>
    <w:rsid w:val="00D83665"/>
    <w:rsid w:val="00D8641E"/>
    <w:rsid w:val="00D87FE7"/>
    <w:rsid w:val="00D91DFC"/>
    <w:rsid w:val="00D91E48"/>
    <w:rsid w:val="00D92487"/>
    <w:rsid w:val="00D92CDF"/>
    <w:rsid w:val="00D92ECA"/>
    <w:rsid w:val="00D95545"/>
    <w:rsid w:val="00D96116"/>
    <w:rsid w:val="00DA3684"/>
    <w:rsid w:val="00DA3C96"/>
    <w:rsid w:val="00DA4C3B"/>
    <w:rsid w:val="00DA5861"/>
    <w:rsid w:val="00DA71C4"/>
    <w:rsid w:val="00DA7649"/>
    <w:rsid w:val="00DB02AF"/>
    <w:rsid w:val="00DB0CB1"/>
    <w:rsid w:val="00DB19B6"/>
    <w:rsid w:val="00DB4041"/>
    <w:rsid w:val="00DB79B5"/>
    <w:rsid w:val="00DC0AF4"/>
    <w:rsid w:val="00DC1985"/>
    <w:rsid w:val="00DC1BC5"/>
    <w:rsid w:val="00DC1BDC"/>
    <w:rsid w:val="00DC3BDD"/>
    <w:rsid w:val="00DC3D95"/>
    <w:rsid w:val="00DC4C7D"/>
    <w:rsid w:val="00DD5F4B"/>
    <w:rsid w:val="00DE1826"/>
    <w:rsid w:val="00DE28C9"/>
    <w:rsid w:val="00DE3257"/>
    <w:rsid w:val="00DE512C"/>
    <w:rsid w:val="00DE5A02"/>
    <w:rsid w:val="00DE5C65"/>
    <w:rsid w:val="00DE683B"/>
    <w:rsid w:val="00DF1447"/>
    <w:rsid w:val="00DF214D"/>
    <w:rsid w:val="00DF2D89"/>
    <w:rsid w:val="00DF478F"/>
    <w:rsid w:val="00DF5B42"/>
    <w:rsid w:val="00E029FB"/>
    <w:rsid w:val="00E03D92"/>
    <w:rsid w:val="00E04494"/>
    <w:rsid w:val="00E045A8"/>
    <w:rsid w:val="00E04B05"/>
    <w:rsid w:val="00E06484"/>
    <w:rsid w:val="00E1525F"/>
    <w:rsid w:val="00E16DE6"/>
    <w:rsid w:val="00E17677"/>
    <w:rsid w:val="00E177D7"/>
    <w:rsid w:val="00E2151A"/>
    <w:rsid w:val="00E2248D"/>
    <w:rsid w:val="00E23D16"/>
    <w:rsid w:val="00E24063"/>
    <w:rsid w:val="00E25CF5"/>
    <w:rsid w:val="00E271C5"/>
    <w:rsid w:val="00E27A5F"/>
    <w:rsid w:val="00E3114D"/>
    <w:rsid w:val="00E31B95"/>
    <w:rsid w:val="00E33449"/>
    <w:rsid w:val="00E34621"/>
    <w:rsid w:val="00E34DC0"/>
    <w:rsid w:val="00E3544A"/>
    <w:rsid w:val="00E401EB"/>
    <w:rsid w:val="00E4078B"/>
    <w:rsid w:val="00E40E77"/>
    <w:rsid w:val="00E437A3"/>
    <w:rsid w:val="00E447CA"/>
    <w:rsid w:val="00E44CF9"/>
    <w:rsid w:val="00E46CA4"/>
    <w:rsid w:val="00E47351"/>
    <w:rsid w:val="00E47422"/>
    <w:rsid w:val="00E47C92"/>
    <w:rsid w:val="00E47D84"/>
    <w:rsid w:val="00E5081B"/>
    <w:rsid w:val="00E52B00"/>
    <w:rsid w:val="00E5556A"/>
    <w:rsid w:val="00E55CFE"/>
    <w:rsid w:val="00E57560"/>
    <w:rsid w:val="00E6219B"/>
    <w:rsid w:val="00E629AF"/>
    <w:rsid w:val="00E632AA"/>
    <w:rsid w:val="00E648F1"/>
    <w:rsid w:val="00E67237"/>
    <w:rsid w:val="00E6777D"/>
    <w:rsid w:val="00E705A7"/>
    <w:rsid w:val="00E71890"/>
    <w:rsid w:val="00E73914"/>
    <w:rsid w:val="00E7403D"/>
    <w:rsid w:val="00E74052"/>
    <w:rsid w:val="00E753E1"/>
    <w:rsid w:val="00E762EA"/>
    <w:rsid w:val="00E77DF9"/>
    <w:rsid w:val="00E77E42"/>
    <w:rsid w:val="00E8023E"/>
    <w:rsid w:val="00E80E2C"/>
    <w:rsid w:val="00E81145"/>
    <w:rsid w:val="00E81A53"/>
    <w:rsid w:val="00E83FC3"/>
    <w:rsid w:val="00E86D9D"/>
    <w:rsid w:val="00E8753E"/>
    <w:rsid w:val="00E87A7B"/>
    <w:rsid w:val="00E87C9E"/>
    <w:rsid w:val="00E90484"/>
    <w:rsid w:val="00E9079E"/>
    <w:rsid w:val="00E909F1"/>
    <w:rsid w:val="00E92EEE"/>
    <w:rsid w:val="00E933CC"/>
    <w:rsid w:val="00E93EF2"/>
    <w:rsid w:val="00E946E9"/>
    <w:rsid w:val="00E953B2"/>
    <w:rsid w:val="00E971AD"/>
    <w:rsid w:val="00E974D9"/>
    <w:rsid w:val="00EA24C1"/>
    <w:rsid w:val="00EA31FF"/>
    <w:rsid w:val="00EA347D"/>
    <w:rsid w:val="00EA35AE"/>
    <w:rsid w:val="00EA6D24"/>
    <w:rsid w:val="00EA7CC1"/>
    <w:rsid w:val="00EB4AC2"/>
    <w:rsid w:val="00EB5A4A"/>
    <w:rsid w:val="00EB7D87"/>
    <w:rsid w:val="00EC39EE"/>
    <w:rsid w:val="00EC3E7A"/>
    <w:rsid w:val="00EC40EA"/>
    <w:rsid w:val="00EC4346"/>
    <w:rsid w:val="00EC47F6"/>
    <w:rsid w:val="00EC5321"/>
    <w:rsid w:val="00ED458D"/>
    <w:rsid w:val="00EE0B0F"/>
    <w:rsid w:val="00EE13F0"/>
    <w:rsid w:val="00EE1606"/>
    <w:rsid w:val="00EE20A9"/>
    <w:rsid w:val="00EE4485"/>
    <w:rsid w:val="00EF10F5"/>
    <w:rsid w:val="00EF181F"/>
    <w:rsid w:val="00EF2338"/>
    <w:rsid w:val="00EF3F74"/>
    <w:rsid w:val="00EF3FA3"/>
    <w:rsid w:val="00EF5482"/>
    <w:rsid w:val="00EF7AD4"/>
    <w:rsid w:val="00F0427D"/>
    <w:rsid w:val="00F0537F"/>
    <w:rsid w:val="00F057FC"/>
    <w:rsid w:val="00F072FC"/>
    <w:rsid w:val="00F1503D"/>
    <w:rsid w:val="00F15F96"/>
    <w:rsid w:val="00F20883"/>
    <w:rsid w:val="00F20AAD"/>
    <w:rsid w:val="00F27C6B"/>
    <w:rsid w:val="00F27CF5"/>
    <w:rsid w:val="00F313C6"/>
    <w:rsid w:val="00F323BE"/>
    <w:rsid w:val="00F33A28"/>
    <w:rsid w:val="00F35366"/>
    <w:rsid w:val="00F3561E"/>
    <w:rsid w:val="00F37B91"/>
    <w:rsid w:val="00F40C08"/>
    <w:rsid w:val="00F4166B"/>
    <w:rsid w:val="00F41AD7"/>
    <w:rsid w:val="00F44071"/>
    <w:rsid w:val="00F44B80"/>
    <w:rsid w:val="00F460E6"/>
    <w:rsid w:val="00F46201"/>
    <w:rsid w:val="00F4796B"/>
    <w:rsid w:val="00F5004D"/>
    <w:rsid w:val="00F50318"/>
    <w:rsid w:val="00F600D6"/>
    <w:rsid w:val="00F62286"/>
    <w:rsid w:val="00F64624"/>
    <w:rsid w:val="00F656F3"/>
    <w:rsid w:val="00F6686D"/>
    <w:rsid w:val="00F66D8F"/>
    <w:rsid w:val="00F70B3A"/>
    <w:rsid w:val="00F737DF"/>
    <w:rsid w:val="00F759AE"/>
    <w:rsid w:val="00F76139"/>
    <w:rsid w:val="00F77E9F"/>
    <w:rsid w:val="00F83A55"/>
    <w:rsid w:val="00F86154"/>
    <w:rsid w:val="00F94092"/>
    <w:rsid w:val="00F969F9"/>
    <w:rsid w:val="00FA1048"/>
    <w:rsid w:val="00FA4F1D"/>
    <w:rsid w:val="00FA53B1"/>
    <w:rsid w:val="00FB3E5B"/>
    <w:rsid w:val="00FB4BB9"/>
    <w:rsid w:val="00FB4EF5"/>
    <w:rsid w:val="00FB5681"/>
    <w:rsid w:val="00FB718E"/>
    <w:rsid w:val="00FB7321"/>
    <w:rsid w:val="00FB7981"/>
    <w:rsid w:val="00FB7C78"/>
    <w:rsid w:val="00FC0232"/>
    <w:rsid w:val="00FC1CE4"/>
    <w:rsid w:val="00FC2871"/>
    <w:rsid w:val="00FC47BB"/>
    <w:rsid w:val="00FC4A76"/>
    <w:rsid w:val="00FC4E42"/>
    <w:rsid w:val="00FC4F43"/>
    <w:rsid w:val="00FC53DF"/>
    <w:rsid w:val="00FC5C60"/>
    <w:rsid w:val="00FC7970"/>
    <w:rsid w:val="00FD0043"/>
    <w:rsid w:val="00FD0E5F"/>
    <w:rsid w:val="00FD1D91"/>
    <w:rsid w:val="00FD3A82"/>
    <w:rsid w:val="00FD5919"/>
    <w:rsid w:val="00FD6A6F"/>
    <w:rsid w:val="00FD6C38"/>
    <w:rsid w:val="00FE0A81"/>
    <w:rsid w:val="00FE2D76"/>
    <w:rsid w:val="00FE5615"/>
    <w:rsid w:val="00FE5859"/>
    <w:rsid w:val="00FE77F5"/>
    <w:rsid w:val="00FF274D"/>
    <w:rsid w:val="00FF3A1E"/>
    <w:rsid w:val="00FF6C71"/>
    <w:rsid w:val="00FF79C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0D2"/>
    <w:rPr>
      <w:sz w:val="24"/>
      <w:szCs w:val="24"/>
    </w:rPr>
  </w:style>
  <w:style w:type="paragraph" w:styleId="Heading1">
    <w:name w:val="heading 1"/>
    <w:basedOn w:val="Normal"/>
    <w:next w:val="Normal"/>
    <w:qFormat/>
    <w:rsid w:val="009B58DD"/>
    <w:pPr>
      <w:widowControl w:val="0"/>
      <w:autoSpaceDE w:val="0"/>
      <w:autoSpaceDN w:val="0"/>
      <w:adjustRightInd w:val="0"/>
      <w:outlineLvl w:val="0"/>
    </w:pPr>
  </w:style>
  <w:style w:type="paragraph" w:styleId="Heading2">
    <w:name w:val="heading 2"/>
    <w:basedOn w:val="Normal"/>
    <w:next w:val="Normal"/>
    <w:qFormat/>
    <w:rsid w:val="009B58D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9B58DD"/>
    <w:pPr>
      <w:keepNext/>
      <w:numPr>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9B58DD"/>
    <w:pPr>
      <w:keepNext/>
      <w:numPr>
        <w:ilvl w:val="3"/>
        <w:numId w:val="1"/>
      </w:numPr>
      <w:spacing w:before="240" w:after="60"/>
      <w:outlineLvl w:val="3"/>
    </w:pPr>
    <w:rPr>
      <w:b/>
      <w:bCs/>
      <w:sz w:val="28"/>
      <w:szCs w:val="28"/>
    </w:rPr>
  </w:style>
  <w:style w:type="paragraph" w:styleId="Heading5">
    <w:name w:val="heading 5"/>
    <w:basedOn w:val="Normal"/>
    <w:next w:val="Normal"/>
    <w:qFormat/>
    <w:rsid w:val="009B58DD"/>
    <w:pPr>
      <w:numPr>
        <w:ilvl w:val="4"/>
        <w:numId w:val="1"/>
      </w:numPr>
      <w:spacing w:before="240" w:after="60"/>
      <w:outlineLvl w:val="4"/>
    </w:pPr>
    <w:rPr>
      <w:b/>
      <w:bCs/>
      <w:i/>
      <w:iCs/>
      <w:sz w:val="26"/>
      <w:szCs w:val="26"/>
    </w:rPr>
  </w:style>
  <w:style w:type="paragraph" w:styleId="Heading6">
    <w:name w:val="heading 6"/>
    <w:basedOn w:val="Normal"/>
    <w:next w:val="Normal"/>
    <w:qFormat/>
    <w:rsid w:val="009B58DD"/>
    <w:pPr>
      <w:numPr>
        <w:ilvl w:val="5"/>
        <w:numId w:val="1"/>
      </w:numPr>
      <w:spacing w:before="240" w:after="60"/>
      <w:outlineLvl w:val="5"/>
    </w:pPr>
    <w:rPr>
      <w:b/>
      <w:bCs/>
      <w:sz w:val="22"/>
      <w:szCs w:val="22"/>
    </w:rPr>
  </w:style>
  <w:style w:type="paragraph" w:styleId="Heading7">
    <w:name w:val="heading 7"/>
    <w:basedOn w:val="Normal"/>
    <w:next w:val="Normal"/>
    <w:qFormat/>
    <w:rsid w:val="009B58DD"/>
    <w:pPr>
      <w:numPr>
        <w:ilvl w:val="6"/>
        <w:numId w:val="1"/>
      </w:numPr>
      <w:spacing w:before="240" w:after="60"/>
      <w:outlineLvl w:val="6"/>
    </w:pPr>
  </w:style>
  <w:style w:type="paragraph" w:styleId="Heading8">
    <w:name w:val="heading 8"/>
    <w:basedOn w:val="Normal"/>
    <w:next w:val="Normal"/>
    <w:qFormat/>
    <w:rsid w:val="009B58DD"/>
    <w:pPr>
      <w:numPr>
        <w:ilvl w:val="7"/>
        <w:numId w:val="1"/>
      </w:numPr>
      <w:spacing w:before="240" w:after="60"/>
      <w:outlineLvl w:val="7"/>
    </w:pPr>
    <w:rPr>
      <w:i/>
      <w:iCs/>
    </w:rPr>
  </w:style>
  <w:style w:type="paragraph" w:styleId="Heading9">
    <w:name w:val="heading 9"/>
    <w:basedOn w:val="Normal"/>
    <w:next w:val="Normal"/>
    <w:qFormat/>
    <w:rsid w:val="009B58D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58DD"/>
    <w:pPr>
      <w:tabs>
        <w:tab w:val="center" w:pos="4153"/>
        <w:tab w:val="right" w:pos="8306"/>
      </w:tabs>
    </w:pPr>
  </w:style>
  <w:style w:type="character" w:customStyle="1" w:styleId="HeaderChar">
    <w:name w:val="Header Char"/>
    <w:basedOn w:val="DefaultParagraphFont"/>
    <w:link w:val="Header"/>
    <w:uiPriority w:val="99"/>
    <w:rsid w:val="009B58DD"/>
    <w:rPr>
      <w:sz w:val="24"/>
      <w:szCs w:val="24"/>
      <w:lang w:val="lv-LV" w:eastAsia="lv-LV" w:bidi="ar-SA"/>
    </w:rPr>
  </w:style>
  <w:style w:type="paragraph" w:customStyle="1" w:styleId="naisf">
    <w:name w:val="naisf"/>
    <w:basedOn w:val="Normal"/>
    <w:rsid w:val="009B58DD"/>
    <w:pPr>
      <w:spacing w:before="100" w:beforeAutospacing="1" w:after="100" w:afterAutospacing="1"/>
    </w:pPr>
  </w:style>
  <w:style w:type="character" w:styleId="Strong">
    <w:name w:val="Strong"/>
    <w:basedOn w:val="DefaultParagraphFont"/>
    <w:qFormat/>
    <w:rsid w:val="009B58DD"/>
    <w:rPr>
      <w:b/>
      <w:bCs/>
    </w:rPr>
  </w:style>
  <w:style w:type="paragraph" w:styleId="Footer">
    <w:name w:val="footer"/>
    <w:basedOn w:val="Normal"/>
    <w:link w:val="FooterChar"/>
    <w:rsid w:val="009B58DD"/>
    <w:pPr>
      <w:tabs>
        <w:tab w:val="center" w:pos="4320"/>
        <w:tab w:val="right" w:pos="8640"/>
      </w:tabs>
    </w:pPr>
  </w:style>
  <w:style w:type="character" w:customStyle="1" w:styleId="FooterChar">
    <w:name w:val="Footer Char"/>
    <w:basedOn w:val="DefaultParagraphFont"/>
    <w:link w:val="Footer"/>
    <w:rsid w:val="009B58DD"/>
    <w:rPr>
      <w:sz w:val="24"/>
      <w:szCs w:val="24"/>
      <w:lang w:val="lv-LV" w:eastAsia="lv-LV" w:bidi="ar-SA"/>
    </w:rPr>
  </w:style>
  <w:style w:type="paragraph" w:styleId="NormalWeb">
    <w:name w:val="Normal (Web)"/>
    <w:basedOn w:val="Normal"/>
    <w:uiPriority w:val="99"/>
    <w:rsid w:val="009B58DD"/>
    <w:pPr>
      <w:spacing w:before="100" w:beforeAutospacing="1" w:after="100" w:afterAutospacing="1"/>
    </w:pPr>
    <w:rPr>
      <w:color w:val="000000"/>
      <w:sz w:val="20"/>
      <w:szCs w:val="20"/>
    </w:rPr>
  </w:style>
  <w:style w:type="paragraph" w:customStyle="1" w:styleId="tvhtmlmktable">
    <w:name w:val="tv_html mk_table"/>
    <w:basedOn w:val="Normal"/>
    <w:rsid w:val="009B58DD"/>
    <w:pPr>
      <w:spacing w:before="100" w:beforeAutospacing="1" w:after="100" w:afterAutospacing="1"/>
    </w:pPr>
  </w:style>
  <w:style w:type="paragraph" w:customStyle="1" w:styleId="naisnod">
    <w:name w:val="naisnod"/>
    <w:basedOn w:val="Normal"/>
    <w:rsid w:val="009B58DD"/>
    <w:pPr>
      <w:spacing w:before="450" w:after="225"/>
      <w:jc w:val="center"/>
    </w:pPr>
    <w:rPr>
      <w:b/>
      <w:bCs/>
    </w:rPr>
  </w:style>
  <w:style w:type="paragraph" w:customStyle="1" w:styleId="naislab">
    <w:name w:val="naislab"/>
    <w:basedOn w:val="Normal"/>
    <w:rsid w:val="009B58DD"/>
    <w:pPr>
      <w:spacing w:before="100" w:beforeAutospacing="1" w:after="100" w:afterAutospacing="1"/>
    </w:pPr>
    <w:rPr>
      <w:lang w:val="en-US" w:eastAsia="en-US"/>
    </w:rPr>
  </w:style>
  <w:style w:type="paragraph" w:customStyle="1" w:styleId="naiskr">
    <w:name w:val="naiskr"/>
    <w:basedOn w:val="Normal"/>
    <w:rsid w:val="009B58DD"/>
    <w:pPr>
      <w:spacing w:before="100" w:beforeAutospacing="1" w:after="100" w:afterAutospacing="1"/>
    </w:pPr>
    <w:rPr>
      <w:lang w:val="en-US" w:eastAsia="en-US"/>
    </w:rPr>
  </w:style>
  <w:style w:type="paragraph" w:customStyle="1" w:styleId="naisc">
    <w:name w:val="naisc"/>
    <w:basedOn w:val="Normal"/>
    <w:rsid w:val="009B58DD"/>
    <w:pPr>
      <w:spacing w:before="75" w:after="75"/>
      <w:jc w:val="center"/>
    </w:pPr>
  </w:style>
  <w:style w:type="paragraph" w:customStyle="1" w:styleId="naispant">
    <w:name w:val="naispant"/>
    <w:basedOn w:val="Normal"/>
    <w:rsid w:val="009B58DD"/>
    <w:pPr>
      <w:spacing w:before="225" w:after="75"/>
      <w:ind w:left="375" w:firstLine="375"/>
      <w:jc w:val="both"/>
    </w:pPr>
    <w:rPr>
      <w:b/>
      <w:bCs/>
    </w:rPr>
  </w:style>
  <w:style w:type="paragraph" w:customStyle="1" w:styleId="naisvisr">
    <w:name w:val="naisvisr"/>
    <w:basedOn w:val="Normal"/>
    <w:rsid w:val="009B58DD"/>
    <w:pPr>
      <w:spacing w:before="150" w:after="150"/>
      <w:jc w:val="center"/>
    </w:pPr>
    <w:rPr>
      <w:b/>
      <w:bCs/>
      <w:sz w:val="28"/>
      <w:szCs w:val="28"/>
    </w:rPr>
  </w:style>
  <w:style w:type="paragraph" w:styleId="HTMLPreformatted">
    <w:name w:val="HTML Preformatted"/>
    <w:basedOn w:val="Normal"/>
    <w:link w:val="HTMLPreformattedChar"/>
    <w:rsid w:val="009B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sid w:val="009B58DD"/>
    <w:rPr>
      <w:rFonts w:ascii="Courier New" w:hAnsi="Courier New" w:cs="Courier New"/>
      <w:lang w:val="lv-LV" w:eastAsia="lv-LV" w:bidi="ar-SA"/>
    </w:rPr>
  </w:style>
  <w:style w:type="character" w:styleId="Hyperlink">
    <w:name w:val="Hyperlink"/>
    <w:basedOn w:val="DefaultParagraphFont"/>
    <w:rsid w:val="009B58DD"/>
    <w:rPr>
      <w:rFonts w:cs="Times New Roman"/>
      <w:color w:val="0000FF"/>
      <w:u w:val="single"/>
    </w:rPr>
  </w:style>
  <w:style w:type="character" w:styleId="FollowedHyperlink">
    <w:name w:val="FollowedHyperlink"/>
    <w:basedOn w:val="DefaultParagraphFont"/>
    <w:rsid w:val="009B58DD"/>
    <w:rPr>
      <w:rFonts w:cs="Times New Roman"/>
      <w:color w:val="800080"/>
      <w:u w:val="single"/>
    </w:rPr>
  </w:style>
  <w:style w:type="paragraph" w:customStyle="1" w:styleId="xl66">
    <w:name w:val="xl66"/>
    <w:basedOn w:val="Normal"/>
    <w:rsid w:val="009B58DD"/>
    <w:pPr>
      <w:spacing w:before="100" w:beforeAutospacing="1" w:after="100" w:afterAutospacing="1"/>
      <w:jc w:val="center"/>
    </w:pPr>
    <w:rPr>
      <w:lang w:val="en-US" w:eastAsia="en-US"/>
    </w:rPr>
  </w:style>
  <w:style w:type="paragraph" w:customStyle="1" w:styleId="xl67">
    <w:name w:val="xl67"/>
    <w:basedOn w:val="Normal"/>
    <w:rsid w:val="009B58DD"/>
    <w:pPr>
      <w:spacing w:before="100" w:beforeAutospacing="1" w:after="100" w:afterAutospacing="1"/>
    </w:pPr>
    <w:rPr>
      <w:lang w:val="en-US" w:eastAsia="en-US"/>
    </w:rPr>
  </w:style>
  <w:style w:type="paragraph" w:customStyle="1" w:styleId="xl68">
    <w:name w:val="xl68"/>
    <w:basedOn w:val="Normal"/>
    <w:rsid w:val="009B58DD"/>
    <w:pPr>
      <w:spacing w:before="100" w:beforeAutospacing="1" w:after="100" w:afterAutospacing="1"/>
      <w:jc w:val="center"/>
      <w:textAlignment w:val="top"/>
    </w:pPr>
    <w:rPr>
      <w:lang w:val="en-US" w:eastAsia="en-US"/>
    </w:rPr>
  </w:style>
  <w:style w:type="character" w:customStyle="1" w:styleId="box">
    <w:name w:val="box"/>
    <w:basedOn w:val="DefaultParagraphFont"/>
    <w:rsid w:val="009B58DD"/>
  </w:style>
  <w:style w:type="character" w:styleId="Emphasis">
    <w:name w:val="Emphasis"/>
    <w:basedOn w:val="DefaultParagraphFont"/>
    <w:qFormat/>
    <w:rsid w:val="009B58DD"/>
    <w:rPr>
      <w:i/>
      <w:iCs/>
    </w:rPr>
  </w:style>
  <w:style w:type="character" w:styleId="PageNumber">
    <w:name w:val="page number"/>
    <w:basedOn w:val="DefaultParagraphFont"/>
    <w:rsid w:val="009B58DD"/>
  </w:style>
  <w:style w:type="paragraph" w:customStyle="1" w:styleId="font5">
    <w:name w:val="font5"/>
    <w:basedOn w:val="Normal"/>
    <w:rsid w:val="009B58DD"/>
    <w:pPr>
      <w:spacing w:before="100" w:beforeAutospacing="1" w:after="100" w:afterAutospacing="1"/>
    </w:pPr>
  </w:style>
  <w:style w:type="paragraph" w:customStyle="1" w:styleId="font6">
    <w:name w:val="font6"/>
    <w:basedOn w:val="Normal"/>
    <w:rsid w:val="009B58DD"/>
    <w:pPr>
      <w:spacing w:before="100" w:beforeAutospacing="1" w:after="100" w:afterAutospacing="1"/>
    </w:pPr>
    <w:rPr>
      <w:i/>
      <w:iCs/>
      <w:sz w:val="22"/>
      <w:szCs w:val="22"/>
    </w:rPr>
  </w:style>
  <w:style w:type="paragraph" w:customStyle="1" w:styleId="xl69">
    <w:name w:val="xl69"/>
    <w:basedOn w:val="Normal"/>
    <w:rsid w:val="009B58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0">
    <w:name w:val="xl70"/>
    <w:basedOn w:val="Normal"/>
    <w:rsid w:val="009B58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71">
    <w:name w:val="xl71"/>
    <w:basedOn w:val="Normal"/>
    <w:rsid w:val="009B58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Normal"/>
    <w:rsid w:val="009B58DD"/>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center"/>
    </w:pPr>
    <w:rPr>
      <w:sz w:val="22"/>
      <w:szCs w:val="22"/>
    </w:rPr>
  </w:style>
  <w:style w:type="paragraph" w:customStyle="1" w:styleId="xl73">
    <w:name w:val="xl73"/>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textAlignment w:val="center"/>
    </w:pPr>
    <w:rPr>
      <w:sz w:val="22"/>
      <w:szCs w:val="22"/>
    </w:rPr>
  </w:style>
  <w:style w:type="paragraph" w:customStyle="1" w:styleId="xl74">
    <w:name w:val="xl74"/>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sz w:val="22"/>
      <w:szCs w:val="22"/>
    </w:rPr>
  </w:style>
  <w:style w:type="paragraph" w:customStyle="1" w:styleId="xl75">
    <w:name w:val="xl75"/>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sz w:val="22"/>
      <w:szCs w:val="22"/>
    </w:rPr>
  </w:style>
  <w:style w:type="paragraph" w:customStyle="1" w:styleId="xl76">
    <w:name w:val="xl76"/>
    <w:basedOn w:val="Normal"/>
    <w:rsid w:val="009B58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Normal"/>
    <w:rsid w:val="009B58D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78">
    <w:name w:val="xl78"/>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customStyle="1" w:styleId="xl79">
    <w:name w:val="xl79"/>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sz w:val="22"/>
      <w:szCs w:val="22"/>
    </w:rPr>
  </w:style>
  <w:style w:type="paragraph" w:customStyle="1" w:styleId="xl80">
    <w:name w:val="xl80"/>
    <w:basedOn w:val="Normal"/>
    <w:rsid w:val="009B58D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81">
    <w:name w:val="xl81"/>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sz w:val="22"/>
      <w:szCs w:val="22"/>
    </w:rPr>
  </w:style>
  <w:style w:type="paragraph" w:customStyle="1" w:styleId="xl82">
    <w:name w:val="xl82"/>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sz w:val="22"/>
      <w:szCs w:val="22"/>
    </w:rPr>
  </w:style>
  <w:style w:type="paragraph" w:customStyle="1" w:styleId="xl83">
    <w:name w:val="xl83"/>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customStyle="1" w:styleId="xl84">
    <w:name w:val="xl84"/>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customStyle="1" w:styleId="xl85">
    <w:name w:val="xl85"/>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customStyle="1" w:styleId="xl86">
    <w:name w:val="xl86"/>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styleId="BalloonText">
    <w:name w:val="Balloon Text"/>
    <w:basedOn w:val="Normal"/>
    <w:link w:val="BalloonTextChar"/>
    <w:rsid w:val="009B58DD"/>
    <w:rPr>
      <w:rFonts w:ascii="Tahoma" w:hAnsi="Tahoma" w:cs="Tahoma"/>
      <w:sz w:val="16"/>
      <w:szCs w:val="16"/>
    </w:rPr>
  </w:style>
  <w:style w:type="character" w:customStyle="1" w:styleId="BalloonTextChar">
    <w:name w:val="Balloon Text Char"/>
    <w:basedOn w:val="DefaultParagraphFont"/>
    <w:link w:val="BalloonText"/>
    <w:rsid w:val="009B58DD"/>
    <w:rPr>
      <w:rFonts w:ascii="Tahoma" w:hAnsi="Tahoma" w:cs="Tahoma"/>
      <w:sz w:val="16"/>
      <w:szCs w:val="16"/>
      <w:lang w:val="lv-LV" w:eastAsia="lv-LV" w:bidi="ar-SA"/>
    </w:rPr>
  </w:style>
  <w:style w:type="paragraph" w:customStyle="1" w:styleId="Default">
    <w:name w:val="Default"/>
    <w:rsid w:val="009B58DD"/>
    <w:pPr>
      <w:autoSpaceDE w:val="0"/>
      <w:autoSpaceDN w:val="0"/>
      <w:adjustRightInd w:val="0"/>
    </w:pPr>
    <w:rPr>
      <w:color w:val="000000"/>
      <w:sz w:val="24"/>
      <w:szCs w:val="24"/>
    </w:rPr>
  </w:style>
  <w:style w:type="paragraph" w:customStyle="1" w:styleId="xl26">
    <w:name w:val="xl26"/>
    <w:basedOn w:val="Normal"/>
    <w:rsid w:val="009B58DD"/>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7">
    <w:name w:val="xl27"/>
    <w:basedOn w:val="Normal"/>
    <w:rsid w:val="009B58D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28">
    <w:name w:val="xl28"/>
    <w:basedOn w:val="Normal"/>
    <w:rsid w:val="009B58D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table" w:styleId="TableGrid">
    <w:name w:val="Table Grid"/>
    <w:basedOn w:val="TableNormal"/>
    <w:rsid w:val="009B5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Normal"/>
    <w:rsid w:val="009B58DD"/>
    <w:pPr>
      <w:spacing w:before="100" w:beforeAutospacing="1" w:after="100" w:afterAutospacing="1"/>
    </w:pPr>
  </w:style>
  <w:style w:type="paragraph" w:styleId="BodyText2">
    <w:name w:val="Body Text 2"/>
    <w:basedOn w:val="Normal"/>
    <w:link w:val="BodyText2Char"/>
    <w:rsid w:val="00B5021C"/>
    <w:pPr>
      <w:jc w:val="center"/>
    </w:pPr>
    <w:rPr>
      <w:b/>
      <w:bCs/>
      <w:sz w:val="28"/>
      <w:lang w:eastAsia="en-US"/>
    </w:rPr>
  </w:style>
  <w:style w:type="paragraph" w:styleId="PlainText">
    <w:name w:val="Plain Text"/>
    <w:basedOn w:val="Normal"/>
    <w:link w:val="PlainTextChar"/>
    <w:rsid w:val="00164E0D"/>
    <w:pPr>
      <w:snapToGrid w:val="0"/>
    </w:pPr>
    <w:rPr>
      <w:rFonts w:ascii="Courier New" w:hAnsi="Courier New"/>
      <w:sz w:val="28"/>
      <w:szCs w:val="20"/>
      <w:lang w:eastAsia="en-US"/>
    </w:rPr>
  </w:style>
  <w:style w:type="character" w:customStyle="1" w:styleId="PlainTextChar">
    <w:name w:val="Plain Text Char"/>
    <w:basedOn w:val="DefaultParagraphFont"/>
    <w:link w:val="PlainText"/>
    <w:locked/>
    <w:rsid w:val="00164E0D"/>
    <w:rPr>
      <w:rFonts w:ascii="Courier New" w:hAnsi="Courier New"/>
      <w:sz w:val="28"/>
      <w:lang w:val="lv-LV" w:eastAsia="en-US" w:bidi="ar-SA"/>
    </w:rPr>
  </w:style>
  <w:style w:type="character" w:customStyle="1" w:styleId="BodyText2Char">
    <w:name w:val="Body Text 2 Char"/>
    <w:basedOn w:val="DefaultParagraphFont"/>
    <w:link w:val="BodyText2"/>
    <w:locked/>
    <w:rsid w:val="00C51DBA"/>
    <w:rPr>
      <w:b/>
      <w:bCs/>
      <w:sz w:val="28"/>
      <w:szCs w:val="24"/>
      <w:lang w:val="lv-LV" w:eastAsia="en-US" w:bidi="ar-SA"/>
    </w:rPr>
  </w:style>
  <w:style w:type="paragraph" w:customStyle="1" w:styleId="pamatteksts">
    <w:name w:val="pamatteksts"/>
    <w:basedOn w:val="Normal"/>
    <w:link w:val="pamattekstsChar"/>
    <w:rsid w:val="003E6AFE"/>
    <w:pPr>
      <w:spacing w:after="120" w:line="360" w:lineRule="auto"/>
      <w:ind w:firstLine="720"/>
      <w:jc w:val="both"/>
    </w:pPr>
    <w:rPr>
      <w:lang w:eastAsia="en-US"/>
    </w:rPr>
  </w:style>
  <w:style w:type="character" w:customStyle="1" w:styleId="pamattekstsChar">
    <w:name w:val="pamatteksts Char"/>
    <w:basedOn w:val="DefaultParagraphFont"/>
    <w:link w:val="pamatteksts"/>
    <w:rsid w:val="003E6AFE"/>
    <w:rPr>
      <w:sz w:val="24"/>
      <w:szCs w:val="24"/>
      <w:lang w:eastAsia="en-US"/>
    </w:rPr>
  </w:style>
  <w:style w:type="paragraph" w:styleId="ListParagraph">
    <w:name w:val="List Paragraph"/>
    <w:basedOn w:val="Normal"/>
    <w:uiPriority w:val="34"/>
    <w:qFormat/>
    <w:rsid w:val="006A14BC"/>
    <w:pPr>
      <w:ind w:left="720"/>
      <w:contextualSpacing/>
    </w:pPr>
    <w:rPr>
      <w:lang w:val="en-US" w:eastAsia="en-US"/>
    </w:rPr>
  </w:style>
  <w:style w:type="character" w:customStyle="1" w:styleId="c10">
    <w:name w:val="c10"/>
    <w:basedOn w:val="DefaultParagraphFont"/>
    <w:rsid w:val="00154B02"/>
  </w:style>
  <w:style w:type="paragraph" w:styleId="Title">
    <w:name w:val="Title"/>
    <w:basedOn w:val="Normal"/>
    <w:link w:val="TitleChar"/>
    <w:qFormat/>
    <w:rsid w:val="00E74052"/>
    <w:pPr>
      <w:jc w:val="center"/>
    </w:pPr>
    <w:rPr>
      <w:b/>
      <w:sz w:val="28"/>
      <w:szCs w:val="20"/>
      <w:lang w:eastAsia="en-US"/>
    </w:rPr>
  </w:style>
  <w:style w:type="character" w:customStyle="1" w:styleId="TitleChar">
    <w:name w:val="Title Char"/>
    <w:basedOn w:val="DefaultParagraphFont"/>
    <w:link w:val="Title"/>
    <w:rsid w:val="00E74052"/>
    <w:rPr>
      <w:b/>
      <w:sz w:val="28"/>
      <w:lang w:val="lv-LV"/>
    </w:rPr>
  </w:style>
  <w:style w:type="character" w:styleId="FootnoteReference">
    <w:name w:val="footnote reference"/>
    <w:basedOn w:val="DefaultParagraphFont"/>
    <w:rsid w:val="00DC3BDD"/>
    <w:rPr>
      <w:rFonts w:cs="Times New Roman"/>
      <w:vertAlign w:val="superscript"/>
    </w:rPr>
  </w:style>
  <w:style w:type="paragraph" w:styleId="FootnoteText">
    <w:name w:val="footnote text"/>
    <w:basedOn w:val="Normal"/>
    <w:link w:val="FootnoteTextChar"/>
    <w:rsid w:val="00DC3BDD"/>
    <w:rPr>
      <w:rFonts w:ascii="Courier New" w:hAnsi="Courier New"/>
      <w:snapToGrid w:val="0"/>
      <w:sz w:val="20"/>
      <w:szCs w:val="20"/>
      <w:lang w:val="en-GB" w:eastAsia="en-GB"/>
    </w:rPr>
  </w:style>
  <w:style w:type="character" w:customStyle="1" w:styleId="FootnoteTextChar">
    <w:name w:val="Footnote Text Char"/>
    <w:basedOn w:val="DefaultParagraphFont"/>
    <w:link w:val="FootnoteText"/>
    <w:rsid w:val="00DC3BDD"/>
    <w:rPr>
      <w:rFonts w:ascii="Courier New" w:hAnsi="Courier New"/>
      <w:snapToGrid w:val="0"/>
      <w:lang w:val="en-GB" w:eastAsia="en-GB"/>
    </w:rPr>
  </w:style>
  <w:style w:type="character" w:styleId="CommentReference">
    <w:name w:val="annotation reference"/>
    <w:basedOn w:val="DefaultParagraphFont"/>
    <w:rsid w:val="00FF79C6"/>
    <w:rPr>
      <w:sz w:val="16"/>
      <w:szCs w:val="16"/>
    </w:rPr>
  </w:style>
  <w:style w:type="paragraph" w:styleId="CommentText">
    <w:name w:val="annotation text"/>
    <w:basedOn w:val="Normal"/>
    <w:link w:val="CommentTextChar"/>
    <w:rsid w:val="00FF79C6"/>
    <w:rPr>
      <w:sz w:val="20"/>
      <w:szCs w:val="20"/>
    </w:rPr>
  </w:style>
  <w:style w:type="character" w:customStyle="1" w:styleId="CommentTextChar">
    <w:name w:val="Comment Text Char"/>
    <w:basedOn w:val="DefaultParagraphFont"/>
    <w:link w:val="CommentText"/>
    <w:rsid w:val="00FF79C6"/>
    <w:rPr>
      <w:lang w:val="lv-LV" w:eastAsia="lv-LV"/>
    </w:rPr>
  </w:style>
  <w:style w:type="paragraph" w:styleId="CommentSubject">
    <w:name w:val="annotation subject"/>
    <w:basedOn w:val="CommentText"/>
    <w:next w:val="CommentText"/>
    <w:semiHidden/>
    <w:rsid w:val="008214D6"/>
    <w:rPr>
      <w:b/>
      <w:bCs/>
    </w:rPr>
  </w:style>
  <w:style w:type="paragraph" w:styleId="NoSpacing">
    <w:name w:val="No Spacing"/>
    <w:uiPriority w:val="1"/>
    <w:qFormat/>
    <w:rsid w:val="00EF23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0D2"/>
    <w:rPr>
      <w:sz w:val="24"/>
      <w:szCs w:val="24"/>
    </w:rPr>
  </w:style>
  <w:style w:type="paragraph" w:styleId="Heading1">
    <w:name w:val="heading 1"/>
    <w:basedOn w:val="Normal"/>
    <w:next w:val="Normal"/>
    <w:qFormat/>
    <w:rsid w:val="009B58DD"/>
    <w:pPr>
      <w:widowControl w:val="0"/>
      <w:autoSpaceDE w:val="0"/>
      <w:autoSpaceDN w:val="0"/>
      <w:adjustRightInd w:val="0"/>
      <w:outlineLvl w:val="0"/>
    </w:pPr>
  </w:style>
  <w:style w:type="paragraph" w:styleId="Heading2">
    <w:name w:val="heading 2"/>
    <w:basedOn w:val="Normal"/>
    <w:next w:val="Normal"/>
    <w:qFormat/>
    <w:rsid w:val="009B58D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9B58DD"/>
    <w:pPr>
      <w:keepNext/>
      <w:numPr>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9B58DD"/>
    <w:pPr>
      <w:keepNext/>
      <w:numPr>
        <w:ilvl w:val="3"/>
        <w:numId w:val="1"/>
      </w:numPr>
      <w:spacing w:before="240" w:after="60"/>
      <w:outlineLvl w:val="3"/>
    </w:pPr>
    <w:rPr>
      <w:b/>
      <w:bCs/>
      <w:sz w:val="28"/>
      <w:szCs w:val="28"/>
    </w:rPr>
  </w:style>
  <w:style w:type="paragraph" w:styleId="Heading5">
    <w:name w:val="heading 5"/>
    <w:basedOn w:val="Normal"/>
    <w:next w:val="Normal"/>
    <w:qFormat/>
    <w:rsid w:val="009B58DD"/>
    <w:pPr>
      <w:numPr>
        <w:ilvl w:val="4"/>
        <w:numId w:val="1"/>
      </w:numPr>
      <w:spacing w:before="240" w:after="60"/>
      <w:outlineLvl w:val="4"/>
    </w:pPr>
    <w:rPr>
      <w:b/>
      <w:bCs/>
      <w:i/>
      <w:iCs/>
      <w:sz w:val="26"/>
      <w:szCs w:val="26"/>
    </w:rPr>
  </w:style>
  <w:style w:type="paragraph" w:styleId="Heading6">
    <w:name w:val="heading 6"/>
    <w:basedOn w:val="Normal"/>
    <w:next w:val="Normal"/>
    <w:qFormat/>
    <w:rsid w:val="009B58DD"/>
    <w:pPr>
      <w:numPr>
        <w:ilvl w:val="5"/>
        <w:numId w:val="1"/>
      </w:numPr>
      <w:spacing w:before="240" w:after="60"/>
      <w:outlineLvl w:val="5"/>
    </w:pPr>
    <w:rPr>
      <w:b/>
      <w:bCs/>
      <w:sz w:val="22"/>
      <w:szCs w:val="22"/>
    </w:rPr>
  </w:style>
  <w:style w:type="paragraph" w:styleId="Heading7">
    <w:name w:val="heading 7"/>
    <w:basedOn w:val="Normal"/>
    <w:next w:val="Normal"/>
    <w:qFormat/>
    <w:rsid w:val="009B58DD"/>
    <w:pPr>
      <w:numPr>
        <w:ilvl w:val="6"/>
        <w:numId w:val="1"/>
      </w:numPr>
      <w:spacing w:before="240" w:after="60"/>
      <w:outlineLvl w:val="6"/>
    </w:pPr>
  </w:style>
  <w:style w:type="paragraph" w:styleId="Heading8">
    <w:name w:val="heading 8"/>
    <w:basedOn w:val="Normal"/>
    <w:next w:val="Normal"/>
    <w:qFormat/>
    <w:rsid w:val="009B58DD"/>
    <w:pPr>
      <w:numPr>
        <w:ilvl w:val="7"/>
        <w:numId w:val="1"/>
      </w:numPr>
      <w:spacing w:before="240" w:after="60"/>
      <w:outlineLvl w:val="7"/>
    </w:pPr>
    <w:rPr>
      <w:i/>
      <w:iCs/>
    </w:rPr>
  </w:style>
  <w:style w:type="paragraph" w:styleId="Heading9">
    <w:name w:val="heading 9"/>
    <w:basedOn w:val="Normal"/>
    <w:next w:val="Normal"/>
    <w:qFormat/>
    <w:rsid w:val="009B58D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58DD"/>
    <w:pPr>
      <w:tabs>
        <w:tab w:val="center" w:pos="4153"/>
        <w:tab w:val="right" w:pos="8306"/>
      </w:tabs>
    </w:pPr>
  </w:style>
  <w:style w:type="character" w:customStyle="1" w:styleId="HeaderChar">
    <w:name w:val="Header Char"/>
    <w:basedOn w:val="DefaultParagraphFont"/>
    <w:link w:val="Header"/>
    <w:uiPriority w:val="99"/>
    <w:rsid w:val="009B58DD"/>
    <w:rPr>
      <w:sz w:val="24"/>
      <w:szCs w:val="24"/>
      <w:lang w:val="lv-LV" w:eastAsia="lv-LV" w:bidi="ar-SA"/>
    </w:rPr>
  </w:style>
  <w:style w:type="paragraph" w:customStyle="1" w:styleId="naisf">
    <w:name w:val="naisf"/>
    <w:basedOn w:val="Normal"/>
    <w:rsid w:val="009B58DD"/>
    <w:pPr>
      <w:spacing w:before="100" w:beforeAutospacing="1" w:after="100" w:afterAutospacing="1"/>
    </w:pPr>
  </w:style>
  <w:style w:type="character" w:styleId="Strong">
    <w:name w:val="Strong"/>
    <w:basedOn w:val="DefaultParagraphFont"/>
    <w:qFormat/>
    <w:rsid w:val="009B58DD"/>
    <w:rPr>
      <w:b/>
      <w:bCs/>
    </w:rPr>
  </w:style>
  <w:style w:type="paragraph" w:styleId="Footer">
    <w:name w:val="footer"/>
    <w:basedOn w:val="Normal"/>
    <w:link w:val="FooterChar"/>
    <w:rsid w:val="009B58DD"/>
    <w:pPr>
      <w:tabs>
        <w:tab w:val="center" w:pos="4320"/>
        <w:tab w:val="right" w:pos="8640"/>
      </w:tabs>
    </w:pPr>
  </w:style>
  <w:style w:type="character" w:customStyle="1" w:styleId="FooterChar">
    <w:name w:val="Footer Char"/>
    <w:basedOn w:val="DefaultParagraphFont"/>
    <w:link w:val="Footer"/>
    <w:rsid w:val="009B58DD"/>
    <w:rPr>
      <w:sz w:val="24"/>
      <w:szCs w:val="24"/>
      <w:lang w:val="lv-LV" w:eastAsia="lv-LV" w:bidi="ar-SA"/>
    </w:rPr>
  </w:style>
  <w:style w:type="paragraph" w:styleId="NormalWeb">
    <w:name w:val="Normal (Web)"/>
    <w:basedOn w:val="Normal"/>
    <w:uiPriority w:val="99"/>
    <w:rsid w:val="009B58DD"/>
    <w:pPr>
      <w:spacing w:before="100" w:beforeAutospacing="1" w:after="100" w:afterAutospacing="1"/>
    </w:pPr>
    <w:rPr>
      <w:color w:val="000000"/>
      <w:sz w:val="20"/>
      <w:szCs w:val="20"/>
    </w:rPr>
  </w:style>
  <w:style w:type="paragraph" w:customStyle="1" w:styleId="tvhtmlmktable">
    <w:name w:val="tv_html mk_table"/>
    <w:basedOn w:val="Normal"/>
    <w:rsid w:val="009B58DD"/>
    <w:pPr>
      <w:spacing w:before="100" w:beforeAutospacing="1" w:after="100" w:afterAutospacing="1"/>
    </w:pPr>
  </w:style>
  <w:style w:type="paragraph" w:customStyle="1" w:styleId="naisnod">
    <w:name w:val="naisnod"/>
    <w:basedOn w:val="Normal"/>
    <w:rsid w:val="009B58DD"/>
    <w:pPr>
      <w:spacing w:before="450" w:after="225"/>
      <w:jc w:val="center"/>
    </w:pPr>
    <w:rPr>
      <w:b/>
      <w:bCs/>
    </w:rPr>
  </w:style>
  <w:style w:type="paragraph" w:customStyle="1" w:styleId="naislab">
    <w:name w:val="naislab"/>
    <w:basedOn w:val="Normal"/>
    <w:rsid w:val="009B58DD"/>
    <w:pPr>
      <w:spacing w:before="100" w:beforeAutospacing="1" w:after="100" w:afterAutospacing="1"/>
    </w:pPr>
    <w:rPr>
      <w:lang w:val="en-US" w:eastAsia="en-US"/>
    </w:rPr>
  </w:style>
  <w:style w:type="paragraph" w:customStyle="1" w:styleId="naiskr">
    <w:name w:val="naiskr"/>
    <w:basedOn w:val="Normal"/>
    <w:rsid w:val="009B58DD"/>
    <w:pPr>
      <w:spacing w:before="100" w:beforeAutospacing="1" w:after="100" w:afterAutospacing="1"/>
    </w:pPr>
    <w:rPr>
      <w:lang w:val="en-US" w:eastAsia="en-US"/>
    </w:rPr>
  </w:style>
  <w:style w:type="paragraph" w:customStyle="1" w:styleId="naisc">
    <w:name w:val="naisc"/>
    <w:basedOn w:val="Normal"/>
    <w:rsid w:val="009B58DD"/>
    <w:pPr>
      <w:spacing w:before="75" w:after="75"/>
      <w:jc w:val="center"/>
    </w:pPr>
  </w:style>
  <w:style w:type="paragraph" w:customStyle="1" w:styleId="naispant">
    <w:name w:val="naispant"/>
    <w:basedOn w:val="Normal"/>
    <w:rsid w:val="009B58DD"/>
    <w:pPr>
      <w:spacing w:before="225" w:after="75"/>
      <w:ind w:left="375" w:firstLine="375"/>
      <w:jc w:val="both"/>
    </w:pPr>
    <w:rPr>
      <w:b/>
      <w:bCs/>
    </w:rPr>
  </w:style>
  <w:style w:type="paragraph" w:customStyle="1" w:styleId="naisvisr">
    <w:name w:val="naisvisr"/>
    <w:basedOn w:val="Normal"/>
    <w:rsid w:val="009B58DD"/>
    <w:pPr>
      <w:spacing w:before="150" w:after="150"/>
      <w:jc w:val="center"/>
    </w:pPr>
    <w:rPr>
      <w:b/>
      <w:bCs/>
      <w:sz w:val="28"/>
      <w:szCs w:val="28"/>
    </w:rPr>
  </w:style>
  <w:style w:type="paragraph" w:styleId="HTMLPreformatted">
    <w:name w:val="HTML Preformatted"/>
    <w:basedOn w:val="Normal"/>
    <w:link w:val="HTMLPreformattedChar"/>
    <w:rsid w:val="009B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sid w:val="009B58DD"/>
    <w:rPr>
      <w:rFonts w:ascii="Courier New" w:hAnsi="Courier New" w:cs="Courier New"/>
      <w:lang w:val="lv-LV" w:eastAsia="lv-LV" w:bidi="ar-SA"/>
    </w:rPr>
  </w:style>
  <w:style w:type="character" w:styleId="Hyperlink">
    <w:name w:val="Hyperlink"/>
    <w:basedOn w:val="DefaultParagraphFont"/>
    <w:rsid w:val="009B58DD"/>
    <w:rPr>
      <w:rFonts w:cs="Times New Roman"/>
      <w:color w:val="0000FF"/>
      <w:u w:val="single"/>
    </w:rPr>
  </w:style>
  <w:style w:type="character" w:styleId="FollowedHyperlink">
    <w:name w:val="FollowedHyperlink"/>
    <w:basedOn w:val="DefaultParagraphFont"/>
    <w:rsid w:val="009B58DD"/>
    <w:rPr>
      <w:rFonts w:cs="Times New Roman"/>
      <w:color w:val="800080"/>
      <w:u w:val="single"/>
    </w:rPr>
  </w:style>
  <w:style w:type="paragraph" w:customStyle="1" w:styleId="xl66">
    <w:name w:val="xl66"/>
    <w:basedOn w:val="Normal"/>
    <w:rsid w:val="009B58DD"/>
    <w:pPr>
      <w:spacing w:before="100" w:beforeAutospacing="1" w:after="100" w:afterAutospacing="1"/>
      <w:jc w:val="center"/>
    </w:pPr>
    <w:rPr>
      <w:lang w:val="en-US" w:eastAsia="en-US"/>
    </w:rPr>
  </w:style>
  <w:style w:type="paragraph" w:customStyle="1" w:styleId="xl67">
    <w:name w:val="xl67"/>
    <w:basedOn w:val="Normal"/>
    <w:rsid w:val="009B58DD"/>
    <w:pPr>
      <w:spacing w:before="100" w:beforeAutospacing="1" w:after="100" w:afterAutospacing="1"/>
    </w:pPr>
    <w:rPr>
      <w:lang w:val="en-US" w:eastAsia="en-US"/>
    </w:rPr>
  </w:style>
  <w:style w:type="paragraph" w:customStyle="1" w:styleId="xl68">
    <w:name w:val="xl68"/>
    <w:basedOn w:val="Normal"/>
    <w:rsid w:val="009B58DD"/>
    <w:pPr>
      <w:spacing w:before="100" w:beforeAutospacing="1" w:after="100" w:afterAutospacing="1"/>
      <w:jc w:val="center"/>
      <w:textAlignment w:val="top"/>
    </w:pPr>
    <w:rPr>
      <w:lang w:val="en-US" w:eastAsia="en-US"/>
    </w:rPr>
  </w:style>
  <w:style w:type="character" w:customStyle="1" w:styleId="box">
    <w:name w:val="box"/>
    <w:basedOn w:val="DefaultParagraphFont"/>
    <w:rsid w:val="009B58DD"/>
  </w:style>
  <w:style w:type="character" w:styleId="Emphasis">
    <w:name w:val="Emphasis"/>
    <w:basedOn w:val="DefaultParagraphFont"/>
    <w:qFormat/>
    <w:rsid w:val="009B58DD"/>
    <w:rPr>
      <w:i/>
      <w:iCs/>
    </w:rPr>
  </w:style>
  <w:style w:type="character" w:styleId="PageNumber">
    <w:name w:val="page number"/>
    <w:basedOn w:val="DefaultParagraphFont"/>
    <w:rsid w:val="009B58DD"/>
  </w:style>
  <w:style w:type="paragraph" w:customStyle="1" w:styleId="font5">
    <w:name w:val="font5"/>
    <w:basedOn w:val="Normal"/>
    <w:rsid w:val="009B58DD"/>
    <w:pPr>
      <w:spacing w:before="100" w:beforeAutospacing="1" w:after="100" w:afterAutospacing="1"/>
    </w:pPr>
  </w:style>
  <w:style w:type="paragraph" w:customStyle="1" w:styleId="font6">
    <w:name w:val="font6"/>
    <w:basedOn w:val="Normal"/>
    <w:rsid w:val="009B58DD"/>
    <w:pPr>
      <w:spacing w:before="100" w:beforeAutospacing="1" w:after="100" w:afterAutospacing="1"/>
    </w:pPr>
    <w:rPr>
      <w:i/>
      <w:iCs/>
      <w:sz w:val="22"/>
      <w:szCs w:val="22"/>
    </w:rPr>
  </w:style>
  <w:style w:type="paragraph" w:customStyle="1" w:styleId="xl69">
    <w:name w:val="xl69"/>
    <w:basedOn w:val="Normal"/>
    <w:rsid w:val="009B58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0">
    <w:name w:val="xl70"/>
    <w:basedOn w:val="Normal"/>
    <w:rsid w:val="009B58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71">
    <w:name w:val="xl71"/>
    <w:basedOn w:val="Normal"/>
    <w:rsid w:val="009B58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Normal"/>
    <w:rsid w:val="009B58DD"/>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center"/>
    </w:pPr>
    <w:rPr>
      <w:sz w:val="22"/>
      <w:szCs w:val="22"/>
    </w:rPr>
  </w:style>
  <w:style w:type="paragraph" w:customStyle="1" w:styleId="xl73">
    <w:name w:val="xl73"/>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textAlignment w:val="center"/>
    </w:pPr>
    <w:rPr>
      <w:sz w:val="22"/>
      <w:szCs w:val="22"/>
    </w:rPr>
  </w:style>
  <w:style w:type="paragraph" w:customStyle="1" w:styleId="xl74">
    <w:name w:val="xl74"/>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sz w:val="22"/>
      <w:szCs w:val="22"/>
    </w:rPr>
  </w:style>
  <w:style w:type="paragraph" w:customStyle="1" w:styleId="xl75">
    <w:name w:val="xl75"/>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sz w:val="22"/>
      <w:szCs w:val="22"/>
    </w:rPr>
  </w:style>
  <w:style w:type="paragraph" w:customStyle="1" w:styleId="xl76">
    <w:name w:val="xl76"/>
    <w:basedOn w:val="Normal"/>
    <w:rsid w:val="009B58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Normal"/>
    <w:rsid w:val="009B58D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78">
    <w:name w:val="xl78"/>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customStyle="1" w:styleId="xl79">
    <w:name w:val="xl79"/>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sz w:val="22"/>
      <w:szCs w:val="22"/>
    </w:rPr>
  </w:style>
  <w:style w:type="paragraph" w:customStyle="1" w:styleId="xl80">
    <w:name w:val="xl80"/>
    <w:basedOn w:val="Normal"/>
    <w:rsid w:val="009B58D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81">
    <w:name w:val="xl81"/>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sz w:val="22"/>
      <w:szCs w:val="22"/>
    </w:rPr>
  </w:style>
  <w:style w:type="paragraph" w:customStyle="1" w:styleId="xl82">
    <w:name w:val="xl82"/>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sz w:val="22"/>
      <w:szCs w:val="22"/>
    </w:rPr>
  </w:style>
  <w:style w:type="paragraph" w:customStyle="1" w:styleId="xl83">
    <w:name w:val="xl83"/>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customStyle="1" w:styleId="xl84">
    <w:name w:val="xl84"/>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customStyle="1" w:styleId="xl85">
    <w:name w:val="xl85"/>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customStyle="1" w:styleId="xl86">
    <w:name w:val="xl86"/>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styleId="BalloonText">
    <w:name w:val="Balloon Text"/>
    <w:basedOn w:val="Normal"/>
    <w:link w:val="BalloonTextChar"/>
    <w:rsid w:val="009B58DD"/>
    <w:rPr>
      <w:rFonts w:ascii="Tahoma" w:hAnsi="Tahoma" w:cs="Tahoma"/>
      <w:sz w:val="16"/>
      <w:szCs w:val="16"/>
    </w:rPr>
  </w:style>
  <w:style w:type="character" w:customStyle="1" w:styleId="BalloonTextChar">
    <w:name w:val="Balloon Text Char"/>
    <w:basedOn w:val="DefaultParagraphFont"/>
    <w:link w:val="BalloonText"/>
    <w:rsid w:val="009B58DD"/>
    <w:rPr>
      <w:rFonts w:ascii="Tahoma" w:hAnsi="Tahoma" w:cs="Tahoma"/>
      <w:sz w:val="16"/>
      <w:szCs w:val="16"/>
      <w:lang w:val="lv-LV" w:eastAsia="lv-LV" w:bidi="ar-SA"/>
    </w:rPr>
  </w:style>
  <w:style w:type="paragraph" w:customStyle="1" w:styleId="Default">
    <w:name w:val="Default"/>
    <w:rsid w:val="009B58DD"/>
    <w:pPr>
      <w:autoSpaceDE w:val="0"/>
      <w:autoSpaceDN w:val="0"/>
      <w:adjustRightInd w:val="0"/>
    </w:pPr>
    <w:rPr>
      <w:color w:val="000000"/>
      <w:sz w:val="24"/>
      <w:szCs w:val="24"/>
    </w:rPr>
  </w:style>
  <w:style w:type="paragraph" w:customStyle="1" w:styleId="xl26">
    <w:name w:val="xl26"/>
    <w:basedOn w:val="Normal"/>
    <w:rsid w:val="009B58DD"/>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7">
    <w:name w:val="xl27"/>
    <w:basedOn w:val="Normal"/>
    <w:rsid w:val="009B58D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28">
    <w:name w:val="xl28"/>
    <w:basedOn w:val="Normal"/>
    <w:rsid w:val="009B58D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table" w:styleId="TableGrid">
    <w:name w:val="Table Grid"/>
    <w:basedOn w:val="TableNormal"/>
    <w:rsid w:val="009B5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9B58DD"/>
    <w:pPr>
      <w:spacing w:before="100" w:beforeAutospacing="1" w:after="100" w:afterAutospacing="1"/>
    </w:pPr>
  </w:style>
  <w:style w:type="paragraph" w:styleId="BodyText2">
    <w:name w:val="Body Text 2"/>
    <w:basedOn w:val="Normal"/>
    <w:link w:val="BodyText2Char"/>
    <w:rsid w:val="00B5021C"/>
    <w:pPr>
      <w:jc w:val="center"/>
    </w:pPr>
    <w:rPr>
      <w:b/>
      <w:bCs/>
      <w:sz w:val="28"/>
      <w:lang w:eastAsia="en-US"/>
    </w:rPr>
  </w:style>
  <w:style w:type="paragraph" w:styleId="PlainText">
    <w:name w:val="Plain Text"/>
    <w:basedOn w:val="Normal"/>
    <w:link w:val="PlainTextChar"/>
    <w:rsid w:val="00164E0D"/>
    <w:pPr>
      <w:snapToGrid w:val="0"/>
    </w:pPr>
    <w:rPr>
      <w:rFonts w:ascii="Courier New" w:hAnsi="Courier New"/>
      <w:sz w:val="28"/>
      <w:szCs w:val="20"/>
      <w:lang w:eastAsia="en-US"/>
    </w:rPr>
  </w:style>
  <w:style w:type="character" w:customStyle="1" w:styleId="PlainTextChar">
    <w:name w:val="Plain Text Char"/>
    <w:basedOn w:val="DefaultParagraphFont"/>
    <w:link w:val="PlainText"/>
    <w:locked/>
    <w:rsid w:val="00164E0D"/>
    <w:rPr>
      <w:rFonts w:ascii="Courier New" w:hAnsi="Courier New"/>
      <w:sz w:val="28"/>
      <w:lang w:val="lv-LV" w:eastAsia="en-US" w:bidi="ar-SA"/>
    </w:rPr>
  </w:style>
  <w:style w:type="character" w:customStyle="1" w:styleId="BodyText2Char">
    <w:name w:val="Body Text 2 Char"/>
    <w:basedOn w:val="DefaultParagraphFont"/>
    <w:link w:val="BodyText2"/>
    <w:locked/>
    <w:rsid w:val="00C51DBA"/>
    <w:rPr>
      <w:b/>
      <w:bCs/>
      <w:sz w:val="28"/>
      <w:szCs w:val="24"/>
      <w:lang w:val="lv-LV" w:eastAsia="en-US" w:bidi="ar-SA"/>
    </w:rPr>
  </w:style>
  <w:style w:type="paragraph" w:customStyle="1" w:styleId="pamatteksts">
    <w:name w:val="pamatteksts"/>
    <w:basedOn w:val="Normal"/>
    <w:link w:val="pamattekstsChar"/>
    <w:rsid w:val="003E6AFE"/>
    <w:pPr>
      <w:spacing w:after="120" w:line="360" w:lineRule="auto"/>
      <w:ind w:firstLine="720"/>
      <w:jc w:val="both"/>
    </w:pPr>
    <w:rPr>
      <w:lang w:eastAsia="en-US"/>
    </w:rPr>
  </w:style>
  <w:style w:type="character" w:customStyle="1" w:styleId="pamattekstsChar">
    <w:name w:val="pamatteksts Char"/>
    <w:basedOn w:val="DefaultParagraphFont"/>
    <w:link w:val="pamatteksts"/>
    <w:rsid w:val="003E6AFE"/>
    <w:rPr>
      <w:sz w:val="24"/>
      <w:szCs w:val="24"/>
      <w:lang w:eastAsia="en-US"/>
    </w:rPr>
  </w:style>
  <w:style w:type="paragraph" w:styleId="ListParagraph">
    <w:name w:val="List Paragraph"/>
    <w:basedOn w:val="Normal"/>
    <w:uiPriority w:val="34"/>
    <w:qFormat/>
    <w:rsid w:val="006A14BC"/>
    <w:pPr>
      <w:ind w:left="720"/>
      <w:contextualSpacing/>
    </w:pPr>
    <w:rPr>
      <w:lang w:val="en-US" w:eastAsia="en-US"/>
    </w:rPr>
  </w:style>
  <w:style w:type="character" w:customStyle="1" w:styleId="c10">
    <w:name w:val="c10"/>
    <w:basedOn w:val="DefaultParagraphFont"/>
    <w:rsid w:val="00154B02"/>
  </w:style>
  <w:style w:type="paragraph" w:styleId="Title">
    <w:name w:val="Title"/>
    <w:basedOn w:val="Normal"/>
    <w:link w:val="TitleChar"/>
    <w:qFormat/>
    <w:rsid w:val="00E74052"/>
    <w:pPr>
      <w:jc w:val="center"/>
    </w:pPr>
    <w:rPr>
      <w:b/>
      <w:sz w:val="28"/>
      <w:szCs w:val="20"/>
      <w:lang w:eastAsia="en-US"/>
    </w:rPr>
  </w:style>
  <w:style w:type="character" w:customStyle="1" w:styleId="TitleChar">
    <w:name w:val="Title Char"/>
    <w:basedOn w:val="DefaultParagraphFont"/>
    <w:link w:val="Title"/>
    <w:rsid w:val="00E74052"/>
    <w:rPr>
      <w:b/>
      <w:sz w:val="28"/>
      <w:lang w:val="lv-LV"/>
    </w:rPr>
  </w:style>
  <w:style w:type="character" w:styleId="FootnoteReference">
    <w:name w:val="footnote reference"/>
    <w:basedOn w:val="DefaultParagraphFont"/>
    <w:rsid w:val="00DC3BDD"/>
    <w:rPr>
      <w:rFonts w:cs="Times New Roman"/>
      <w:vertAlign w:val="superscript"/>
    </w:rPr>
  </w:style>
  <w:style w:type="paragraph" w:styleId="FootnoteText">
    <w:name w:val="footnote text"/>
    <w:basedOn w:val="Normal"/>
    <w:link w:val="FootnoteTextChar"/>
    <w:rsid w:val="00DC3BDD"/>
    <w:rPr>
      <w:rFonts w:ascii="Courier New" w:hAnsi="Courier New"/>
      <w:snapToGrid w:val="0"/>
      <w:sz w:val="20"/>
      <w:szCs w:val="20"/>
      <w:lang w:val="en-GB" w:eastAsia="en-GB"/>
    </w:rPr>
  </w:style>
  <w:style w:type="character" w:customStyle="1" w:styleId="FootnoteTextChar">
    <w:name w:val="Footnote Text Char"/>
    <w:basedOn w:val="DefaultParagraphFont"/>
    <w:link w:val="FootnoteText"/>
    <w:rsid w:val="00DC3BDD"/>
    <w:rPr>
      <w:rFonts w:ascii="Courier New" w:hAnsi="Courier New"/>
      <w:snapToGrid w:val="0"/>
      <w:lang w:val="en-GB" w:eastAsia="en-GB"/>
    </w:rPr>
  </w:style>
  <w:style w:type="character" w:styleId="CommentReference">
    <w:name w:val="annotation reference"/>
    <w:basedOn w:val="DefaultParagraphFont"/>
    <w:rsid w:val="00FF79C6"/>
    <w:rPr>
      <w:sz w:val="16"/>
      <w:szCs w:val="16"/>
    </w:rPr>
  </w:style>
  <w:style w:type="paragraph" w:styleId="CommentText">
    <w:name w:val="annotation text"/>
    <w:basedOn w:val="Normal"/>
    <w:link w:val="CommentTextChar"/>
    <w:rsid w:val="00FF79C6"/>
    <w:rPr>
      <w:sz w:val="20"/>
      <w:szCs w:val="20"/>
    </w:rPr>
  </w:style>
  <w:style w:type="character" w:customStyle="1" w:styleId="CommentTextChar">
    <w:name w:val="Comment Text Char"/>
    <w:basedOn w:val="DefaultParagraphFont"/>
    <w:link w:val="CommentText"/>
    <w:rsid w:val="00FF79C6"/>
    <w:rPr>
      <w:lang w:val="lv-LV" w:eastAsia="lv-LV"/>
    </w:rPr>
  </w:style>
  <w:style w:type="paragraph" w:styleId="CommentSubject">
    <w:name w:val="annotation subject"/>
    <w:basedOn w:val="CommentText"/>
    <w:next w:val="CommentText"/>
    <w:semiHidden/>
    <w:rsid w:val="008214D6"/>
    <w:rPr>
      <w:b/>
      <w:bCs/>
    </w:rPr>
  </w:style>
  <w:style w:type="paragraph" w:styleId="NoSpacing">
    <w:name w:val="No Spacing"/>
    <w:uiPriority w:val="1"/>
    <w:qFormat/>
    <w:rsid w:val="00EF2338"/>
    <w:rPr>
      <w:sz w:val="24"/>
      <w:szCs w:val="24"/>
    </w:rPr>
  </w:style>
</w:styles>
</file>

<file path=word/webSettings.xml><?xml version="1.0" encoding="utf-8"?>
<w:webSettings xmlns:r="http://schemas.openxmlformats.org/officeDocument/2006/relationships" xmlns:w="http://schemas.openxmlformats.org/wordprocessingml/2006/main">
  <w:divs>
    <w:div w:id="241724024">
      <w:bodyDiv w:val="1"/>
      <w:marLeft w:val="0"/>
      <w:marRight w:val="0"/>
      <w:marTop w:val="0"/>
      <w:marBottom w:val="0"/>
      <w:divBdr>
        <w:top w:val="none" w:sz="0" w:space="0" w:color="auto"/>
        <w:left w:val="none" w:sz="0" w:space="0" w:color="auto"/>
        <w:bottom w:val="none" w:sz="0" w:space="0" w:color="auto"/>
        <w:right w:val="none" w:sz="0" w:space="0" w:color="auto"/>
      </w:divBdr>
      <w:divsChild>
        <w:div w:id="1134981008">
          <w:marLeft w:val="0"/>
          <w:marRight w:val="0"/>
          <w:marTop w:val="0"/>
          <w:marBottom w:val="0"/>
          <w:divBdr>
            <w:top w:val="none" w:sz="0" w:space="0" w:color="auto"/>
            <w:left w:val="none" w:sz="0" w:space="0" w:color="auto"/>
            <w:bottom w:val="none" w:sz="0" w:space="0" w:color="auto"/>
            <w:right w:val="none" w:sz="0" w:space="0" w:color="auto"/>
          </w:divBdr>
        </w:div>
        <w:div w:id="1895314774">
          <w:marLeft w:val="0"/>
          <w:marRight w:val="0"/>
          <w:marTop w:val="0"/>
          <w:marBottom w:val="0"/>
          <w:divBdr>
            <w:top w:val="none" w:sz="0" w:space="0" w:color="auto"/>
            <w:left w:val="none" w:sz="0" w:space="0" w:color="auto"/>
            <w:bottom w:val="none" w:sz="0" w:space="0" w:color="auto"/>
            <w:right w:val="none" w:sz="0" w:space="0" w:color="auto"/>
          </w:divBdr>
        </w:div>
      </w:divsChild>
    </w:div>
    <w:div w:id="252512911">
      <w:bodyDiv w:val="1"/>
      <w:marLeft w:val="0"/>
      <w:marRight w:val="0"/>
      <w:marTop w:val="0"/>
      <w:marBottom w:val="0"/>
      <w:divBdr>
        <w:top w:val="none" w:sz="0" w:space="0" w:color="auto"/>
        <w:left w:val="none" w:sz="0" w:space="0" w:color="auto"/>
        <w:bottom w:val="none" w:sz="0" w:space="0" w:color="auto"/>
        <w:right w:val="none" w:sz="0" w:space="0" w:color="auto"/>
      </w:divBdr>
      <w:divsChild>
        <w:div w:id="817957395">
          <w:marLeft w:val="0"/>
          <w:marRight w:val="0"/>
          <w:marTop w:val="150"/>
          <w:marBottom w:val="0"/>
          <w:divBdr>
            <w:top w:val="none" w:sz="0" w:space="0" w:color="auto"/>
            <w:left w:val="none" w:sz="0" w:space="0" w:color="auto"/>
            <w:bottom w:val="none" w:sz="0" w:space="0" w:color="auto"/>
            <w:right w:val="none" w:sz="0" w:space="0" w:color="auto"/>
          </w:divBdr>
          <w:divsChild>
            <w:div w:id="978926160">
              <w:marLeft w:val="0"/>
              <w:marRight w:val="0"/>
              <w:marTop w:val="0"/>
              <w:marBottom w:val="0"/>
              <w:divBdr>
                <w:top w:val="none" w:sz="0" w:space="0" w:color="auto"/>
                <w:left w:val="none" w:sz="0" w:space="0" w:color="auto"/>
                <w:bottom w:val="none" w:sz="0" w:space="0" w:color="auto"/>
                <w:right w:val="none" w:sz="0" w:space="0" w:color="auto"/>
              </w:divBdr>
              <w:divsChild>
                <w:div w:id="1975796745">
                  <w:marLeft w:val="0"/>
                  <w:marRight w:val="0"/>
                  <w:marTop w:val="0"/>
                  <w:marBottom w:val="0"/>
                  <w:divBdr>
                    <w:top w:val="none" w:sz="0" w:space="0" w:color="auto"/>
                    <w:left w:val="none" w:sz="0" w:space="0" w:color="auto"/>
                    <w:bottom w:val="none" w:sz="0" w:space="0" w:color="auto"/>
                    <w:right w:val="none" w:sz="0" w:space="0" w:color="auto"/>
                  </w:divBdr>
                  <w:divsChild>
                    <w:div w:id="13208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17990">
      <w:bodyDiv w:val="1"/>
      <w:marLeft w:val="0"/>
      <w:marRight w:val="0"/>
      <w:marTop w:val="0"/>
      <w:marBottom w:val="0"/>
      <w:divBdr>
        <w:top w:val="none" w:sz="0" w:space="0" w:color="auto"/>
        <w:left w:val="none" w:sz="0" w:space="0" w:color="auto"/>
        <w:bottom w:val="none" w:sz="0" w:space="0" w:color="auto"/>
        <w:right w:val="none" w:sz="0" w:space="0" w:color="auto"/>
      </w:divBdr>
    </w:div>
    <w:div w:id="900410833">
      <w:bodyDiv w:val="1"/>
      <w:marLeft w:val="0"/>
      <w:marRight w:val="0"/>
      <w:marTop w:val="0"/>
      <w:marBottom w:val="0"/>
      <w:divBdr>
        <w:top w:val="none" w:sz="0" w:space="0" w:color="auto"/>
        <w:left w:val="none" w:sz="0" w:space="0" w:color="auto"/>
        <w:bottom w:val="none" w:sz="0" w:space="0" w:color="auto"/>
        <w:right w:val="none" w:sz="0" w:space="0" w:color="auto"/>
      </w:divBdr>
    </w:div>
    <w:div w:id="1034502199">
      <w:bodyDiv w:val="1"/>
      <w:marLeft w:val="0"/>
      <w:marRight w:val="0"/>
      <w:marTop w:val="0"/>
      <w:marBottom w:val="0"/>
      <w:divBdr>
        <w:top w:val="none" w:sz="0" w:space="0" w:color="auto"/>
        <w:left w:val="none" w:sz="0" w:space="0" w:color="auto"/>
        <w:bottom w:val="none" w:sz="0" w:space="0" w:color="auto"/>
        <w:right w:val="none" w:sz="0" w:space="0" w:color="auto"/>
      </w:divBdr>
      <w:divsChild>
        <w:div w:id="1507404478">
          <w:marLeft w:val="0"/>
          <w:marRight w:val="0"/>
          <w:marTop w:val="0"/>
          <w:marBottom w:val="0"/>
          <w:divBdr>
            <w:top w:val="none" w:sz="0" w:space="0" w:color="auto"/>
            <w:left w:val="none" w:sz="0" w:space="0" w:color="auto"/>
            <w:bottom w:val="none" w:sz="0" w:space="0" w:color="auto"/>
            <w:right w:val="none" w:sz="0" w:space="0" w:color="auto"/>
          </w:divBdr>
          <w:divsChild>
            <w:div w:id="1727029968">
              <w:marLeft w:val="0"/>
              <w:marRight w:val="0"/>
              <w:marTop w:val="0"/>
              <w:marBottom w:val="0"/>
              <w:divBdr>
                <w:top w:val="single" w:sz="48" w:space="0" w:color="FFFFFF"/>
                <w:left w:val="none" w:sz="0" w:space="0" w:color="auto"/>
                <w:bottom w:val="none" w:sz="0" w:space="0" w:color="auto"/>
                <w:right w:val="none" w:sz="0" w:space="0" w:color="auto"/>
              </w:divBdr>
              <w:divsChild>
                <w:div w:id="1806120019">
                  <w:marLeft w:val="0"/>
                  <w:marRight w:val="15"/>
                  <w:marTop w:val="0"/>
                  <w:marBottom w:val="0"/>
                  <w:divBdr>
                    <w:top w:val="none" w:sz="0" w:space="0" w:color="auto"/>
                    <w:left w:val="none" w:sz="0" w:space="0" w:color="auto"/>
                    <w:bottom w:val="none" w:sz="0" w:space="0" w:color="auto"/>
                    <w:right w:val="none" w:sz="0" w:space="0" w:color="auto"/>
                  </w:divBdr>
                  <w:divsChild>
                    <w:div w:id="17512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55316">
      <w:bodyDiv w:val="1"/>
      <w:marLeft w:val="0"/>
      <w:marRight w:val="0"/>
      <w:marTop w:val="0"/>
      <w:marBottom w:val="0"/>
      <w:divBdr>
        <w:top w:val="none" w:sz="0" w:space="0" w:color="auto"/>
        <w:left w:val="none" w:sz="0" w:space="0" w:color="auto"/>
        <w:bottom w:val="none" w:sz="0" w:space="0" w:color="auto"/>
        <w:right w:val="none" w:sz="0" w:space="0" w:color="auto"/>
      </w:divBdr>
    </w:div>
    <w:div w:id="21134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m.gov.lv" TargetMode="Externa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Leonora.Eglite@vm.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C545D-7239-420A-BF27-2C707379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1650</Words>
  <Characters>12568</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2009.gada 20.janvāra noteikumos Nr.60 "Noteikumi par obligātajām prasībām ārstniecības iestādēm un to struktūrvienībām”” sākotnējās ietekmes novērtējuma ziņojums (anotācija)</vt:lpstr>
    </vt:vector>
  </TitlesOfParts>
  <Company>Veselības ministrija</Company>
  <LinksUpToDate>false</LinksUpToDate>
  <CharactersWithSpaces>14190</CharactersWithSpaces>
  <SharedDoc>false</SharedDoc>
  <HLinks>
    <vt:vector size="6" baseType="variant">
      <vt:variant>
        <vt:i4>4325487</vt:i4>
      </vt:variant>
      <vt:variant>
        <vt:i4>0</vt:i4>
      </vt:variant>
      <vt:variant>
        <vt:i4>0</vt:i4>
      </vt:variant>
      <vt:variant>
        <vt:i4>5</vt:i4>
      </vt:variant>
      <vt:variant>
        <vt:lpwstr>mailto:Leonora.Eglite@vm.gov.lv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2009.gada 20.janvāra noteikumos Nr.60 "Noteikumi par obligātajām prasībām ārstniecības iestādēm un to struktūrvienībām”” sākotnējās ietekmes novērtējuma ziņojums (anotācija)</dc:title>
  <dc:subject>Anotācija</dc:subject>
  <dc:creator>Leonora Eglīte</dc:creator>
  <dc:description>Leonora.Eglite@vm.gov.lv, tel.67876091</dc:description>
  <cp:lastModifiedBy>leglite</cp:lastModifiedBy>
  <cp:revision>3</cp:revision>
  <cp:lastPrinted>2015-12-10T09:20:00Z</cp:lastPrinted>
  <dcterms:created xsi:type="dcterms:W3CDTF">2016-09-12T12:40:00Z</dcterms:created>
  <dcterms:modified xsi:type="dcterms:W3CDTF">2016-09-12T12:52:00Z</dcterms:modified>
</cp:coreProperties>
</file>