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26" w:rsidRPr="004F4C11" w:rsidRDefault="00993C26" w:rsidP="00DC27EA">
      <w:pPr>
        <w:contextualSpacing/>
        <w:jc w:val="center"/>
        <w:rPr>
          <w:rFonts w:eastAsia="Times New Roman" w:cs="Times New Roman"/>
          <w:b/>
          <w:bCs/>
          <w:szCs w:val="26"/>
          <w:lang w:eastAsia="lv-LV"/>
        </w:rPr>
      </w:pPr>
      <w:bookmarkStart w:id="0" w:name="OLE_LINK1"/>
      <w:bookmarkStart w:id="1" w:name="OLE_LINK2"/>
      <w:bookmarkStart w:id="2" w:name="OLE_LINK3"/>
      <w:bookmarkStart w:id="3" w:name="OLE_LINK4"/>
      <w:r w:rsidRPr="004F4C11">
        <w:rPr>
          <w:rFonts w:eastAsia="Times New Roman" w:cs="Times New Roman"/>
          <w:b/>
          <w:bCs/>
          <w:szCs w:val="26"/>
          <w:lang w:eastAsia="lv-LV"/>
        </w:rPr>
        <w:t xml:space="preserve">Ministru kabineta noteikumu projekta </w:t>
      </w:r>
      <w:r w:rsidR="001E4EE1">
        <w:rPr>
          <w:rFonts w:eastAsia="Times New Roman" w:cs="Times New Roman"/>
          <w:b/>
          <w:bCs/>
          <w:szCs w:val="26"/>
          <w:lang w:eastAsia="lv-LV"/>
        </w:rPr>
        <w:t>„</w:t>
      </w:r>
      <w:r w:rsidRPr="004F4C11">
        <w:rPr>
          <w:rFonts w:eastAsia="Times New Roman" w:cs="Times New Roman"/>
          <w:b/>
          <w:bCs/>
          <w:szCs w:val="26"/>
          <w:lang w:eastAsia="lv-LV"/>
        </w:rPr>
        <w:t xml:space="preserve">Grozījumi Ministru kabineta 2013.gada 17.decembra noteikumos Nr.1529 </w:t>
      </w:r>
      <w:r w:rsidR="001E4EE1">
        <w:rPr>
          <w:rFonts w:eastAsia="Times New Roman" w:cs="Times New Roman"/>
          <w:b/>
          <w:bCs/>
          <w:szCs w:val="26"/>
          <w:lang w:eastAsia="lv-LV"/>
        </w:rPr>
        <w:t>„</w:t>
      </w:r>
      <w:r w:rsidRPr="004F4C11">
        <w:rPr>
          <w:rFonts w:eastAsia="Times New Roman" w:cs="Times New Roman"/>
          <w:b/>
          <w:bCs/>
          <w:szCs w:val="26"/>
          <w:lang w:eastAsia="lv-LV"/>
        </w:rPr>
        <w:t>Veselības aprūpes organizēšanas un finansēšanas kārtība</w:t>
      </w:r>
      <w:r w:rsidR="001E4EE1">
        <w:rPr>
          <w:rFonts w:eastAsia="Times New Roman" w:cs="Times New Roman"/>
          <w:b/>
          <w:bCs/>
          <w:szCs w:val="26"/>
          <w:lang w:eastAsia="lv-LV"/>
        </w:rPr>
        <w:t>””</w:t>
      </w:r>
      <w:r w:rsidRPr="004F4C11">
        <w:rPr>
          <w:rFonts w:eastAsia="Times New Roman" w:cs="Times New Roman"/>
          <w:b/>
          <w:bCs/>
          <w:szCs w:val="26"/>
          <w:lang w:eastAsia="lv-LV"/>
        </w:rPr>
        <w:t xml:space="preserve"> sākotnējās ietekmes novērtējuma ziņojums (anotācija</w:t>
      </w:r>
      <w:bookmarkEnd w:id="0"/>
      <w:bookmarkEnd w:id="1"/>
      <w:r w:rsidRPr="004F4C11">
        <w:rPr>
          <w:rFonts w:eastAsia="Times New Roman" w:cs="Times New Roman"/>
          <w:b/>
          <w:bCs/>
          <w:szCs w:val="26"/>
          <w:lang w:eastAsia="lv-LV"/>
        </w:rPr>
        <w:t>)</w:t>
      </w:r>
    </w:p>
    <w:bookmarkEnd w:id="2"/>
    <w:bookmarkEnd w:id="3"/>
    <w:p w:rsidR="00993C26" w:rsidRDefault="00993C26" w:rsidP="00993C26">
      <w:pPr>
        <w:jc w:val="center"/>
      </w:pPr>
    </w:p>
    <w:tbl>
      <w:tblPr>
        <w:tblW w:w="4932" w:type="pct"/>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5"/>
        <w:gridCol w:w="1906"/>
        <w:gridCol w:w="7065"/>
      </w:tblGrid>
      <w:tr w:rsidR="00993C26" w:rsidRPr="004F4C11" w:rsidTr="00222AE2">
        <w:trPr>
          <w:trHeight w:val="235"/>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993C26" w:rsidRPr="004F4C11" w:rsidRDefault="00993C26" w:rsidP="00685C6C">
            <w:pPr>
              <w:contextualSpacing/>
              <w:jc w:val="center"/>
              <w:rPr>
                <w:rFonts w:eastAsia="Times New Roman" w:cs="Times New Roman"/>
                <w:szCs w:val="24"/>
                <w:lang w:eastAsia="lv-LV"/>
              </w:rPr>
            </w:pPr>
            <w:r w:rsidRPr="004F4C11">
              <w:rPr>
                <w:rFonts w:eastAsia="Times New Roman" w:cs="Times New Roman"/>
                <w:b/>
                <w:bCs/>
                <w:szCs w:val="24"/>
                <w:lang w:eastAsia="lv-LV"/>
              </w:rPr>
              <w:t>I. Tiesību akta projekta izstrādes nepieciešamība</w:t>
            </w:r>
          </w:p>
        </w:tc>
      </w:tr>
      <w:tr w:rsidR="00993C26" w:rsidRPr="002757B9" w:rsidTr="00222AE2">
        <w:trPr>
          <w:trHeight w:val="405"/>
        </w:trPr>
        <w:tc>
          <w:tcPr>
            <w:tcW w:w="311"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1.</w:t>
            </w:r>
          </w:p>
        </w:tc>
        <w:tc>
          <w:tcPr>
            <w:tcW w:w="996"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Pamatojums</w:t>
            </w:r>
          </w:p>
        </w:tc>
        <w:tc>
          <w:tcPr>
            <w:tcW w:w="3693" w:type="pct"/>
            <w:tcBorders>
              <w:top w:val="outset" w:sz="6" w:space="0" w:color="auto"/>
              <w:left w:val="outset" w:sz="6" w:space="0" w:color="auto"/>
              <w:bottom w:val="outset" w:sz="6" w:space="0" w:color="auto"/>
              <w:right w:val="outset" w:sz="6" w:space="0" w:color="auto"/>
            </w:tcBorders>
            <w:hideMark/>
          </w:tcPr>
          <w:p w:rsidR="004603E9" w:rsidRDefault="004603E9" w:rsidP="004603E9">
            <w:pPr>
              <w:ind w:firstLine="336"/>
              <w:contextualSpacing/>
              <w:jc w:val="both"/>
              <w:rPr>
                <w:rFonts w:cs="Times New Roman"/>
              </w:rPr>
            </w:pPr>
            <w:r w:rsidRPr="00803F40">
              <w:t xml:space="preserve">Ministru kabineta noteikumu projektu </w:t>
            </w:r>
            <w:r w:rsidR="001E4EE1">
              <w:t>„</w:t>
            </w:r>
            <w:r w:rsidRPr="00803F40">
              <w:t xml:space="preserve">Grozījumi Ministru kabineta 2013.gada 17.decembra noteikumos Nr.1529 </w:t>
            </w:r>
            <w:r w:rsidR="00FE2147">
              <w:t>„</w:t>
            </w:r>
            <w:r w:rsidRPr="00803F40">
              <w:t>Veselības aprūpes organizēšanas un finansēšanas kārtība</w:t>
            </w:r>
            <w:r w:rsidR="00FE2147">
              <w:t>””</w:t>
            </w:r>
            <w:r w:rsidRPr="00803F40">
              <w:t xml:space="preserve"> (turpmāk – noteikumu projekts)</w:t>
            </w:r>
            <w:r>
              <w:t xml:space="preserve"> izstrādāts pamatojoties uz: </w:t>
            </w:r>
          </w:p>
          <w:p w:rsidR="00993C26" w:rsidRPr="004603E9" w:rsidRDefault="00993C26" w:rsidP="004603E9">
            <w:pPr>
              <w:pStyle w:val="ListParagraph"/>
              <w:numPr>
                <w:ilvl w:val="0"/>
                <w:numId w:val="1"/>
              </w:numPr>
              <w:rPr>
                <w:rFonts w:cs="Times New Roman"/>
              </w:rPr>
            </w:pPr>
            <w:r w:rsidRPr="004603E9">
              <w:rPr>
                <w:rFonts w:cs="Times New Roman"/>
              </w:rPr>
              <w:t>Ārstni</w:t>
            </w:r>
            <w:r w:rsidR="004603E9">
              <w:rPr>
                <w:rFonts w:cs="Times New Roman"/>
              </w:rPr>
              <w:t>ecības likuma 4.panta pirm</w:t>
            </w:r>
            <w:r w:rsidR="005E5CF1">
              <w:rPr>
                <w:rFonts w:cs="Times New Roman"/>
              </w:rPr>
              <w:t>o</w:t>
            </w:r>
            <w:r w:rsidR="004603E9">
              <w:rPr>
                <w:rFonts w:cs="Times New Roman"/>
              </w:rPr>
              <w:t xml:space="preserve"> daļu;</w:t>
            </w:r>
          </w:p>
          <w:p w:rsidR="00004067" w:rsidRPr="004603E9" w:rsidRDefault="004603E9" w:rsidP="00FE2147">
            <w:pPr>
              <w:pStyle w:val="ListParagraph"/>
              <w:numPr>
                <w:ilvl w:val="0"/>
                <w:numId w:val="1"/>
              </w:numPr>
              <w:rPr>
                <w:rFonts w:cs="Times New Roman"/>
              </w:rPr>
            </w:pPr>
            <w:r>
              <w:rPr>
                <w:rFonts w:cs="Times New Roman"/>
              </w:rPr>
              <w:t xml:space="preserve">Likumu </w:t>
            </w:r>
            <w:r w:rsidR="00FE2147">
              <w:rPr>
                <w:rFonts w:cs="Times New Roman"/>
              </w:rPr>
              <w:t>„</w:t>
            </w:r>
            <w:r w:rsidR="00004067" w:rsidRPr="004603E9">
              <w:rPr>
                <w:rFonts w:cs="Times New Roman"/>
              </w:rPr>
              <w:t>Par valsts budžetu 2016.gadam</w:t>
            </w:r>
            <w:r w:rsidR="00FE2147">
              <w:rPr>
                <w:rFonts w:cs="Times New Roman"/>
              </w:rPr>
              <w:t>”</w:t>
            </w:r>
            <w:r w:rsidR="00004067" w:rsidRPr="004603E9">
              <w:rPr>
                <w:rFonts w:cs="Times New Roman"/>
              </w:rPr>
              <w:t xml:space="preserve"> 66.pant</w:t>
            </w:r>
            <w:r>
              <w:rPr>
                <w:rFonts w:cs="Times New Roman"/>
              </w:rPr>
              <w:t>u.</w:t>
            </w:r>
          </w:p>
        </w:tc>
      </w:tr>
      <w:tr w:rsidR="00993C26" w:rsidRPr="002757B9" w:rsidTr="00222AE2">
        <w:trPr>
          <w:trHeight w:val="465"/>
        </w:trPr>
        <w:tc>
          <w:tcPr>
            <w:tcW w:w="311"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spacing w:before="75" w:after="75"/>
              <w:contextualSpacing/>
              <w:rPr>
                <w:rFonts w:eastAsia="Times New Roman" w:cs="Times New Roman"/>
                <w:szCs w:val="24"/>
                <w:lang w:eastAsia="lv-LV"/>
              </w:rPr>
            </w:pPr>
            <w:r w:rsidRPr="002757B9">
              <w:rPr>
                <w:rFonts w:eastAsia="Times New Roman" w:cs="Times New Roman"/>
                <w:szCs w:val="24"/>
                <w:lang w:eastAsia="lv-LV"/>
              </w:rPr>
              <w:t>2.</w:t>
            </w:r>
          </w:p>
        </w:tc>
        <w:tc>
          <w:tcPr>
            <w:tcW w:w="996"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Pašreizējā situācija un problēmas, kuru risināšanai tiesību akta projekts izstrādāts, tiesiskā regulējuma mērķis un būtība</w:t>
            </w:r>
          </w:p>
          <w:p w:rsidR="00993C26" w:rsidRPr="002757B9" w:rsidRDefault="00993C26" w:rsidP="00685C6C">
            <w:pPr>
              <w:contextualSpacing/>
              <w:rPr>
                <w:rFonts w:eastAsia="Times New Roman" w:cs="Times New Roman"/>
                <w:szCs w:val="24"/>
                <w:lang w:eastAsia="lv-LV"/>
              </w:rPr>
            </w:pPr>
          </w:p>
        </w:tc>
        <w:tc>
          <w:tcPr>
            <w:tcW w:w="3693" w:type="pct"/>
            <w:tcBorders>
              <w:top w:val="outset" w:sz="6" w:space="0" w:color="auto"/>
              <w:left w:val="outset" w:sz="6" w:space="0" w:color="auto"/>
              <w:bottom w:val="outset" w:sz="6" w:space="0" w:color="auto"/>
              <w:right w:val="outset" w:sz="6" w:space="0" w:color="auto"/>
            </w:tcBorders>
            <w:hideMark/>
          </w:tcPr>
          <w:p w:rsidR="00993C26" w:rsidRPr="00803F40" w:rsidRDefault="00993C26" w:rsidP="00685C6C">
            <w:pPr>
              <w:ind w:firstLine="252"/>
              <w:contextualSpacing/>
              <w:jc w:val="both"/>
            </w:pPr>
            <w:r w:rsidRPr="00803F40">
              <w:t xml:space="preserve">Kārtību, kādā iedzīvotāji saņem valsts apmaksātos veselības aprūpes pakalpojumus nosaka Ministru kabineta 2013.gada 17.decembra noteikumi Nr.1529 </w:t>
            </w:r>
            <w:r w:rsidR="00FE2147">
              <w:t>„</w:t>
            </w:r>
            <w:r w:rsidRPr="00803F40">
              <w:t>Veselības aprūpes organizēšanas un finansēšanas kārtība</w:t>
            </w:r>
            <w:r w:rsidR="00FE2147">
              <w:t>”</w:t>
            </w:r>
            <w:r w:rsidRPr="00803F40">
              <w:rPr>
                <w:bCs/>
              </w:rPr>
              <w:t xml:space="preserve"> (turpmāk – noteikumi).</w:t>
            </w:r>
            <w:r w:rsidRPr="00803F40">
              <w:t xml:space="preserve"> </w:t>
            </w:r>
          </w:p>
          <w:p w:rsidR="00993C26" w:rsidRDefault="00993C26" w:rsidP="00685C6C">
            <w:pPr>
              <w:ind w:firstLine="252"/>
              <w:contextualSpacing/>
              <w:jc w:val="both"/>
            </w:pPr>
            <w:r w:rsidRPr="00803F40">
              <w:t>Veselības ministrija noteiktā kārtībā ir sagatavojusi Minist</w:t>
            </w:r>
            <w:r w:rsidR="004603E9">
              <w:t xml:space="preserve">ru kabineta noteikumu projektu </w:t>
            </w:r>
            <w:r w:rsidRPr="00803F40">
              <w:t>ar mērķi pilnveidot noteikumos iekļautās normas atbilstoši ekonomiskai un finanšu situācijai, kā arī ņemot vērā iestāžu izteiktos priekšli</w:t>
            </w:r>
            <w:r w:rsidR="002108D0">
              <w:t>kumus veselības aprūpes nozarē.</w:t>
            </w:r>
          </w:p>
          <w:p w:rsidR="008E25C5" w:rsidRPr="00BE7E0D" w:rsidRDefault="008E25C5" w:rsidP="008E25C5">
            <w:pPr>
              <w:ind w:firstLine="336"/>
              <w:contextualSpacing/>
              <w:jc w:val="both"/>
              <w:rPr>
                <w:rFonts w:cs="Times New Roman"/>
                <w:szCs w:val="24"/>
              </w:rPr>
            </w:pPr>
            <w:r>
              <w:rPr>
                <w:rFonts w:cs="Times New Roman"/>
                <w:szCs w:val="24"/>
              </w:rPr>
              <w:t xml:space="preserve">Šo noteikumu grozījumu mērķis ir </w:t>
            </w:r>
            <w:r w:rsidR="002A2430">
              <w:rPr>
                <w:rFonts w:cs="Times New Roman"/>
                <w:szCs w:val="24"/>
              </w:rPr>
              <w:t xml:space="preserve">ar 2016.gada 1.oktobri </w:t>
            </w:r>
            <w:r w:rsidRPr="00BE7E0D">
              <w:rPr>
                <w:rFonts w:cs="Times New Roman"/>
                <w:szCs w:val="24"/>
              </w:rPr>
              <w:t xml:space="preserve">nodrošināt efektīvāku un savlaicīgāku pacientu, kuriem ir aizdomas par ļaundabīgu audzēju, izmeklēšanu un ārstēšanas uzsākšanu. </w:t>
            </w:r>
            <w:r>
              <w:rPr>
                <w:rFonts w:cs="Times New Roman"/>
                <w:szCs w:val="24"/>
              </w:rPr>
              <w:t xml:space="preserve">Noteikumos iekļautie grozījumi </w:t>
            </w:r>
            <w:r w:rsidRPr="00BE7E0D">
              <w:rPr>
                <w:rFonts w:cs="Times New Roman"/>
                <w:szCs w:val="24"/>
              </w:rPr>
              <w:t>nodrošinās ne tikai kvalitatīvāku veselības aprūpi, bet arī efektīvāku valsts budžeta līdzekļu izlietošanu.</w:t>
            </w:r>
          </w:p>
          <w:p w:rsidR="008E25C5" w:rsidRPr="00803F40" w:rsidRDefault="008E25C5" w:rsidP="00685C6C">
            <w:pPr>
              <w:ind w:firstLine="252"/>
              <w:contextualSpacing/>
              <w:jc w:val="both"/>
            </w:pPr>
          </w:p>
          <w:p w:rsidR="00A46008" w:rsidRDefault="00BE7E0D" w:rsidP="00BE7E0D">
            <w:pPr>
              <w:ind w:firstLine="336"/>
              <w:contextualSpacing/>
              <w:jc w:val="both"/>
              <w:rPr>
                <w:rFonts w:cs="Times New Roman"/>
                <w:szCs w:val="24"/>
              </w:rPr>
            </w:pPr>
            <w:r w:rsidRPr="00BE7E0D">
              <w:rPr>
                <w:rFonts w:cs="Times New Roman"/>
                <w:szCs w:val="24"/>
              </w:rPr>
              <w:t>2014.gada 14.oktobrī tika apstiprinātas Sabiedrības veselības pamatnostādnes 2014.- 2020. gadam, kas turpina sabiedrības veselības politikas īstenošanu. Minētajās pamatnostādnēs ir ietverta gan onkoloģisko slimību profilakse (veselīga uztura un fizisko aktivitāšu popularizēšana, atkarību izraisošo vielu un procesu samazināšana sabiedrībā), gan diagnostika un ārstēšana, paredzot izstrādāt, un ieviest veselības aprūpes tīklu vadlīnijas prioritārajās veselības aprūpes jomās, veselības aprūpes pieejamības un kvalitātes uzlabošanai, tai skaitā onkoloģij</w:t>
            </w:r>
            <w:r>
              <w:rPr>
                <w:rFonts w:cs="Times New Roman"/>
                <w:szCs w:val="24"/>
              </w:rPr>
              <w:t>ā</w:t>
            </w:r>
            <w:r w:rsidRPr="00BE7E0D">
              <w:rPr>
                <w:rFonts w:cs="Times New Roman"/>
                <w:szCs w:val="24"/>
              </w:rPr>
              <w:t>.</w:t>
            </w:r>
            <w:r>
              <w:rPr>
                <w:rFonts w:cs="Times New Roman"/>
                <w:szCs w:val="24"/>
              </w:rPr>
              <w:t xml:space="preserve"> </w:t>
            </w:r>
          </w:p>
          <w:p w:rsidR="00A46008" w:rsidRDefault="00BE7E0D" w:rsidP="00A46008">
            <w:pPr>
              <w:ind w:firstLine="336"/>
              <w:contextualSpacing/>
              <w:jc w:val="both"/>
              <w:rPr>
                <w:rFonts w:cs="Times New Roman"/>
                <w:szCs w:val="24"/>
              </w:rPr>
            </w:pPr>
            <w:r w:rsidRPr="00BE7E0D">
              <w:rPr>
                <w:rFonts w:cs="Times New Roman"/>
                <w:szCs w:val="24"/>
              </w:rPr>
              <w:t xml:space="preserve">Lai veicinātu agrīnu onkoloģisko slimību diagnostisku, kura </w:t>
            </w:r>
            <w:r>
              <w:rPr>
                <w:rFonts w:cs="Times New Roman"/>
                <w:szCs w:val="24"/>
              </w:rPr>
              <w:t xml:space="preserve">nodrošinās </w:t>
            </w:r>
            <w:r w:rsidRPr="00BE7E0D">
              <w:rPr>
                <w:rFonts w:cs="Times New Roman"/>
                <w:szCs w:val="24"/>
              </w:rPr>
              <w:t>savlaicīg</w:t>
            </w:r>
            <w:r>
              <w:rPr>
                <w:rFonts w:cs="Times New Roman"/>
                <w:szCs w:val="24"/>
              </w:rPr>
              <w:t>u</w:t>
            </w:r>
            <w:r w:rsidRPr="00BE7E0D">
              <w:rPr>
                <w:rFonts w:cs="Times New Roman"/>
                <w:szCs w:val="24"/>
              </w:rPr>
              <w:t xml:space="preserve"> un efektīv</w:t>
            </w:r>
            <w:r>
              <w:rPr>
                <w:rFonts w:cs="Times New Roman"/>
                <w:szCs w:val="24"/>
              </w:rPr>
              <w:t>u</w:t>
            </w:r>
            <w:r w:rsidRPr="00BE7E0D">
              <w:rPr>
                <w:rFonts w:cs="Times New Roman"/>
                <w:szCs w:val="24"/>
              </w:rPr>
              <w:t xml:space="preserve"> pacientu ārstēšan</w:t>
            </w:r>
            <w:r>
              <w:rPr>
                <w:rFonts w:cs="Times New Roman"/>
                <w:szCs w:val="24"/>
              </w:rPr>
              <w:t>u</w:t>
            </w:r>
            <w:r w:rsidRPr="00BE7E0D">
              <w:rPr>
                <w:rFonts w:cs="Times New Roman"/>
                <w:szCs w:val="24"/>
              </w:rPr>
              <w:t xml:space="preserve">, </w:t>
            </w:r>
            <w:r>
              <w:rPr>
                <w:rFonts w:cs="Times New Roman"/>
                <w:szCs w:val="24"/>
              </w:rPr>
              <w:t>noteikumi papildināti ar 34.pielikumu, kurā iekļauts ļ</w:t>
            </w:r>
            <w:r w:rsidRPr="00BE7E0D">
              <w:rPr>
                <w:rFonts w:cs="Times New Roman"/>
                <w:szCs w:val="24"/>
              </w:rPr>
              <w:t xml:space="preserve">aundabīgo audzēju primārās diagnostikas algoritms noteiktām </w:t>
            </w:r>
            <w:proofErr w:type="spellStart"/>
            <w:r w:rsidRPr="00BE7E0D">
              <w:rPr>
                <w:rFonts w:cs="Times New Roman"/>
                <w:szCs w:val="24"/>
              </w:rPr>
              <w:t>lokalizācijām</w:t>
            </w:r>
            <w:proofErr w:type="spellEnd"/>
            <w:r>
              <w:rPr>
                <w:rFonts w:cs="Times New Roman"/>
                <w:szCs w:val="24"/>
              </w:rPr>
              <w:t xml:space="preserve">. Šajā pielikumā  </w:t>
            </w:r>
            <w:r w:rsidRPr="00BE7E0D">
              <w:rPr>
                <w:rFonts w:cs="Times New Roman"/>
                <w:szCs w:val="24"/>
              </w:rPr>
              <w:t xml:space="preserve"> noteikt</w:t>
            </w:r>
            <w:r w:rsidR="00162910">
              <w:rPr>
                <w:rFonts w:cs="Times New Roman"/>
                <w:szCs w:val="24"/>
              </w:rPr>
              <w:t>ais algoritms nosaka</w:t>
            </w:r>
            <w:r w:rsidRPr="00BE7E0D">
              <w:rPr>
                <w:rFonts w:cs="Times New Roman"/>
                <w:szCs w:val="24"/>
              </w:rPr>
              <w:t xml:space="preserve"> kārtīb</w:t>
            </w:r>
            <w:r w:rsidR="00162910">
              <w:rPr>
                <w:rFonts w:cs="Times New Roman"/>
                <w:szCs w:val="24"/>
              </w:rPr>
              <w:t>u</w:t>
            </w:r>
            <w:r w:rsidR="00A46008">
              <w:rPr>
                <w:rFonts w:cs="Times New Roman"/>
                <w:szCs w:val="24"/>
              </w:rPr>
              <w:t>,</w:t>
            </w:r>
            <w:r w:rsidR="00162910">
              <w:rPr>
                <w:rFonts w:cs="Times New Roman"/>
                <w:szCs w:val="24"/>
              </w:rPr>
              <w:t xml:space="preserve"> saskaņā ar kuru </w:t>
            </w:r>
            <w:r w:rsidR="00162910" w:rsidRPr="00BE7E0D">
              <w:rPr>
                <w:rFonts w:cs="Times New Roman"/>
                <w:szCs w:val="24"/>
              </w:rPr>
              <w:t>ģimenes ārsti</w:t>
            </w:r>
            <w:r w:rsidR="00162910">
              <w:rPr>
                <w:rFonts w:cs="Times New Roman"/>
                <w:szCs w:val="24"/>
              </w:rPr>
              <w:t xml:space="preserve"> personu nosūta uz</w:t>
            </w:r>
            <w:r w:rsidRPr="00BE7E0D">
              <w:rPr>
                <w:rFonts w:cs="Times New Roman"/>
                <w:szCs w:val="24"/>
              </w:rPr>
              <w:t xml:space="preserve"> izmeklējumi</w:t>
            </w:r>
            <w:r w:rsidR="00162910">
              <w:rPr>
                <w:rFonts w:cs="Times New Roman"/>
                <w:szCs w:val="24"/>
              </w:rPr>
              <w:t>em</w:t>
            </w:r>
            <w:r w:rsidRPr="00BE7E0D">
              <w:rPr>
                <w:rFonts w:cs="Times New Roman"/>
                <w:szCs w:val="24"/>
              </w:rPr>
              <w:t xml:space="preserve"> onkoloģisko saslimšanu aizdomu gadījumā biežākajās vēža </w:t>
            </w:r>
            <w:proofErr w:type="spellStart"/>
            <w:r w:rsidRPr="00BE7E0D">
              <w:rPr>
                <w:rFonts w:cs="Times New Roman"/>
                <w:szCs w:val="24"/>
              </w:rPr>
              <w:t>lokalizācijās</w:t>
            </w:r>
            <w:proofErr w:type="spellEnd"/>
            <w:r w:rsidRPr="00BE7E0D">
              <w:rPr>
                <w:rFonts w:cs="Times New Roman"/>
                <w:szCs w:val="24"/>
              </w:rPr>
              <w:t>.</w:t>
            </w:r>
            <w:r w:rsidR="00CD76E0">
              <w:rPr>
                <w:rFonts w:cs="Times New Roman"/>
                <w:szCs w:val="24"/>
              </w:rPr>
              <w:t xml:space="preserve"> Vienlaikus noteikumi papildināti</w:t>
            </w:r>
            <w:r w:rsidR="00861A9B">
              <w:rPr>
                <w:rFonts w:cs="Times New Roman"/>
                <w:szCs w:val="24"/>
              </w:rPr>
              <w:t xml:space="preserve"> </w:t>
            </w:r>
            <w:r w:rsidR="00CD76E0">
              <w:rPr>
                <w:rFonts w:cs="Times New Roman"/>
                <w:szCs w:val="24"/>
              </w:rPr>
              <w:t>ar normām (51.</w:t>
            </w:r>
            <w:r w:rsidR="00CD76E0" w:rsidRPr="00CD76E0">
              <w:rPr>
                <w:rFonts w:cs="Times New Roman"/>
                <w:szCs w:val="24"/>
                <w:vertAlign w:val="superscript"/>
              </w:rPr>
              <w:t>1</w:t>
            </w:r>
            <w:r w:rsidR="00CD76E0">
              <w:rPr>
                <w:rFonts w:cs="Times New Roman"/>
                <w:szCs w:val="24"/>
              </w:rPr>
              <w:t>, 104.</w:t>
            </w:r>
            <w:r w:rsidR="00CD76E0" w:rsidRPr="00CD76E0">
              <w:rPr>
                <w:rFonts w:cs="Times New Roman"/>
                <w:szCs w:val="24"/>
                <w:vertAlign w:val="superscript"/>
              </w:rPr>
              <w:t>1</w:t>
            </w:r>
            <w:r w:rsidR="001C119B" w:rsidRPr="001C119B">
              <w:rPr>
                <w:rFonts w:cs="Times New Roman"/>
                <w:szCs w:val="24"/>
              </w:rPr>
              <w:t>)</w:t>
            </w:r>
            <w:r w:rsidR="00CD76E0">
              <w:rPr>
                <w:rFonts w:cs="Times New Roman"/>
                <w:szCs w:val="24"/>
              </w:rPr>
              <w:t xml:space="preserve"> kurās iekļauti nosacījumi ģimenes ārsta un speciālista turpmākai rīcībai, ja</w:t>
            </w:r>
            <w:r w:rsidR="001C119B">
              <w:rPr>
                <w:rFonts w:cs="Times New Roman"/>
                <w:szCs w:val="24"/>
              </w:rPr>
              <w:t>,</w:t>
            </w:r>
            <w:r w:rsidR="00CD76E0">
              <w:rPr>
                <w:rFonts w:cs="Times New Roman"/>
                <w:szCs w:val="24"/>
              </w:rPr>
              <w:t xml:space="preserve"> </w:t>
            </w:r>
            <w:r w:rsidR="001C119B">
              <w:rPr>
                <w:rFonts w:cs="Times New Roman"/>
                <w:szCs w:val="24"/>
              </w:rPr>
              <w:t xml:space="preserve">pamatojoties uz medicīniskām indikācijām, </w:t>
            </w:r>
            <w:r w:rsidR="00CD76E0">
              <w:rPr>
                <w:rFonts w:cs="Times New Roman"/>
                <w:szCs w:val="24"/>
              </w:rPr>
              <w:t>rodas aizdomas par to, ka personai ir onkoloģiska saslimšana. Savukārt ārstniecības iestādes</w:t>
            </w:r>
            <w:r w:rsidR="001C119B">
              <w:rPr>
                <w:rFonts w:cs="Times New Roman"/>
                <w:szCs w:val="24"/>
              </w:rPr>
              <w:t xml:space="preserve"> turpmākā rīcība</w:t>
            </w:r>
            <w:r w:rsidR="008E25C5">
              <w:rPr>
                <w:rFonts w:cs="Times New Roman"/>
                <w:szCs w:val="24"/>
              </w:rPr>
              <w:t xml:space="preserve">, ja personai ar aizdomām uz onkoloģisku saslimšanu nepieciešama speciālista konsultācija vai izmeklējums, noteikta </w:t>
            </w:r>
            <w:r w:rsidR="001C119B">
              <w:rPr>
                <w:rFonts w:cs="Times New Roman"/>
                <w:szCs w:val="24"/>
              </w:rPr>
              <w:t xml:space="preserve"> 131.</w:t>
            </w:r>
            <w:r w:rsidR="001C119B" w:rsidRPr="001C119B">
              <w:rPr>
                <w:rFonts w:cs="Times New Roman"/>
                <w:szCs w:val="24"/>
                <w:vertAlign w:val="superscript"/>
              </w:rPr>
              <w:t>2</w:t>
            </w:r>
            <w:r w:rsidR="001C119B">
              <w:rPr>
                <w:rFonts w:cs="Times New Roman"/>
                <w:szCs w:val="24"/>
              </w:rPr>
              <w:t xml:space="preserve"> un 131.</w:t>
            </w:r>
            <w:r w:rsidR="001C119B" w:rsidRPr="001C119B">
              <w:rPr>
                <w:rFonts w:cs="Times New Roman"/>
                <w:szCs w:val="24"/>
                <w:vertAlign w:val="superscript"/>
              </w:rPr>
              <w:t>3</w:t>
            </w:r>
            <w:r w:rsidR="001C119B">
              <w:rPr>
                <w:rFonts w:cs="Times New Roman"/>
                <w:szCs w:val="24"/>
              </w:rPr>
              <w:t xml:space="preserve"> punktā. </w:t>
            </w:r>
            <w:r w:rsidR="00A46008">
              <w:rPr>
                <w:rFonts w:cs="Times New Roman"/>
                <w:szCs w:val="24"/>
              </w:rPr>
              <w:t>P</w:t>
            </w:r>
            <w:r w:rsidR="001C119B">
              <w:rPr>
                <w:rFonts w:cs="Times New Roman"/>
                <w:szCs w:val="24"/>
              </w:rPr>
              <w:t>recizējumi 2.pielikuma 1.274. un 1.277.apakšpunkt</w:t>
            </w:r>
            <w:r w:rsidR="00A46008">
              <w:rPr>
                <w:rFonts w:cs="Times New Roman"/>
                <w:szCs w:val="24"/>
              </w:rPr>
              <w:t>ā</w:t>
            </w:r>
            <w:r w:rsidR="001C119B">
              <w:rPr>
                <w:rFonts w:cs="Times New Roman"/>
                <w:szCs w:val="24"/>
              </w:rPr>
              <w:t xml:space="preserve"> nodrošina no </w:t>
            </w:r>
            <w:r w:rsidR="001C119B">
              <w:rPr>
                <w:rFonts w:cs="Times New Roman"/>
                <w:szCs w:val="24"/>
              </w:rPr>
              <w:lastRenderedPageBreak/>
              <w:t>valsts budžeta</w:t>
            </w:r>
            <w:r w:rsidR="008E25C5">
              <w:rPr>
                <w:rFonts w:cs="Times New Roman"/>
                <w:szCs w:val="24"/>
              </w:rPr>
              <w:t xml:space="preserve"> apmaksāto </w:t>
            </w:r>
            <w:r w:rsidR="001C119B">
              <w:rPr>
                <w:rFonts w:cs="Times New Roman"/>
                <w:szCs w:val="24"/>
              </w:rPr>
              <w:t xml:space="preserve"> </w:t>
            </w:r>
            <w:r w:rsidR="008E25C5">
              <w:rPr>
                <w:rFonts w:cs="Times New Roman"/>
                <w:szCs w:val="24"/>
              </w:rPr>
              <w:t>laboratoriskos un histoloģiskos izmeklējumu</w:t>
            </w:r>
            <w:r w:rsidR="00A46008">
              <w:rPr>
                <w:rFonts w:cs="Times New Roman"/>
                <w:szCs w:val="24"/>
              </w:rPr>
              <w:t xml:space="preserve"> pieejamību</w:t>
            </w:r>
            <w:r w:rsidR="008E25C5">
              <w:rPr>
                <w:rFonts w:cs="Times New Roman"/>
                <w:szCs w:val="24"/>
              </w:rPr>
              <w:t xml:space="preserve"> </w:t>
            </w:r>
            <w:r w:rsidR="001B3B9E">
              <w:rPr>
                <w:rFonts w:cs="Times New Roman"/>
                <w:szCs w:val="24"/>
              </w:rPr>
              <w:t>pacientiem ar diagnozi Z03.1.</w:t>
            </w:r>
            <w:r w:rsidR="00A46008" w:rsidRPr="00BE7E0D">
              <w:rPr>
                <w:rFonts w:cs="Times New Roman"/>
                <w:szCs w:val="24"/>
              </w:rPr>
              <w:t xml:space="preserve"> </w:t>
            </w:r>
            <w:r w:rsidR="00A46008">
              <w:rPr>
                <w:rFonts w:cs="Times New Roman"/>
                <w:szCs w:val="24"/>
              </w:rPr>
              <w:t xml:space="preserve">(paredz tiesības </w:t>
            </w:r>
            <w:r w:rsidR="00A46008" w:rsidRPr="00BE7E0D">
              <w:rPr>
                <w:rFonts w:cs="Times New Roman"/>
                <w:szCs w:val="24"/>
              </w:rPr>
              <w:t>ģimenes ārsti</w:t>
            </w:r>
            <w:r w:rsidR="00A46008">
              <w:rPr>
                <w:rFonts w:cs="Times New Roman"/>
                <w:szCs w:val="24"/>
              </w:rPr>
              <w:t>em</w:t>
            </w:r>
            <w:r w:rsidR="00A46008" w:rsidRPr="00BE7E0D">
              <w:rPr>
                <w:rFonts w:cs="Times New Roman"/>
                <w:szCs w:val="24"/>
              </w:rPr>
              <w:t xml:space="preserve"> </w:t>
            </w:r>
            <w:r w:rsidR="00A46008">
              <w:rPr>
                <w:rFonts w:cs="Times New Roman"/>
                <w:szCs w:val="24"/>
              </w:rPr>
              <w:t xml:space="preserve">personu </w:t>
            </w:r>
            <w:r w:rsidR="00A46008" w:rsidRPr="00BE7E0D">
              <w:rPr>
                <w:rFonts w:cs="Times New Roman"/>
                <w:szCs w:val="24"/>
              </w:rPr>
              <w:t>nosūtīt uz valsts apmaksātiem audzēju marķieru izmeklējumiem</w:t>
            </w:r>
            <w:r w:rsidR="00A46008">
              <w:rPr>
                <w:rFonts w:cs="Times New Roman"/>
                <w:szCs w:val="24"/>
              </w:rPr>
              <w:t>)</w:t>
            </w:r>
            <w:r w:rsidR="00A46008" w:rsidRPr="00BE7E0D">
              <w:rPr>
                <w:rFonts w:cs="Times New Roman"/>
                <w:szCs w:val="24"/>
              </w:rPr>
              <w:t>.</w:t>
            </w:r>
          </w:p>
          <w:p w:rsidR="00A27EBE" w:rsidRPr="00BE7E0D" w:rsidRDefault="00A27EBE" w:rsidP="00A46008">
            <w:pPr>
              <w:ind w:firstLine="336"/>
              <w:contextualSpacing/>
              <w:jc w:val="both"/>
              <w:rPr>
                <w:rFonts w:cs="Times New Roman"/>
                <w:szCs w:val="24"/>
              </w:rPr>
            </w:pPr>
            <w:r>
              <w:rPr>
                <w:rFonts w:cs="Times New Roman"/>
                <w:szCs w:val="24"/>
              </w:rPr>
              <w:t xml:space="preserve">Pārskatot ģimenes ārstu samaksu atbilstoši Finanšu ministrijas un Veselības ministrijas darba grupas secinājumiem, tika veikta ģimenes ārstu prakses izdevumu izvērtēšana un līdz ar to veikti grozījumi 9.pielikuma 5. punktā. Ņemot vērā, ka 9.pielikuā 5.punktā noteiktajā </w:t>
            </w:r>
            <w:proofErr w:type="spellStart"/>
            <w:r>
              <w:rPr>
                <w:rFonts w:cs="Times New Roman"/>
                <w:szCs w:val="24"/>
              </w:rPr>
              <w:t>kapitācijas</w:t>
            </w:r>
            <w:proofErr w:type="spellEnd"/>
            <w:r>
              <w:rPr>
                <w:rFonts w:cs="Times New Roman"/>
                <w:szCs w:val="24"/>
              </w:rPr>
              <w:t xml:space="preserve"> naudas apjomā tiek iekļaut arī ikmēneša fiksētais maksājums praksei, no noteikumiem svītrots 10.pielikuma 1.punkts.</w:t>
            </w:r>
          </w:p>
          <w:p w:rsidR="00162910" w:rsidRPr="00856128" w:rsidRDefault="00A46008" w:rsidP="002A2430">
            <w:pPr>
              <w:ind w:firstLine="336"/>
              <w:contextualSpacing/>
              <w:jc w:val="both"/>
              <w:rPr>
                <w:rFonts w:cs="Times New Roman"/>
                <w:szCs w:val="24"/>
              </w:rPr>
            </w:pPr>
            <w:r>
              <w:rPr>
                <w:rFonts w:cs="Times New Roman"/>
                <w:szCs w:val="24"/>
              </w:rPr>
              <w:t>Vienlaikus noteikumos tiek ve</w:t>
            </w:r>
            <w:r w:rsidR="00BE7E0D" w:rsidRPr="00BE7E0D">
              <w:rPr>
                <w:rFonts w:cs="Times New Roman"/>
                <w:szCs w:val="24"/>
              </w:rPr>
              <w:t>ikti redakcionāli labojumi noteikumu 16.pielikuma 952., 1012., 1017., 1018. un 1019.punktā</w:t>
            </w:r>
            <w:r>
              <w:rPr>
                <w:rFonts w:cs="Times New Roman"/>
                <w:szCs w:val="24"/>
              </w:rPr>
              <w:t>,</w:t>
            </w:r>
            <w:r w:rsidR="00BE7E0D" w:rsidRPr="00BE7E0D">
              <w:rPr>
                <w:rFonts w:cs="Times New Roman"/>
                <w:szCs w:val="24"/>
              </w:rPr>
              <w:t xml:space="preserve"> precizējot uroloģisko medicīnisko izmeklējumu manipulāciju pielietošanas nosacījumus.</w:t>
            </w:r>
          </w:p>
        </w:tc>
      </w:tr>
      <w:tr w:rsidR="00993C26" w:rsidRPr="006D1F1C" w:rsidTr="00222AE2">
        <w:trPr>
          <w:trHeight w:val="465"/>
        </w:trPr>
        <w:tc>
          <w:tcPr>
            <w:tcW w:w="311"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spacing w:before="75" w:after="75"/>
              <w:contextualSpacing/>
              <w:rPr>
                <w:rFonts w:eastAsia="Times New Roman" w:cs="Times New Roman"/>
                <w:szCs w:val="24"/>
                <w:lang w:eastAsia="lv-LV"/>
              </w:rPr>
            </w:pPr>
            <w:r w:rsidRPr="006D1F1C">
              <w:rPr>
                <w:rFonts w:eastAsia="Times New Roman" w:cs="Times New Roman"/>
                <w:szCs w:val="24"/>
                <w:lang w:eastAsia="lv-LV"/>
              </w:rPr>
              <w:lastRenderedPageBreak/>
              <w:t>3.</w:t>
            </w:r>
          </w:p>
        </w:tc>
        <w:tc>
          <w:tcPr>
            <w:tcW w:w="996"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contextualSpacing/>
              <w:rPr>
                <w:rFonts w:eastAsia="Times New Roman" w:cs="Times New Roman"/>
                <w:szCs w:val="24"/>
                <w:lang w:eastAsia="lv-LV"/>
              </w:rPr>
            </w:pPr>
            <w:r w:rsidRPr="006D1F1C">
              <w:rPr>
                <w:rFonts w:eastAsia="Times New Roman" w:cs="Times New Roman"/>
                <w:szCs w:val="24"/>
                <w:lang w:eastAsia="lv-LV"/>
              </w:rPr>
              <w:t>Projekta izstrādē iesaistītās institūcijas</w:t>
            </w:r>
          </w:p>
        </w:tc>
        <w:tc>
          <w:tcPr>
            <w:tcW w:w="3693" w:type="pct"/>
            <w:tcBorders>
              <w:top w:val="outset" w:sz="6" w:space="0" w:color="auto"/>
              <w:left w:val="outset" w:sz="6" w:space="0" w:color="auto"/>
              <w:bottom w:val="outset" w:sz="6" w:space="0" w:color="auto"/>
              <w:right w:val="outset" w:sz="6" w:space="0" w:color="auto"/>
            </w:tcBorders>
            <w:hideMark/>
          </w:tcPr>
          <w:p w:rsidR="00993C26" w:rsidRPr="003C6024" w:rsidRDefault="00993C26" w:rsidP="002A2430">
            <w:pPr>
              <w:contextualSpacing/>
              <w:jc w:val="both"/>
              <w:rPr>
                <w:rFonts w:eastAsia="Times New Roman" w:cs="Times New Roman"/>
                <w:szCs w:val="24"/>
                <w:lang w:eastAsia="lv-LV"/>
              </w:rPr>
            </w:pPr>
            <w:r w:rsidRPr="00BC6FF2">
              <w:rPr>
                <w:rFonts w:eastAsia="Times New Roman" w:cs="Times New Roman"/>
                <w:szCs w:val="24"/>
                <w:lang w:eastAsia="lv-LV"/>
              </w:rPr>
              <w:t>Nacionālais veselības di</w:t>
            </w:r>
            <w:r w:rsidR="003C6024">
              <w:rPr>
                <w:rFonts w:eastAsia="Times New Roman" w:cs="Times New Roman"/>
                <w:szCs w:val="24"/>
                <w:lang w:eastAsia="lv-LV"/>
              </w:rPr>
              <w:t>enests</w:t>
            </w:r>
            <w:r w:rsidRPr="00BC6FF2">
              <w:rPr>
                <w:rFonts w:eastAsia="Times New Roman" w:cs="Times New Roman"/>
                <w:szCs w:val="24"/>
                <w:lang w:eastAsia="lv-LV"/>
              </w:rPr>
              <w:t>,</w:t>
            </w:r>
            <w:r w:rsidR="003C6024" w:rsidRPr="00BC6FF2">
              <w:rPr>
                <w:rFonts w:eastAsia="Times New Roman" w:cs="Times New Roman"/>
                <w:szCs w:val="24"/>
                <w:lang w:eastAsia="lv-LV"/>
              </w:rPr>
              <w:t xml:space="preserve"> </w:t>
            </w:r>
            <w:r w:rsidR="002A2430">
              <w:rPr>
                <w:rFonts w:eastAsia="Times New Roman" w:cs="Times New Roman"/>
                <w:szCs w:val="24"/>
                <w:lang w:eastAsia="lv-LV"/>
              </w:rPr>
              <w:t>ģimenes ārsti.</w:t>
            </w:r>
          </w:p>
        </w:tc>
      </w:tr>
      <w:tr w:rsidR="00993C26" w:rsidRPr="006D1F1C" w:rsidTr="00222AE2">
        <w:tc>
          <w:tcPr>
            <w:tcW w:w="311"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spacing w:before="75" w:after="75"/>
              <w:contextualSpacing/>
              <w:rPr>
                <w:rFonts w:eastAsia="Times New Roman" w:cs="Times New Roman"/>
                <w:szCs w:val="24"/>
                <w:lang w:eastAsia="lv-LV"/>
              </w:rPr>
            </w:pPr>
            <w:r w:rsidRPr="006D1F1C">
              <w:rPr>
                <w:rFonts w:eastAsia="Times New Roman" w:cs="Times New Roman"/>
                <w:szCs w:val="24"/>
                <w:lang w:eastAsia="lv-LV"/>
              </w:rPr>
              <w:t>4.</w:t>
            </w:r>
          </w:p>
        </w:tc>
        <w:tc>
          <w:tcPr>
            <w:tcW w:w="996"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contextualSpacing/>
              <w:rPr>
                <w:rFonts w:eastAsia="Times New Roman" w:cs="Times New Roman"/>
                <w:szCs w:val="24"/>
                <w:lang w:eastAsia="lv-LV"/>
              </w:rPr>
            </w:pPr>
            <w:r w:rsidRPr="006D1F1C">
              <w:rPr>
                <w:rFonts w:eastAsia="Times New Roman" w:cs="Times New Roman"/>
                <w:szCs w:val="24"/>
                <w:lang w:eastAsia="lv-LV"/>
              </w:rPr>
              <w:t>Cita informācija</w:t>
            </w:r>
          </w:p>
        </w:tc>
        <w:tc>
          <w:tcPr>
            <w:tcW w:w="3693"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pStyle w:val="NormalWeb"/>
              <w:contextualSpacing/>
              <w:jc w:val="both"/>
            </w:pPr>
            <w:r>
              <w:t>Nav</w:t>
            </w:r>
            <w:r w:rsidR="00B767EF">
              <w:t>.</w:t>
            </w:r>
          </w:p>
        </w:tc>
      </w:tr>
    </w:tbl>
    <w:p w:rsidR="001C7DC4" w:rsidRDefault="001C7DC4"/>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2373"/>
        <w:gridCol w:w="6785"/>
      </w:tblGrid>
      <w:tr w:rsidR="00DC27EA" w:rsidRPr="00857BA9" w:rsidTr="00194A3D">
        <w:tc>
          <w:tcPr>
            <w:tcW w:w="5000" w:type="pct"/>
            <w:gridSpan w:val="3"/>
          </w:tcPr>
          <w:p w:rsidR="00DC27EA" w:rsidRPr="00857BA9" w:rsidRDefault="00DC27EA" w:rsidP="004213D9">
            <w:pPr>
              <w:jc w:val="center"/>
            </w:pPr>
            <w:r w:rsidRPr="00DD3994">
              <w:rPr>
                <w:b/>
                <w:bCs/>
                <w:lang w:val="fi-FI"/>
              </w:rPr>
              <w:t>II. Tiesību akta projekta ietekme uz sabiedrību, tautsaimniecības attīstību un administratīvo slogu</w:t>
            </w:r>
          </w:p>
        </w:tc>
      </w:tr>
      <w:tr w:rsidR="00DC27EA" w:rsidRPr="00857BA9" w:rsidTr="00194A3D">
        <w:tc>
          <w:tcPr>
            <w:tcW w:w="230" w:type="pct"/>
          </w:tcPr>
          <w:p w:rsidR="00DC27EA" w:rsidRPr="00857BA9" w:rsidRDefault="00DC27EA" w:rsidP="004213D9">
            <w:r w:rsidRPr="00857BA9">
              <w:t>1.</w:t>
            </w:r>
          </w:p>
        </w:tc>
        <w:tc>
          <w:tcPr>
            <w:tcW w:w="1236" w:type="pct"/>
          </w:tcPr>
          <w:p w:rsidR="00DC27EA" w:rsidRPr="00857BA9" w:rsidRDefault="00DC27EA" w:rsidP="004213D9">
            <w:pPr>
              <w:ind w:left="-42" w:right="-108"/>
            </w:pPr>
            <w:r w:rsidRPr="00857BA9">
              <w:t>Sabiedrības mērķgrupas, kuras tiesiskais regulējums ietekmē vai varētu ietekmēt</w:t>
            </w:r>
          </w:p>
        </w:tc>
        <w:tc>
          <w:tcPr>
            <w:tcW w:w="3534" w:type="pct"/>
          </w:tcPr>
          <w:p w:rsidR="00DC27EA" w:rsidRPr="00D07721" w:rsidRDefault="00DC27EA" w:rsidP="003F165E">
            <w:pPr>
              <w:jc w:val="both"/>
              <w:rPr>
                <w:i/>
              </w:rPr>
            </w:pPr>
            <w:r>
              <w:t>Noteikumu projektā ietvertie normu grozījumi attiecas uz visiem valsts budžeta apmaksāto veselības aprūpes pakalpojumu sniedzējiem un saņēmējiem.</w:t>
            </w:r>
          </w:p>
        </w:tc>
      </w:tr>
      <w:tr w:rsidR="00DC27EA" w:rsidRPr="00EF3FA3" w:rsidTr="00194A3D">
        <w:tc>
          <w:tcPr>
            <w:tcW w:w="230" w:type="pct"/>
          </w:tcPr>
          <w:p w:rsidR="00DC27EA" w:rsidRPr="00857BA9" w:rsidRDefault="00DC27EA" w:rsidP="004213D9">
            <w:r w:rsidRPr="00857BA9">
              <w:t>2.</w:t>
            </w:r>
          </w:p>
        </w:tc>
        <w:tc>
          <w:tcPr>
            <w:tcW w:w="1236" w:type="pct"/>
          </w:tcPr>
          <w:p w:rsidR="00DC27EA" w:rsidRPr="00857BA9" w:rsidRDefault="00DC27EA" w:rsidP="004213D9">
            <w:pPr>
              <w:ind w:left="-42" w:right="-108"/>
            </w:pPr>
            <w:r w:rsidRPr="00857BA9">
              <w:t>Tiesiskā regulējuma ietekme uz tautsaimniecību un administratīvo slogu</w:t>
            </w:r>
          </w:p>
        </w:tc>
        <w:tc>
          <w:tcPr>
            <w:tcW w:w="3534" w:type="pct"/>
          </w:tcPr>
          <w:p w:rsidR="00DC27EA" w:rsidRPr="00B767EF" w:rsidRDefault="00C10DBC" w:rsidP="005E5CF1">
            <w:pPr>
              <w:jc w:val="both"/>
              <w:rPr>
                <w:color w:val="000000" w:themeColor="text1"/>
              </w:rPr>
            </w:pPr>
            <w:r w:rsidRPr="008812B4">
              <w:rPr>
                <w:color w:val="000000" w:themeColor="text1"/>
              </w:rPr>
              <w:t>Nav.</w:t>
            </w:r>
          </w:p>
        </w:tc>
      </w:tr>
      <w:tr w:rsidR="00DC27EA" w:rsidRPr="00822F53" w:rsidTr="00194A3D">
        <w:tc>
          <w:tcPr>
            <w:tcW w:w="230" w:type="pct"/>
          </w:tcPr>
          <w:p w:rsidR="00DC27EA" w:rsidRPr="00857BA9" w:rsidRDefault="00DC27EA" w:rsidP="004213D9">
            <w:r w:rsidRPr="00857BA9">
              <w:t>3.</w:t>
            </w:r>
          </w:p>
        </w:tc>
        <w:tc>
          <w:tcPr>
            <w:tcW w:w="1236" w:type="pct"/>
          </w:tcPr>
          <w:p w:rsidR="00DC27EA" w:rsidRPr="00857BA9" w:rsidRDefault="00DC27EA" w:rsidP="004213D9">
            <w:pPr>
              <w:ind w:left="-42" w:right="-108"/>
            </w:pPr>
            <w:r w:rsidRPr="00857BA9">
              <w:t>Administratīvo izmaksu monetārs novērtējums</w:t>
            </w:r>
          </w:p>
        </w:tc>
        <w:tc>
          <w:tcPr>
            <w:tcW w:w="3534" w:type="pct"/>
          </w:tcPr>
          <w:p w:rsidR="00416A21" w:rsidRPr="00416A21" w:rsidRDefault="00C10DBC" w:rsidP="004D5766">
            <w:pPr>
              <w:jc w:val="both"/>
            </w:pPr>
            <w:r>
              <w:t>Nav.</w:t>
            </w:r>
          </w:p>
        </w:tc>
      </w:tr>
      <w:tr w:rsidR="00DC27EA" w:rsidRPr="00857BA9" w:rsidTr="00194A3D">
        <w:tc>
          <w:tcPr>
            <w:tcW w:w="230" w:type="pct"/>
          </w:tcPr>
          <w:p w:rsidR="00DC27EA" w:rsidRPr="00857BA9" w:rsidRDefault="00DC27EA" w:rsidP="004213D9">
            <w:r w:rsidRPr="00857BA9">
              <w:t>4.</w:t>
            </w:r>
          </w:p>
        </w:tc>
        <w:tc>
          <w:tcPr>
            <w:tcW w:w="1236" w:type="pct"/>
          </w:tcPr>
          <w:p w:rsidR="00DC27EA" w:rsidRPr="00857BA9" w:rsidRDefault="00DC27EA" w:rsidP="004213D9">
            <w:pPr>
              <w:ind w:left="-42" w:right="-108"/>
            </w:pPr>
            <w:r w:rsidRPr="00857BA9">
              <w:t>Cita informācija</w:t>
            </w:r>
          </w:p>
        </w:tc>
        <w:tc>
          <w:tcPr>
            <w:tcW w:w="3534" w:type="pct"/>
          </w:tcPr>
          <w:p w:rsidR="00DC27EA" w:rsidRPr="00857BA9" w:rsidRDefault="00C10DBC" w:rsidP="004213D9">
            <w:pPr>
              <w:jc w:val="both"/>
              <w:rPr>
                <w:highlight w:val="yellow"/>
              </w:rPr>
            </w:pPr>
            <w:r w:rsidRPr="00C10DBC">
              <w:t>Nav.</w:t>
            </w:r>
          </w:p>
        </w:tc>
      </w:tr>
    </w:tbl>
    <w:p w:rsidR="00DC27EA" w:rsidRDefault="00DC27EA" w:rsidP="00C421D8">
      <w:pPr>
        <w:ind w:right="-143"/>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3"/>
        <w:gridCol w:w="1889"/>
        <w:gridCol w:w="1986"/>
        <w:gridCol w:w="1552"/>
        <w:gridCol w:w="1563"/>
        <w:gridCol w:w="995"/>
      </w:tblGrid>
      <w:tr w:rsidR="002D74E0" w:rsidRPr="006D1F1C" w:rsidTr="00194A3D">
        <w:trPr>
          <w:jc w:val="center"/>
        </w:trPr>
        <w:tc>
          <w:tcPr>
            <w:tcW w:w="5000" w:type="pct"/>
            <w:gridSpan w:val="6"/>
            <w:tcBorders>
              <w:top w:val="outset" w:sz="6" w:space="0" w:color="auto"/>
              <w:left w:val="outset" w:sz="6" w:space="0" w:color="auto"/>
              <w:bottom w:val="outset" w:sz="6" w:space="0" w:color="auto"/>
              <w:right w:val="outset" w:sz="6" w:space="0" w:color="auto"/>
            </w:tcBorders>
            <w:vAlign w:val="center"/>
          </w:tcPr>
          <w:p w:rsidR="002D74E0" w:rsidRPr="006D1F1C" w:rsidRDefault="002D74E0" w:rsidP="00DC2951">
            <w:pPr>
              <w:spacing w:before="75" w:after="75"/>
              <w:jc w:val="center"/>
              <w:rPr>
                <w:rFonts w:eastAsia="Times New Roman" w:cs="Times New Roman"/>
                <w:szCs w:val="24"/>
                <w:lang w:eastAsia="lv-LV"/>
              </w:rPr>
            </w:pPr>
            <w:r w:rsidRPr="002D74E0">
              <w:rPr>
                <w:rFonts w:eastAsia="Times New Roman" w:cs="Times New Roman"/>
                <w:szCs w:val="24"/>
                <w:lang w:eastAsia="lv-LV"/>
              </w:rPr>
              <w:t>III. Tiesību akta projekta ietekme uz valsts budžetu un pašvaldību budžetiem</w:t>
            </w:r>
          </w:p>
        </w:tc>
      </w:tr>
      <w:tr w:rsidR="002D74E0" w:rsidRPr="006D1F1C" w:rsidTr="002A2430">
        <w:trPr>
          <w:jc w:val="center"/>
        </w:trPr>
        <w:tc>
          <w:tcPr>
            <w:tcW w:w="883" w:type="pct"/>
            <w:vMerge w:val="restar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b/>
                <w:bCs/>
                <w:szCs w:val="24"/>
                <w:lang w:eastAsia="lv-LV"/>
              </w:rPr>
              <w:t>Rādītāji</w:t>
            </w:r>
          </w:p>
        </w:tc>
        <w:tc>
          <w:tcPr>
            <w:tcW w:w="199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6</w:t>
            </w:r>
            <w:r w:rsidRPr="006D1F1C">
              <w:rPr>
                <w:rFonts w:eastAsia="Times New Roman" w:cs="Times New Roman"/>
                <w:b/>
                <w:bCs/>
                <w:szCs w:val="24"/>
                <w:lang w:eastAsia="lv-LV"/>
              </w:rPr>
              <w:t>. gads</w:t>
            </w:r>
          </w:p>
        </w:tc>
        <w:tc>
          <w:tcPr>
            <w:tcW w:w="2119" w:type="pct"/>
            <w:gridSpan w:val="3"/>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Cs w:val="24"/>
                <w:lang w:eastAsia="lv-LV"/>
              </w:rPr>
            </w:pPr>
            <w:r w:rsidRPr="006D1F1C">
              <w:rPr>
                <w:rFonts w:eastAsia="Times New Roman" w:cs="Times New Roman"/>
                <w:szCs w:val="24"/>
                <w:lang w:eastAsia="lv-LV"/>
              </w:rPr>
              <w:t>Turpmākie trīs gadi (</w:t>
            </w:r>
            <w:proofErr w:type="spellStart"/>
            <w:r w:rsidRPr="006D1F1C">
              <w:rPr>
                <w:rFonts w:eastAsia="Times New Roman" w:cs="Times New Roman"/>
                <w:i/>
                <w:szCs w:val="24"/>
                <w:lang w:eastAsia="lv-LV"/>
              </w:rPr>
              <w:t>euro</w:t>
            </w:r>
            <w:proofErr w:type="spellEnd"/>
            <w:r w:rsidRPr="006D1F1C">
              <w:rPr>
                <w:rFonts w:eastAsia="Times New Roman" w:cs="Times New Roman"/>
                <w:szCs w:val="24"/>
                <w:lang w:eastAsia="lv-LV"/>
              </w:rPr>
              <w:t>)</w:t>
            </w:r>
          </w:p>
        </w:tc>
      </w:tr>
      <w:tr w:rsidR="002D74E0" w:rsidRPr="006D1F1C" w:rsidTr="002A2430">
        <w:trPr>
          <w:jc w:val="center"/>
        </w:trPr>
        <w:tc>
          <w:tcPr>
            <w:tcW w:w="883" w:type="pct"/>
            <w:vMerge/>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rPr>
                <w:rFonts w:eastAsia="Times New Roman" w:cs="Times New Roman"/>
                <w:szCs w:val="24"/>
                <w:lang w:eastAsia="lv-LV"/>
              </w:rPr>
            </w:pPr>
          </w:p>
        </w:tc>
        <w:tc>
          <w:tcPr>
            <w:tcW w:w="1998" w:type="pct"/>
            <w:gridSpan w:val="2"/>
            <w:vMerge/>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rPr>
                <w:rFonts w:eastAsia="Times New Roman" w:cs="Times New Roman"/>
                <w:szCs w:val="24"/>
                <w:lang w:eastAsia="lv-LV"/>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7</w:t>
            </w:r>
          </w:p>
        </w:tc>
        <w:tc>
          <w:tcPr>
            <w:tcW w:w="806"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8</w:t>
            </w:r>
          </w:p>
        </w:tc>
        <w:tc>
          <w:tcPr>
            <w:tcW w:w="512"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9</w:t>
            </w:r>
          </w:p>
        </w:tc>
      </w:tr>
      <w:tr w:rsidR="002D74E0" w:rsidRPr="006D1F1C" w:rsidTr="002A2430">
        <w:trPr>
          <w:jc w:val="center"/>
        </w:trPr>
        <w:tc>
          <w:tcPr>
            <w:tcW w:w="883" w:type="pct"/>
            <w:vMerge/>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rPr>
                <w:rFonts w:eastAsia="Times New Roman" w:cs="Times New Roman"/>
                <w:szCs w:val="24"/>
                <w:lang w:eastAsia="lv-LV"/>
              </w:rPr>
            </w:pPr>
          </w:p>
        </w:tc>
        <w:tc>
          <w:tcPr>
            <w:tcW w:w="974"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szCs w:val="24"/>
                <w:lang w:eastAsia="lv-LV"/>
              </w:rPr>
              <w:t>saskaņā ar valsts budžetu kārtējam gadam</w:t>
            </w:r>
            <w:r>
              <w:rPr>
                <w:rFonts w:eastAsia="Times New Roman" w:cs="Times New Roman"/>
                <w:szCs w:val="24"/>
                <w:lang w:eastAsia="lv-LV"/>
              </w:rPr>
              <w:t>*</w:t>
            </w:r>
          </w:p>
        </w:tc>
        <w:tc>
          <w:tcPr>
            <w:tcW w:w="1024"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szCs w:val="24"/>
                <w:lang w:eastAsia="lv-LV"/>
              </w:rPr>
              <w:t>izmaiņas kārtējā gadā, salīdzinot ar valsts budžetu kārtējam gadam</w:t>
            </w:r>
          </w:p>
        </w:tc>
        <w:tc>
          <w:tcPr>
            <w:tcW w:w="800"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c>
          <w:tcPr>
            <w:tcW w:w="806"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c>
          <w:tcPr>
            <w:tcW w:w="512"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r>
      <w:tr w:rsidR="002D74E0" w:rsidRPr="006D1F1C" w:rsidTr="002A2430">
        <w:trPr>
          <w:trHeight w:val="346"/>
          <w:jc w:val="center"/>
        </w:trPr>
        <w:tc>
          <w:tcPr>
            <w:tcW w:w="883"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1</w:t>
            </w:r>
          </w:p>
        </w:tc>
        <w:tc>
          <w:tcPr>
            <w:tcW w:w="974"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2</w:t>
            </w:r>
          </w:p>
        </w:tc>
        <w:tc>
          <w:tcPr>
            <w:tcW w:w="1024"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4</w:t>
            </w:r>
          </w:p>
        </w:tc>
        <w:tc>
          <w:tcPr>
            <w:tcW w:w="806"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5</w:t>
            </w:r>
          </w:p>
        </w:tc>
        <w:tc>
          <w:tcPr>
            <w:tcW w:w="512" w:type="pct"/>
            <w:tcBorders>
              <w:top w:val="outset" w:sz="6" w:space="0" w:color="auto"/>
              <w:left w:val="outset" w:sz="6" w:space="0" w:color="auto"/>
              <w:bottom w:val="outset" w:sz="6" w:space="0" w:color="auto"/>
              <w:right w:val="outset" w:sz="6" w:space="0" w:color="auto"/>
            </w:tcBorders>
            <w:vAlign w:val="center"/>
            <w:hideMark/>
          </w:tcPr>
          <w:p w:rsidR="002D74E0" w:rsidRPr="006D1F1C" w:rsidRDefault="002D74E0" w:rsidP="00DC2951">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6</w:t>
            </w: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b/>
                <w:bCs/>
                <w:szCs w:val="24"/>
              </w:rPr>
            </w:pPr>
            <w:r w:rsidRPr="006D1F1C">
              <w:rPr>
                <w:rFonts w:cs="Times New Roman"/>
                <w:b/>
                <w:bCs/>
              </w:rPr>
              <w:lastRenderedPageBreak/>
              <w:t>1. Budžeta ieņēmumi:</w:t>
            </w:r>
          </w:p>
        </w:tc>
        <w:tc>
          <w:tcPr>
            <w:tcW w:w="974" w:type="pct"/>
            <w:tcBorders>
              <w:top w:val="outset" w:sz="6" w:space="0" w:color="auto"/>
              <w:left w:val="outset" w:sz="6" w:space="0" w:color="auto"/>
              <w:bottom w:val="outset" w:sz="6" w:space="0" w:color="auto"/>
              <w:right w:val="outset" w:sz="6" w:space="0" w:color="auto"/>
            </w:tcBorders>
            <w:hideMark/>
          </w:tcPr>
          <w:p w:rsidR="002D74E0" w:rsidRPr="00AF6B3C" w:rsidRDefault="002D74E0" w:rsidP="00DC2951">
            <w:pPr>
              <w:rPr>
                <w:rFonts w:eastAsia="Times New Roman" w:cs="Times New Roman"/>
                <w:b/>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1.1. valsts pamatbudžets, tai skaitā ieņēmumi no maksas pakalpojumiem un citi pašu ieņēmumi</w:t>
            </w:r>
          </w:p>
        </w:tc>
        <w:tc>
          <w:tcPr>
            <w:tcW w:w="974" w:type="pct"/>
            <w:tcBorders>
              <w:top w:val="outset" w:sz="6" w:space="0" w:color="auto"/>
              <w:left w:val="outset" w:sz="6" w:space="0" w:color="auto"/>
              <w:bottom w:val="outset" w:sz="6" w:space="0" w:color="auto"/>
              <w:right w:val="outset" w:sz="6" w:space="0" w:color="auto"/>
            </w:tcBorders>
            <w:hideMark/>
          </w:tcPr>
          <w:p w:rsidR="002D74E0" w:rsidRPr="00AF6B3C" w:rsidRDefault="002D74E0" w:rsidP="00DC2951">
            <w:pPr>
              <w:rPr>
                <w:rFonts w:eastAsia="Times New Roman" w:cs="Times New Roman"/>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1.2. valsts speciālais 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1.3. pašvaldību 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b/>
                <w:bCs/>
                <w:szCs w:val="24"/>
              </w:rPr>
            </w:pPr>
            <w:r w:rsidRPr="006D1F1C">
              <w:rPr>
                <w:rFonts w:cs="Times New Roman"/>
                <w:b/>
                <w:bCs/>
              </w:rPr>
              <w:t>2. Budžeta izdevumi:</w:t>
            </w:r>
          </w:p>
        </w:tc>
        <w:tc>
          <w:tcPr>
            <w:tcW w:w="974" w:type="pct"/>
            <w:tcBorders>
              <w:top w:val="outset" w:sz="6" w:space="0" w:color="auto"/>
              <w:left w:val="outset" w:sz="6" w:space="0" w:color="auto"/>
              <w:bottom w:val="outset" w:sz="6" w:space="0" w:color="auto"/>
              <w:right w:val="outset" w:sz="6" w:space="0" w:color="auto"/>
            </w:tcBorders>
            <w:hideMark/>
          </w:tcPr>
          <w:p w:rsidR="002D74E0" w:rsidRPr="00AF6B3C" w:rsidRDefault="002D74E0" w:rsidP="00DC2951">
            <w:pPr>
              <w:rPr>
                <w:rFonts w:eastAsia="Times New Roman" w:cs="Times New Roman"/>
                <w:b/>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2.1. valsts pamatbudžets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Default="002D74E0" w:rsidP="00DC2951">
            <w:pPr>
              <w:rPr>
                <w:rFonts w:cs="Times New Roman"/>
              </w:rPr>
            </w:pPr>
            <w:r>
              <w:rPr>
                <w:rFonts w:cs="Times New Roman"/>
              </w:rPr>
              <w:t xml:space="preserve">apakšprogramma 33.01.00 </w:t>
            </w:r>
          </w:p>
          <w:p w:rsidR="002D74E0" w:rsidRPr="006D1F1C" w:rsidRDefault="002D74E0" w:rsidP="00DC2951">
            <w:pPr>
              <w:rPr>
                <w:rFonts w:cs="Times New Roman"/>
              </w:rPr>
            </w:pPr>
            <w:r>
              <w:rPr>
                <w:rFonts w:cs="Times New Roman"/>
              </w:rPr>
              <w:t>„Ārstniecība”</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Default="002D74E0" w:rsidP="00DC2951">
            <w:pPr>
              <w:rPr>
                <w:rFonts w:cs="Times New Roman"/>
              </w:rPr>
            </w:pPr>
            <w:r>
              <w:rPr>
                <w:rFonts w:cs="Times New Roman"/>
              </w:rPr>
              <w:t xml:space="preserve">apakšprogramma 33.04.00 </w:t>
            </w:r>
          </w:p>
          <w:p w:rsidR="002D74E0" w:rsidRPr="006D1F1C" w:rsidRDefault="002D74E0" w:rsidP="00DC2951">
            <w:pPr>
              <w:rPr>
                <w:rFonts w:cs="Times New Roman"/>
              </w:rPr>
            </w:pPr>
            <w:r>
              <w:rPr>
                <w:rFonts w:cs="Times New Roman"/>
              </w:rPr>
              <w:t>„</w:t>
            </w:r>
            <w:r w:rsidRPr="009F5D00">
              <w:rPr>
                <w:rFonts w:eastAsia="Times New Roman" w:cs="Times New Roman"/>
                <w:color w:val="000000"/>
                <w:shd w:val="clear" w:color="auto" w:fill="FFFFFF"/>
                <w:lang w:eastAsia="lv-LV" w:bidi="lv-LV"/>
              </w:rPr>
              <w:t>Centralizēta medikamentu un materiālu iegāde</w:t>
            </w:r>
            <w:r>
              <w:rPr>
                <w:rFonts w:cs="Times New Roman"/>
              </w:rPr>
              <w:t>”</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2.2. valsts speciālais 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 xml:space="preserve">2.3. pašvaldību budžets </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b/>
                <w:szCs w:val="24"/>
              </w:rPr>
            </w:pPr>
            <w:r w:rsidRPr="006D1F1C">
              <w:rPr>
                <w:rFonts w:cs="Times New Roman"/>
                <w:b/>
              </w:rPr>
              <w:t>3. Finansiālā ietekme:</w:t>
            </w:r>
          </w:p>
        </w:tc>
        <w:tc>
          <w:tcPr>
            <w:tcW w:w="974" w:type="pct"/>
            <w:tcBorders>
              <w:top w:val="outset" w:sz="6" w:space="0" w:color="auto"/>
              <w:left w:val="outset" w:sz="6" w:space="0" w:color="auto"/>
              <w:bottom w:val="outset" w:sz="6" w:space="0" w:color="auto"/>
              <w:right w:val="outset" w:sz="6" w:space="0" w:color="auto"/>
            </w:tcBorders>
            <w:vAlign w:val="bottom"/>
            <w:hideMark/>
          </w:tcPr>
          <w:p w:rsidR="002D74E0" w:rsidRPr="002929D5" w:rsidRDefault="002D74E0" w:rsidP="00DC2951">
            <w:pPr>
              <w:rPr>
                <w:rFonts w:cs="Times New Roman"/>
                <w:b/>
                <w:strike/>
              </w:rPr>
            </w:pPr>
          </w:p>
        </w:tc>
        <w:tc>
          <w:tcPr>
            <w:tcW w:w="1024" w:type="pct"/>
            <w:tcBorders>
              <w:top w:val="outset" w:sz="6" w:space="0" w:color="auto"/>
              <w:left w:val="outset" w:sz="6" w:space="0" w:color="auto"/>
              <w:bottom w:val="outset" w:sz="6" w:space="0" w:color="auto"/>
              <w:right w:val="outset" w:sz="6" w:space="0" w:color="auto"/>
            </w:tcBorders>
            <w:vAlign w:val="bottom"/>
            <w:hideMark/>
          </w:tcPr>
          <w:p w:rsidR="002D74E0" w:rsidRPr="002929D5" w:rsidRDefault="002D74E0" w:rsidP="00DC2951">
            <w:pPr>
              <w:rPr>
                <w:rFonts w:cs="Times New Roman"/>
                <w:b/>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cs="Times New Roman"/>
                <w:szCs w:val="24"/>
              </w:rPr>
            </w:pPr>
            <w:r w:rsidRPr="006D1F1C">
              <w:rPr>
                <w:rFonts w:cs="Times New Roman"/>
              </w:rPr>
              <w:t>3.1. valsts pamatbudžets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3.2. speciālais budžets</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 xml:space="preserve">3.3. pašvaldību budžets </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trHeight w:val="1380"/>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lastRenderedPageBreak/>
              <w:t>4. Finanšu līdzekļi papildu izdevumu finansēšanai (kompensējošu izdevumu samazinājumu norāda ar "+" zīmi)</w:t>
            </w:r>
          </w:p>
        </w:tc>
        <w:tc>
          <w:tcPr>
            <w:tcW w:w="97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spacing w:before="75" w:after="75"/>
              <w:rPr>
                <w:rFonts w:eastAsia="Times New Roman" w:cs="Times New Roman"/>
                <w:strike/>
                <w:lang w:eastAsia="lv-LV"/>
              </w:rPr>
            </w:pPr>
          </w:p>
        </w:tc>
        <w:tc>
          <w:tcPr>
            <w:tcW w:w="1024" w:type="pct"/>
            <w:tcBorders>
              <w:top w:val="outset" w:sz="6" w:space="0" w:color="auto"/>
              <w:left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5. Precizēta finansiālā ietekme:</w:t>
            </w:r>
          </w:p>
        </w:tc>
        <w:tc>
          <w:tcPr>
            <w:tcW w:w="974" w:type="pct"/>
            <w:vMerge w:val="restart"/>
            <w:tcBorders>
              <w:top w:val="outset" w:sz="6" w:space="0" w:color="auto"/>
              <w:left w:val="outset" w:sz="6" w:space="0" w:color="auto"/>
              <w:bottom w:val="outset" w:sz="6" w:space="0" w:color="auto"/>
              <w:right w:val="outset" w:sz="6" w:space="0" w:color="auto"/>
            </w:tcBorders>
            <w:hideMark/>
          </w:tcPr>
          <w:p w:rsidR="002D74E0" w:rsidRPr="00B767EF" w:rsidRDefault="002D74E0" w:rsidP="00DC2951">
            <w:pPr>
              <w:spacing w:before="75" w:after="75"/>
              <w:rPr>
                <w:rFonts w:eastAsia="Times New Roman" w:cs="Times New Roman"/>
                <w:lang w:eastAsia="lv-LV"/>
              </w:rPr>
            </w:pPr>
            <w:r w:rsidRPr="00B767EF">
              <w:rPr>
                <w:rFonts w:eastAsia="Times New Roman" w:cs="Times New Roman"/>
                <w:sz w:val="22"/>
                <w:lang w:eastAsia="lv-LV"/>
              </w:rPr>
              <w:t>X</w:t>
            </w: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eastAsia="Times New Roman" w:cs="Times New Roman"/>
                <w:b/>
                <w:strike/>
                <w:lang w:eastAsia="lv-LV"/>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5.1. valsts pamatbudžets</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5.2. speciālais budžets</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2D74E0" w:rsidRPr="002929D5" w:rsidRDefault="002D74E0" w:rsidP="00DC2951">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r w:rsidR="002D74E0" w:rsidRPr="006D1F1C" w:rsidTr="002A2430">
        <w:trPr>
          <w:jc w:val="center"/>
        </w:trPr>
        <w:tc>
          <w:tcPr>
            <w:tcW w:w="883" w:type="pct"/>
            <w:tcBorders>
              <w:top w:val="outset" w:sz="6" w:space="0" w:color="auto"/>
              <w:left w:val="outset" w:sz="6" w:space="0" w:color="auto"/>
              <w:bottom w:val="outset" w:sz="6" w:space="0" w:color="auto"/>
              <w:right w:val="outset" w:sz="6" w:space="0" w:color="auto"/>
            </w:tcBorders>
            <w:hideMark/>
          </w:tcPr>
          <w:p w:rsidR="002D74E0" w:rsidRPr="006D1F1C" w:rsidRDefault="002D74E0" w:rsidP="00DC2951">
            <w:pPr>
              <w:rPr>
                <w:rFonts w:eastAsia="Times New Roman" w:cs="Times New Roman"/>
                <w:szCs w:val="24"/>
                <w:lang w:eastAsia="lv-LV"/>
              </w:rPr>
            </w:pPr>
            <w:r w:rsidRPr="006D1F1C">
              <w:rPr>
                <w:rFonts w:eastAsia="Times New Roman" w:cs="Times New Roman"/>
                <w:szCs w:val="24"/>
                <w:lang w:eastAsia="lv-LV"/>
              </w:rPr>
              <w:t xml:space="preserve">5.3. pašvaldību budžets </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2D74E0" w:rsidRPr="002929D5" w:rsidRDefault="002D74E0" w:rsidP="00DC2951">
            <w:pPr>
              <w:rPr>
                <w:rFonts w:eastAsia="Times New Roman" w:cs="Times New Roman"/>
                <w:strike/>
                <w:szCs w:val="24"/>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c>
          <w:tcPr>
            <w:tcW w:w="512" w:type="pct"/>
            <w:tcBorders>
              <w:top w:val="outset" w:sz="6" w:space="0" w:color="auto"/>
              <w:left w:val="outset" w:sz="6" w:space="0" w:color="auto"/>
              <w:bottom w:val="outset" w:sz="6" w:space="0" w:color="auto"/>
              <w:right w:val="outset" w:sz="6" w:space="0" w:color="auto"/>
            </w:tcBorders>
            <w:hideMark/>
          </w:tcPr>
          <w:p w:rsidR="002D74E0" w:rsidRPr="002929D5" w:rsidRDefault="002D74E0" w:rsidP="00DC2951">
            <w:pPr>
              <w:rPr>
                <w:rFonts w:cs="Times New Roman"/>
                <w:strike/>
              </w:rPr>
            </w:pPr>
          </w:p>
        </w:tc>
      </w:tr>
    </w:tbl>
    <w:p w:rsidR="004325FC" w:rsidRDefault="004325FC"/>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049"/>
        <w:gridCol w:w="6789"/>
      </w:tblGrid>
      <w:tr w:rsidR="00DC27EA" w:rsidRPr="00857BA9" w:rsidTr="00375483">
        <w:tc>
          <w:tcPr>
            <w:tcW w:w="5000" w:type="pct"/>
            <w:gridSpan w:val="3"/>
          </w:tcPr>
          <w:p w:rsidR="00DC27EA" w:rsidRPr="00857BA9" w:rsidRDefault="00DC27EA" w:rsidP="004213D9">
            <w:pPr>
              <w:jc w:val="center"/>
            </w:pPr>
            <w:r w:rsidRPr="00857BA9">
              <w:rPr>
                <w:b/>
                <w:bCs/>
              </w:rPr>
              <w:t>VI. Sabiedrības līdzdalība un komunikācijas aktivitātes</w:t>
            </w:r>
          </w:p>
        </w:tc>
      </w:tr>
      <w:tr w:rsidR="00DC27EA" w:rsidRPr="00A90D50" w:rsidTr="00375483">
        <w:tc>
          <w:tcPr>
            <w:tcW w:w="397" w:type="pct"/>
          </w:tcPr>
          <w:p w:rsidR="00DC27EA" w:rsidRPr="00857BA9" w:rsidRDefault="00DC27EA" w:rsidP="004213D9">
            <w:r w:rsidRPr="00857BA9">
              <w:t>1.</w:t>
            </w:r>
          </w:p>
        </w:tc>
        <w:tc>
          <w:tcPr>
            <w:tcW w:w="1067" w:type="pct"/>
          </w:tcPr>
          <w:p w:rsidR="00DC27EA" w:rsidRPr="00857BA9" w:rsidRDefault="00DC27EA" w:rsidP="004213D9">
            <w:r w:rsidRPr="00857BA9">
              <w:t>Plānotās sabiedrības līdzdalības un komunikācijas aktivitātes saistībā ar projektu</w:t>
            </w:r>
          </w:p>
        </w:tc>
        <w:tc>
          <w:tcPr>
            <w:tcW w:w="3536" w:type="pct"/>
          </w:tcPr>
          <w:p w:rsidR="00DC27EA" w:rsidRPr="002A2430" w:rsidRDefault="002A2430" w:rsidP="00861A9B">
            <w:pPr>
              <w:jc w:val="both"/>
            </w:pPr>
            <w:r w:rsidRPr="002A2430">
              <w:t xml:space="preserve">Noteikumu </w:t>
            </w:r>
            <w:r>
              <w:t xml:space="preserve">projekts  un tā </w:t>
            </w:r>
            <w:r w:rsidRPr="002A2430">
              <w:t>sākotnējās ietekmes novērtējuma ziņojums (anotācija)</w:t>
            </w:r>
            <w:r>
              <w:t xml:space="preserve"> ar pielikumu ievietots Veselības ministrijas tīmekļa vietnē sabiedriskās apspriedes sanāksmei.</w:t>
            </w:r>
          </w:p>
        </w:tc>
      </w:tr>
      <w:tr w:rsidR="00DC27EA" w:rsidRPr="00A90D50" w:rsidTr="00375483">
        <w:tc>
          <w:tcPr>
            <w:tcW w:w="397" w:type="pct"/>
          </w:tcPr>
          <w:p w:rsidR="00DC27EA" w:rsidRPr="00857BA9" w:rsidRDefault="00DC27EA" w:rsidP="004213D9">
            <w:r w:rsidRPr="00857BA9">
              <w:t>2.</w:t>
            </w:r>
          </w:p>
        </w:tc>
        <w:tc>
          <w:tcPr>
            <w:tcW w:w="1067" w:type="pct"/>
          </w:tcPr>
          <w:p w:rsidR="00DC27EA" w:rsidRPr="00857BA9" w:rsidRDefault="00DC27EA" w:rsidP="004213D9">
            <w:r w:rsidRPr="00857BA9">
              <w:t>Sabiedrības līdzdalība projekta izstrādē</w:t>
            </w:r>
          </w:p>
        </w:tc>
        <w:tc>
          <w:tcPr>
            <w:tcW w:w="3536" w:type="pct"/>
          </w:tcPr>
          <w:p w:rsidR="00DC27EA" w:rsidRPr="004D5766" w:rsidRDefault="002A2430" w:rsidP="00AA1916">
            <w:pPr>
              <w:jc w:val="both"/>
            </w:pPr>
            <w:r>
              <w:t>Nav.</w:t>
            </w:r>
          </w:p>
        </w:tc>
      </w:tr>
      <w:tr w:rsidR="00DC27EA" w:rsidRPr="00A90D50" w:rsidTr="00375483">
        <w:tc>
          <w:tcPr>
            <w:tcW w:w="397" w:type="pct"/>
          </w:tcPr>
          <w:p w:rsidR="00DC27EA" w:rsidRPr="00857BA9" w:rsidRDefault="00DC27EA" w:rsidP="004213D9">
            <w:r w:rsidRPr="00857BA9">
              <w:t>3.</w:t>
            </w:r>
          </w:p>
        </w:tc>
        <w:tc>
          <w:tcPr>
            <w:tcW w:w="1067" w:type="pct"/>
          </w:tcPr>
          <w:p w:rsidR="00DC27EA" w:rsidRPr="00857BA9" w:rsidRDefault="00DC27EA" w:rsidP="004213D9">
            <w:r w:rsidRPr="00857BA9">
              <w:t>Sabiedrības līdzdalības rezultāti</w:t>
            </w:r>
          </w:p>
        </w:tc>
        <w:tc>
          <w:tcPr>
            <w:tcW w:w="3536" w:type="pct"/>
          </w:tcPr>
          <w:p w:rsidR="002A2430" w:rsidRPr="00375483" w:rsidRDefault="002A2430" w:rsidP="002A2430">
            <w:pPr>
              <w:jc w:val="both"/>
            </w:pPr>
            <w:r>
              <w:t>Nav</w:t>
            </w:r>
          </w:p>
          <w:p w:rsidR="00DC27EA" w:rsidRPr="00375483" w:rsidRDefault="00DC27EA" w:rsidP="00375483">
            <w:pPr>
              <w:jc w:val="both"/>
            </w:pPr>
          </w:p>
        </w:tc>
      </w:tr>
      <w:tr w:rsidR="00DC27EA" w:rsidRPr="00857BA9" w:rsidTr="00375483">
        <w:tc>
          <w:tcPr>
            <w:tcW w:w="397" w:type="pct"/>
          </w:tcPr>
          <w:p w:rsidR="00DC27EA" w:rsidRPr="00857BA9" w:rsidRDefault="00DC27EA" w:rsidP="004213D9">
            <w:r w:rsidRPr="00857BA9">
              <w:t>4.</w:t>
            </w:r>
          </w:p>
        </w:tc>
        <w:tc>
          <w:tcPr>
            <w:tcW w:w="1067" w:type="pct"/>
          </w:tcPr>
          <w:p w:rsidR="00DC27EA" w:rsidRPr="00857BA9" w:rsidRDefault="00DC27EA" w:rsidP="004213D9">
            <w:r w:rsidRPr="00857BA9">
              <w:t>Cita informācija</w:t>
            </w:r>
          </w:p>
        </w:tc>
        <w:tc>
          <w:tcPr>
            <w:tcW w:w="3536" w:type="pct"/>
          </w:tcPr>
          <w:p w:rsidR="00DC27EA" w:rsidRPr="00857BA9" w:rsidRDefault="00AF5893" w:rsidP="004213D9">
            <w:r>
              <w:t>Nav.</w:t>
            </w:r>
          </w:p>
        </w:tc>
      </w:tr>
    </w:tbl>
    <w:p w:rsidR="00DC27EA" w:rsidRDefault="00DC27EA"/>
    <w:tbl>
      <w:tblPr>
        <w:tblW w:w="4960" w:type="pct"/>
        <w:jc w:val="center"/>
        <w:tblInd w:w="-7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7"/>
        <w:gridCol w:w="3330"/>
        <w:gridCol w:w="5233"/>
      </w:tblGrid>
      <w:tr w:rsidR="00DC27EA" w:rsidRPr="006D1F1C" w:rsidTr="00C421D8">
        <w:trPr>
          <w:trHeight w:val="375"/>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C27EA" w:rsidRPr="006D1F1C" w:rsidRDefault="00DC27EA" w:rsidP="004213D9">
            <w:pPr>
              <w:spacing w:before="75" w:after="75"/>
              <w:rPr>
                <w:rFonts w:eastAsia="Times New Roman" w:cs="Times New Roman"/>
                <w:szCs w:val="24"/>
                <w:lang w:eastAsia="lv-LV"/>
              </w:rPr>
            </w:pPr>
            <w:r w:rsidRPr="00DD3994">
              <w:rPr>
                <w:rFonts w:eastAsia="Times New Roman" w:cs="Times New Roman"/>
                <w:b/>
                <w:bCs/>
                <w:szCs w:val="24"/>
                <w:lang w:eastAsia="lv-LV"/>
              </w:rPr>
              <w:t>VII. Tiesību akta projekta izpildes nodrošināšana un tās ietekme uz institūcijām</w:t>
            </w:r>
          </w:p>
        </w:tc>
      </w:tr>
      <w:tr w:rsidR="00DC27EA" w:rsidRPr="006D1F1C" w:rsidTr="00375483">
        <w:trPr>
          <w:trHeight w:val="42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1.</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Projekta izpildē iesaistītās institūcijas</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F277B9" w:rsidP="002A2430">
            <w:pPr>
              <w:rPr>
                <w:rFonts w:eastAsia="Times New Roman" w:cs="Times New Roman"/>
                <w:szCs w:val="24"/>
                <w:lang w:eastAsia="lv-LV"/>
              </w:rPr>
            </w:pPr>
            <w:r w:rsidRPr="004F4A31">
              <w:rPr>
                <w:rFonts w:eastAsia="Times New Roman" w:cs="Times New Roman"/>
                <w:szCs w:val="24"/>
                <w:lang w:eastAsia="lv-LV"/>
              </w:rPr>
              <w:t xml:space="preserve">Nacionālais veselības dienests, </w:t>
            </w:r>
            <w:r>
              <w:rPr>
                <w:rFonts w:eastAsia="Times New Roman" w:cs="Times New Roman"/>
                <w:szCs w:val="24"/>
                <w:lang w:eastAsia="lv-LV"/>
              </w:rPr>
              <w:t>ārstniecības iestādes.</w:t>
            </w:r>
          </w:p>
        </w:tc>
      </w:tr>
      <w:tr w:rsidR="00DC27EA" w:rsidRPr="006D1F1C" w:rsidTr="00375483">
        <w:trPr>
          <w:trHeight w:val="45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2.</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 xml:space="preserve">Projekta izpildes ietekme uz pārvaldes funkcijām un institucionālo struktūru. </w:t>
            </w:r>
          </w:p>
          <w:p w:rsidR="00DC27EA" w:rsidRPr="006D1F1C" w:rsidRDefault="00DC27EA" w:rsidP="004213D9">
            <w:pPr>
              <w:spacing w:before="75" w:after="75"/>
              <w:rPr>
                <w:rFonts w:eastAsia="Times New Roman" w:cs="Times New Roman"/>
                <w:szCs w:val="24"/>
                <w:lang w:eastAsia="lv-LV"/>
              </w:rPr>
            </w:pPr>
            <w:r w:rsidRPr="006D1F1C">
              <w:rPr>
                <w:rFonts w:eastAsia="Times New Roman" w:cs="Times New Roman"/>
                <w:szCs w:val="24"/>
                <w:lang w:eastAsia="lv-LV"/>
              </w:rPr>
              <w:t>Jaunu institūciju izveide, esošu institūciju likvidācija vai reorganizācija, to ietekme uz institūcijas cilvēkresursiem</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spacing w:before="75" w:after="75"/>
              <w:rPr>
                <w:rFonts w:eastAsia="Times New Roman" w:cs="Times New Roman"/>
                <w:szCs w:val="24"/>
                <w:lang w:eastAsia="lv-LV"/>
              </w:rPr>
            </w:pPr>
            <w:r>
              <w:rPr>
                <w:rFonts w:eastAsia="Times New Roman" w:cs="Times New Roman"/>
                <w:szCs w:val="24"/>
                <w:lang w:eastAsia="lv-LV"/>
              </w:rPr>
              <w:t>Nav.</w:t>
            </w:r>
          </w:p>
        </w:tc>
      </w:tr>
      <w:tr w:rsidR="00DC27EA" w:rsidRPr="006D1F1C" w:rsidTr="00375483">
        <w:trPr>
          <w:trHeight w:val="39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lastRenderedPageBreak/>
              <w:t>3.</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Cita informācija</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spacing w:before="75" w:after="75"/>
              <w:rPr>
                <w:rFonts w:eastAsia="Times New Roman" w:cs="Times New Roman"/>
                <w:szCs w:val="24"/>
                <w:lang w:eastAsia="lv-LV"/>
              </w:rPr>
            </w:pPr>
            <w:r w:rsidRPr="006D1F1C">
              <w:rPr>
                <w:rFonts w:eastAsia="Times New Roman" w:cs="Times New Roman"/>
                <w:szCs w:val="24"/>
                <w:lang w:eastAsia="lv-LV"/>
              </w:rPr>
              <w:t>Nav.</w:t>
            </w:r>
          </w:p>
        </w:tc>
      </w:tr>
    </w:tbl>
    <w:p w:rsidR="00DC27EA" w:rsidRDefault="00DC27EA" w:rsidP="00DC27EA">
      <w:pPr>
        <w:spacing w:after="480"/>
        <w:contextualSpacing/>
        <w:rPr>
          <w:rFonts w:cs="Times New Roman"/>
        </w:rPr>
      </w:pPr>
      <w:r w:rsidRPr="00DD3994">
        <w:rPr>
          <w:rFonts w:cs="Times New Roman"/>
          <w:szCs w:val="24"/>
        </w:rPr>
        <w:t>Anotācijas</w:t>
      </w:r>
      <w:r>
        <w:rPr>
          <w:rFonts w:cs="Times New Roman"/>
          <w:szCs w:val="24"/>
        </w:rPr>
        <w:t xml:space="preserve">, IV un V sadaļa </w:t>
      </w:r>
      <w:r w:rsidRPr="00DD3994">
        <w:rPr>
          <w:rFonts w:cs="Times New Roman"/>
          <w:szCs w:val="24"/>
        </w:rPr>
        <w:t xml:space="preserve">– </w:t>
      </w:r>
      <w:r w:rsidRPr="00DD3994">
        <w:rPr>
          <w:rFonts w:cs="Times New Roman"/>
        </w:rPr>
        <w:t>Projekts šīs jomas neskar.</w:t>
      </w:r>
    </w:p>
    <w:p w:rsidR="002703FA" w:rsidRDefault="002703FA" w:rsidP="00DC27EA">
      <w:pPr>
        <w:spacing w:after="480"/>
        <w:contextualSpacing/>
        <w:rPr>
          <w:rFonts w:cs="Times New Roman"/>
        </w:rPr>
      </w:pPr>
    </w:p>
    <w:p w:rsidR="00DC27EA" w:rsidRPr="00DD3994" w:rsidRDefault="00DC27EA" w:rsidP="00DC27EA">
      <w:pPr>
        <w:spacing w:after="480"/>
        <w:contextualSpacing/>
        <w:rPr>
          <w:rFonts w:cs="Times New Roman"/>
        </w:rPr>
      </w:pPr>
    </w:p>
    <w:p w:rsidR="00DC27EA" w:rsidRDefault="00DC27EA" w:rsidP="004D5766">
      <w:pPr>
        <w:tabs>
          <w:tab w:val="right" w:pos="9638"/>
        </w:tabs>
        <w:spacing w:after="720"/>
        <w:ind w:right="-766"/>
        <w:contextualSpacing/>
        <w:rPr>
          <w:rFonts w:eastAsia="Calibri" w:cs="Times New Roman"/>
          <w:sz w:val="28"/>
          <w:szCs w:val="28"/>
        </w:rPr>
      </w:pPr>
      <w:r w:rsidRPr="00D21DB0">
        <w:rPr>
          <w:rFonts w:eastAsia="Calibri" w:cs="Times New Roman"/>
          <w:sz w:val="28"/>
          <w:szCs w:val="28"/>
        </w:rPr>
        <w:t>Veselības ministr</w:t>
      </w:r>
      <w:r w:rsidR="004D5766">
        <w:rPr>
          <w:rFonts w:eastAsia="Calibri" w:cs="Times New Roman"/>
          <w:sz w:val="28"/>
          <w:szCs w:val="28"/>
        </w:rPr>
        <w:t>e</w:t>
      </w:r>
      <w:r w:rsidR="004D5766">
        <w:rPr>
          <w:rFonts w:eastAsia="Calibri" w:cs="Times New Roman"/>
          <w:sz w:val="28"/>
          <w:szCs w:val="28"/>
        </w:rPr>
        <w:tab/>
        <w:t xml:space="preserve">Anda </w:t>
      </w:r>
      <w:proofErr w:type="spellStart"/>
      <w:r w:rsidR="004D5766">
        <w:rPr>
          <w:rFonts w:eastAsia="Calibri" w:cs="Times New Roman"/>
          <w:sz w:val="28"/>
          <w:szCs w:val="28"/>
        </w:rPr>
        <w:t>Čakša</w:t>
      </w:r>
      <w:proofErr w:type="spellEnd"/>
      <w:r>
        <w:rPr>
          <w:rFonts w:eastAsia="Calibri" w:cs="Times New Roman"/>
          <w:sz w:val="28"/>
          <w:szCs w:val="28"/>
        </w:rPr>
        <w:tab/>
      </w:r>
    </w:p>
    <w:p w:rsidR="00DC27EA" w:rsidRPr="00CF0941" w:rsidRDefault="00DC27EA" w:rsidP="00DC27EA">
      <w:pPr>
        <w:tabs>
          <w:tab w:val="left" w:pos="7230"/>
          <w:tab w:val="right" w:pos="9072"/>
        </w:tabs>
        <w:spacing w:after="720"/>
        <w:ind w:right="-766"/>
        <w:contextualSpacing/>
        <w:rPr>
          <w:rFonts w:eastAsia="Calibri" w:cs="Times New Roman"/>
          <w:sz w:val="48"/>
          <w:szCs w:val="28"/>
        </w:rPr>
      </w:pPr>
    </w:p>
    <w:p w:rsidR="00C422DE" w:rsidRPr="00FA23FD" w:rsidRDefault="000B2A47" w:rsidP="00FA23FD">
      <w:pPr>
        <w:tabs>
          <w:tab w:val="right" w:pos="9639"/>
        </w:tabs>
        <w:ind w:right="-1"/>
        <w:contextualSpacing/>
        <w:rPr>
          <w:rFonts w:eastAsia="Calibri" w:cs="Times New Roman"/>
          <w:sz w:val="28"/>
          <w:szCs w:val="28"/>
        </w:rPr>
      </w:pPr>
      <w:r>
        <w:rPr>
          <w:rFonts w:eastAsia="Calibri" w:cs="Times New Roman"/>
          <w:sz w:val="28"/>
          <w:szCs w:val="28"/>
        </w:rPr>
        <w:t>Vīza: Valsts sekretāre</w:t>
      </w:r>
      <w:r w:rsidR="00DC27EA">
        <w:rPr>
          <w:rFonts w:eastAsia="Calibri" w:cs="Times New Roman"/>
          <w:sz w:val="28"/>
          <w:szCs w:val="28"/>
        </w:rPr>
        <w:tab/>
      </w:r>
      <w:r>
        <w:rPr>
          <w:rFonts w:eastAsia="Calibri" w:cs="Times New Roman"/>
          <w:sz w:val="28"/>
          <w:szCs w:val="28"/>
        </w:rPr>
        <w:t>Solvita</w:t>
      </w:r>
      <w:r w:rsidR="001F51F1">
        <w:rPr>
          <w:rFonts w:eastAsia="Calibri" w:cs="Times New Roman"/>
          <w:sz w:val="28"/>
          <w:szCs w:val="28"/>
        </w:rPr>
        <w:t xml:space="preserve"> </w:t>
      </w:r>
      <w:proofErr w:type="spellStart"/>
      <w:r>
        <w:rPr>
          <w:rFonts w:eastAsia="Calibri" w:cs="Times New Roman"/>
          <w:sz w:val="28"/>
          <w:szCs w:val="28"/>
        </w:rPr>
        <w:t>Zvidriņa</w:t>
      </w:r>
      <w:proofErr w:type="spellEnd"/>
    </w:p>
    <w:p w:rsidR="005A1B76" w:rsidRDefault="005A1B76" w:rsidP="00A62706">
      <w:pPr>
        <w:spacing w:after="200" w:line="276" w:lineRule="auto"/>
        <w:contextualSpacing/>
        <w:rPr>
          <w:rFonts w:eastAsia="Times New Roman" w:cs="Times New Roman"/>
          <w:sz w:val="20"/>
          <w:szCs w:val="20"/>
          <w:lang w:eastAsia="lv-LV"/>
        </w:rPr>
      </w:pPr>
    </w:p>
    <w:p w:rsidR="007D78FB" w:rsidRDefault="007D78FB" w:rsidP="00A62706">
      <w:pPr>
        <w:spacing w:after="200" w:line="276" w:lineRule="auto"/>
        <w:contextualSpacing/>
        <w:rPr>
          <w:rFonts w:eastAsia="Times New Roman" w:cs="Times New Roman"/>
          <w:sz w:val="20"/>
          <w:szCs w:val="20"/>
          <w:lang w:eastAsia="lv-LV"/>
        </w:rPr>
      </w:pPr>
    </w:p>
    <w:p w:rsidR="007D78FB" w:rsidRDefault="007D78FB" w:rsidP="00A62706">
      <w:pPr>
        <w:spacing w:after="200" w:line="276" w:lineRule="auto"/>
        <w:contextualSpacing/>
        <w:rPr>
          <w:rFonts w:eastAsia="Times New Roman" w:cs="Times New Roman"/>
          <w:sz w:val="20"/>
          <w:szCs w:val="20"/>
          <w:lang w:eastAsia="lv-LV"/>
        </w:rPr>
      </w:pPr>
    </w:p>
    <w:p w:rsidR="007D78FB" w:rsidRDefault="007D78FB" w:rsidP="00A62706">
      <w:pPr>
        <w:spacing w:after="200" w:line="276" w:lineRule="auto"/>
        <w:contextualSpacing/>
        <w:rPr>
          <w:rFonts w:eastAsia="Times New Roman" w:cs="Times New Roman"/>
          <w:sz w:val="20"/>
          <w:szCs w:val="20"/>
          <w:lang w:eastAsia="lv-LV"/>
        </w:rPr>
      </w:pPr>
    </w:p>
    <w:p w:rsidR="00FB0E99" w:rsidRDefault="00FB0E99" w:rsidP="00A62706">
      <w:pPr>
        <w:spacing w:after="200" w:line="276" w:lineRule="auto"/>
        <w:contextualSpacing/>
        <w:rPr>
          <w:rFonts w:eastAsia="Times New Roman" w:cs="Times New Roman"/>
          <w:sz w:val="20"/>
          <w:szCs w:val="20"/>
          <w:lang w:eastAsia="lv-LV"/>
        </w:rPr>
      </w:pPr>
    </w:p>
    <w:p w:rsidR="00A62706" w:rsidRPr="00FA23FD" w:rsidRDefault="00DD395D"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1</w:t>
      </w:r>
      <w:r w:rsidR="00060548">
        <w:rPr>
          <w:rFonts w:eastAsia="Times New Roman" w:cs="Times New Roman"/>
          <w:sz w:val="20"/>
          <w:szCs w:val="20"/>
          <w:lang w:eastAsia="lv-LV"/>
        </w:rPr>
        <w:t>1</w:t>
      </w:r>
      <w:r w:rsidR="00DC27EA" w:rsidRPr="00FA23FD">
        <w:rPr>
          <w:rFonts w:eastAsia="Times New Roman" w:cs="Times New Roman"/>
          <w:sz w:val="20"/>
          <w:szCs w:val="20"/>
          <w:lang w:eastAsia="lv-LV"/>
        </w:rPr>
        <w:t>.0</w:t>
      </w:r>
      <w:r w:rsidR="00FB0E99">
        <w:rPr>
          <w:rFonts w:eastAsia="Times New Roman" w:cs="Times New Roman"/>
          <w:sz w:val="20"/>
          <w:szCs w:val="20"/>
          <w:lang w:eastAsia="lv-LV"/>
        </w:rPr>
        <w:t>8</w:t>
      </w:r>
      <w:r w:rsidR="00DC27EA" w:rsidRPr="00FA23FD">
        <w:rPr>
          <w:rFonts w:eastAsia="Times New Roman" w:cs="Times New Roman"/>
          <w:sz w:val="20"/>
          <w:szCs w:val="20"/>
          <w:lang w:eastAsia="lv-LV"/>
        </w:rPr>
        <w:t xml:space="preserve">.2016 </w:t>
      </w:r>
      <w:r w:rsidR="00194A3D">
        <w:rPr>
          <w:rFonts w:eastAsia="Times New Roman" w:cs="Times New Roman"/>
          <w:sz w:val="20"/>
          <w:szCs w:val="20"/>
          <w:lang w:eastAsia="lv-LV"/>
        </w:rPr>
        <w:t>1</w:t>
      </w:r>
      <w:r w:rsidR="00A27EBE">
        <w:rPr>
          <w:rFonts w:eastAsia="Times New Roman" w:cs="Times New Roman"/>
          <w:sz w:val="20"/>
          <w:szCs w:val="20"/>
          <w:lang w:eastAsia="lv-LV"/>
        </w:rPr>
        <w:t>1</w:t>
      </w:r>
      <w:r w:rsidR="00C422DE" w:rsidRPr="00FA23FD">
        <w:rPr>
          <w:rFonts w:eastAsia="Times New Roman" w:cs="Times New Roman"/>
          <w:sz w:val="20"/>
          <w:szCs w:val="20"/>
          <w:lang w:eastAsia="lv-LV"/>
        </w:rPr>
        <w:t>:</w:t>
      </w:r>
      <w:r w:rsidR="00A27EBE">
        <w:rPr>
          <w:rFonts w:eastAsia="Times New Roman" w:cs="Times New Roman"/>
          <w:sz w:val="20"/>
          <w:szCs w:val="20"/>
          <w:lang w:eastAsia="lv-LV"/>
        </w:rPr>
        <w:t>31</w:t>
      </w:r>
    </w:p>
    <w:p w:rsidR="00DC27EA" w:rsidRDefault="00D017BB"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7</w:t>
      </w:r>
      <w:r w:rsidR="00A27EBE">
        <w:rPr>
          <w:rFonts w:eastAsia="Times New Roman" w:cs="Times New Roman"/>
          <w:sz w:val="20"/>
          <w:szCs w:val="20"/>
          <w:lang w:eastAsia="lv-LV"/>
        </w:rPr>
        <w:t>8</w:t>
      </w:r>
      <w:r w:rsidR="00060548">
        <w:rPr>
          <w:rFonts w:eastAsia="Times New Roman" w:cs="Times New Roman"/>
          <w:sz w:val="20"/>
          <w:szCs w:val="20"/>
          <w:lang w:eastAsia="lv-LV"/>
        </w:rPr>
        <w:t>5</w:t>
      </w:r>
    </w:p>
    <w:p w:rsidR="00717DD5" w:rsidRDefault="00717DD5"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Leonora Eglīte</w:t>
      </w:r>
    </w:p>
    <w:p w:rsidR="00717DD5" w:rsidRDefault="00EC71CE" w:rsidP="00A62706">
      <w:pPr>
        <w:spacing w:after="200" w:line="276" w:lineRule="auto"/>
        <w:contextualSpacing/>
        <w:rPr>
          <w:rFonts w:eastAsia="Times New Roman" w:cs="Times New Roman"/>
          <w:sz w:val="20"/>
          <w:szCs w:val="20"/>
          <w:lang w:eastAsia="lv-LV"/>
        </w:rPr>
      </w:pPr>
      <w:hyperlink r:id="rId8" w:history="1">
        <w:r w:rsidR="00717DD5" w:rsidRPr="00D7219B">
          <w:rPr>
            <w:rStyle w:val="Hyperlink"/>
            <w:rFonts w:eastAsia="Times New Roman" w:cs="Times New Roman"/>
            <w:sz w:val="20"/>
            <w:szCs w:val="20"/>
            <w:lang w:eastAsia="lv-LV"/>
          </w:rPr>
          <w:t>Leonora.Eglite@vm.gov.lv</w:t>
        </w:r>
      </w:hyperlink>
    </w:p>
    <w:p w:rsidR="00DC27EA" w:rsidRPr="00FA23FD" w:rsidRDefault="00DC27EA" w:rsidP="00DC27EA">
      <w:pPr>
        <w:ind w:right="-3228"/>
        <w:contextualSpacing/>
        <w:rPr>
          <w:rFonts w:eastAsia="Times New Roman" w:cs="Times New Roman"/>
          <w:sz w:val="20"/>
          <w:lang w:eastAsia="lv-LV"/>
        </w:rPr>
      </w:pPr>
      <w:r w:rsidRPr="00FA23FD">
        <w:rPr>
          <w:rFonts w:eastAsia="Times New Roman" w:cs="Times New Roman"/>
          <w:sz w:val="20"/>
          <w:lang w:eastAsia="lv-LV"/>
        </w:rPr>
        <w:t>Alda Reinika 67043780</w:t>
      </w:r>
    </w:p>
    <w:p w:rsidR="007D78FB" w:rsidRDefault="00EC71CE" w:rsidP="00DC27EA">
      <w:pPr>
        <w:ind w:right="-3228"/>
        <w:contextualSpacing/>
        <w:rPr>
          <w:rFonts w:eastAsia="Times New Roman" w:cs="Times New Roman"/>
          <w:sz w:val="20"/>
          <w:lang w:eastAsia="lv-LV"/>
        </w:rPr>
      </w:pPr>
      <w:hyperlink r:id="rId9" w:history="1">
        <w:r w:rsidR="00DC27EA" w:rsidRPr="00FA23FD">
          <w:rPr>
            <w:rStyle w:val="Hyperlink"/>
            <w:rFonts w:eastAsia="Times New Roman" w:cs="Times New Roman"/>
            <w:sz w:val="20"/>
            <w:lang w:eastAsia="lv-LV"/>
          </w:rPr>
          <w:t>Alda.Reinika@vmnvd.gov.lv</w:t>
        </w:r>
      </w:hyperlink>
    </w:p>
    <w:p w:rsidR="00DC27EA" w:rsidRPr="007D78FB" w:rsidRDefault="00DC27EA" w:rsidP="007D78FB">
      <w:pPr>
        <w:jc w:val="center"/>
        <w:rPr>
          <w:rFonts w:eastAsia="Times New Roman" w:cs="Times New Roman"/>
          <w:sz w:val="20"/>
          <w:lang w:eastAsia="lv-LV"/>
        </w:rPr>
      </w:pPr>
    </w:p>
    <w:sectPr w:rsidR="00DC27EA" w:rsidRPr="007D78FB" w:rsidSect="00C422DE">
      <w:headerReference w:type="default" r:id="rId10"/>
      <w:footerReference w:type="default" r:id="rId11"/>
      <w:footerReference w:type="first" r:id="rId12"/>
      <w:pgSz w:w="11906" w:h="16838"/>
      <w:pgMar w:top="1418" w:right="1134" w:bottom="1134" w:left="1134"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30" w:rsidRDefault="002A2430" w:rsidP="00993C26">
      <w:r>
        <w:separator/>
      </w:r>
    </w:p>
  </w:endnote>
  <w:endnote w:type="continuationSeparator" w:id="0">
    <w:p w:rsidR="002A2430" w:rsidRDefault="002A2430" w:rsidP="0099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30" w:rsidRPr="009B47D3" w:rsidRDefault="002A2430" w:rsidP="009B47D3">
    <w:pPr>
      <w:pStyle w:val="Footer"/>
      <w:jc w:val="both"/>
      <w:rPr>
        <w:rFonts w:ascii="Times New Roman" w:hAnsi="Times New Roman" w:cs="Times New Roman"/>
        <w:sz w:val="20"/>
        <w:szCs w:val="24"/>
      </w:rPr>
    </w:pPr>
    <w:r w:rsidRPr="00993C26">
      <w:rPr>
        <w:rFonts w:ascii="Times New Roman" w:hAnsi="Times New Roman" w:cs="Times New Roman"/>
        <w:sz w:val="20"/>
        <w:szCs w:val="24"/>
      </w:rPr>
      <w:t>VManot_</w:t>
    </w:r>
    <w:r>
      <w:rPr>
        <w:rFonts w:ascii="Times New Roman" w:hAnsi="Times New Roman" w:cs="Times New Roman"/>
        <w:sz w:val="20"/>
        <w:szCs w:val="24"/>
      </w:rPr>
      <w:t>1</w:t>
    </w:r>
    <w:r w:rsidR="00CC3322">
      <w:rPr>
        <w:rFonts w:ascii="Times New Roman" w:hAnsi="Times New Roman" w:cs="Times New Roman"/>
        <w:sz w:val="20"/>
        <w:szCs w:val="24"/>
      </w:rPr>
      <w:t>1</w:t>
    </w:r>
    <w:r w:rsidRPr="00126B31">
      <w:rPr>
        <w:rFonts w:ascii="Times New Roman" w:hAnsi="Times New Roman" w:cs="Times New Roman"/>
        <w:sz w:val="20"/>
        <w:szCs w:val="24"/>
      </w:rPr>
      <w:t>0</w:t>
    </w:r>
    <w:r>
      <w:rPr>
        <w:rFonts w:ascii="Times New Roman" w:hAnsi="Times New Roman" w:cs="Times New Roman"/>
        <w:sz w:val="20"/>
        <w:szCs w:val="24"/>
      </w:rPr>
      <w:t>8</w:t>
    </w:r>
    <w:r w:rsidRPr="00126B31">
      <w:rPr>
        <w:rFonts w:ascii="Times New Roman" w:hAnsi="Times New Roman" w:cs="Times New Roman"/>
        <w:sz w:val="20"/>
        <w:szCs w:val="24"/>
      </w:rPr>
      <w:t>16</w:t>
    </w:r>
    <w:r w:rsidRPr="00993C26">
      <w:rPr>
        <w:rFonts w:ascii="Times New Roman" w:hAnsi="Times New Roman" w:cs="Times New Roman"/>
        <w:sz w:val="20"/>
        <w:szCs w:val="24"/>
      </w:rPr>
      <w:t xml:space="preserve">_not1529 ; </w:t>
    </w:r>
    <w:r w:rsidRPr="00993C26">
      <w:rPr>
        <w:rFonts w:ascii="Times New Roman" w:eastAsia="Times New Roman" w:hAnsi="Times New Roman" w:cs="Times New Roman"/>
        <w:sz w:val="20"/>
        <w:szCs w:val="24"/>
        <w:lang w:eastAsia="lv-LV"/>
      </w:rPr>
      <w:t xml:space="preserve">Ministru kabineta noteikumu projekta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 xml:space="preserve">Grozījumi Ministru kabineta 2013.gada 17.decembra noteikumos Nr.1529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Veselības aprūpes organizēšanas un finansēšanas kārtība</w:t>
    </w:r>
    <w:r>
      <w:rPr>
        <w:rFonts w:ascii="Times New Roman" w:eastAsia="Times New Roman" w:hAnsi="Times New Roman" w:cs="Times New Roman"/>
        <w:bCs/>
        <w:sz w:val="20"/>
        <w:szCs w:val="24"/>
        <w:lang w:eastAsia="lv-LV"/>
      </w:rPr>
      <w:t>””</w:t>
    </w:r>
    <w:r w:rsidRPr="00993C26">
      <w:rPr>
        <w:rFonts w:ascii="Times New Roman" w:hAnsi="Times New Roman" w:cs="Times New Roman"/>
        <w:sz w:val="20"/>
        <w:szCs w:val="24"/>
      </w:rPr>
      <w:t xml:space="preserve"> sākotnējās ietekmes n</w:t>
    </w:r>
    <w:r>
      <w:rPr>
        <w:rFonts w:ascii="Times New Roman" w:hAnsi="Times New Roman" w:cs="Times New Roman"/>
        <w:sz w:val="20"/>
        <w:szCs w:val="24"/>
      </w:rPr>
      <w:t>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30" w:rsidRPr="005D1666" w:rsidRDefault="002A2430" w:rsidP="005D1666">
    <w:pPr>
      <w:pStyle w:val="Footer"/>
      <w:jc w:val="both"/>
      <w:rPr>
        <w:rFonts w:ascii="Times New Roman" w:hAnsi="Times New Roman" w:cs="Times New Roman"/>
        <w:sz w:val="20"/>
        <w:szCs w:val="24"/>
      </w:rPr>
    </w:pPr>
    <w:r w:rsidRPr="00993C26">
      <w:rPr>
        <w:rFonts w:ascii="Times New Roman" w:hAnsi="Times New Roman" w:cs="Times New Roman"/>
        <w:sz w:val="20"/>
        <w:szCs w:val="24"/>
      </w:rPr>
      <w:t>VManot_</w:t>
    </w:r>
    <w:r>
      <w:rPr>
        <w:rFonts w:ascii="Times New Roman" w:hAnsi="Times New Roman" w:cs="Times New Roman"/>
        <w:sz w:val="20"/>
        <w:szCs w:val="24"/>
      </w:rPr>
      <w:t>1</w:t>
    </w:r>
    <w:r w:rsidR="00060548">
      <w:rPr>
        <w:rFonts w:ascii="Times New Roman" w:hAnsi="Times New Roman" w:cs="Times New Roman"/>
        <w:sz w:val="20"/>
        <w:szCs w:val="24"/>
      </w:rPr>
      <w:t>1</w:t>
    </w:r>
    <w:r w:rsidRPr="00126B31">
      <w:rPr>
        <w:rFonts w:ascii="Times New Roman" w:hAnsi="Times New Roman" w:cs="Times New Roman"/>
        <w:sz w:val="20"/>
        <w:szCs w:val="24"/>
      </w:rPr>
      <w:t>0</w:t>
    </w:r>
    <w:r>
      <w:rPr>
        <w:rFonts w:ascii="Times New Roman" w:hAnsi="Times New Roman" w:cs="Times New Roman"/>
        <w:sz w:val="20"/>
        <w:szCs w:val="24"/>
      </w:rPr>
      <w:t>8</w:t>
    </w:r>
    <w:r w:rsidRPr="00126B31">
      <w:rPr>
        <w:rFonts w:ascii="Times New Roman" w:hAnsi="Times New Roman" w:cs="Times New Roman"/>
        <w:sz w:val="20"/>
        <w:szCs w:val="24"/>
      </w:rPr>
      <w:t>16</w:t>
    </w:r>
    <w:r w:rsidRPr="00993C26">
      <w:rPr>
        <w:rFonts w:ascii="Times New Roman" w:hAnsi="Times New Roman" w:cs="Times New Roman"/>
        <w:sz w:val="20"/>
        <w:szCs w:val="24"/>
      </w:rPr>
      <w:t xml:space="preserve">_not1529 ; </w:t>
    </w:r>
    <w:r w:rsidRPr="00993C26">
      <w:rPr>
        <w:rFonts w:ascii="Times New Roman" w:eastAsia="Times New Roman" w:hAnsi="Times New Roman" w:cs="Times New Roman"/>
        <w:sz w:val="20"/>
        <w:szCs w:val="24"/>
        <w:lang w:eastAsia="lv-LV"/>
      </w:rPr>
      <w:t xml:space="preserve">Ministru kabineta noteikumu projekta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 xml:space="preserve">Grozījumi Ministru kabineta 2013.gada 17.decembra noteikumos Nr.1529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Veselības aprūpes organizēšanas un finansēšanas kārtība</w:t>
    </w:r>
    <w:r>
      <w:rPr>
        <w:rFonts w:ascii="Times New Roman" w:eastAsia="Times New Roman" w:hAnsi="Times New Roman" w:cs="Times New Roman"/>
        <w:bCs/>
        <w:sz w:val="20"/>
        <w:szCs w:val="24"/>
        <w:lang w:eastAsia="lv-LV"/>
      </w:rPr>
      <w:t>””</w:t>
    </w:r>
    <w:r w:rsidRPr="00993C26">
      <w:rPr>
        <w:rFonts w:ascii="Times New Roman" w:hAnsi="Times New Roman" w:cs="Times New Roman"/>
        <w:sz w:val="20"/>
        <w:szCs w:val="24"/>
      </w:rPr>
      <w:t xml:space="preserve"> sākotnējās ietekmes n</w:t>
    </w:r>
    <w:r>
      <w:rPr>
        <w:rFonts w:ascii="Times New Roman" w:hAnsi="Times New Roman" w:cs="Times New Roman"/>
        <w:sz w:val="20"/>
        <w:szCs w:val="24"/>
      </w:rPr>
      <w:t>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30" w:rsidRDefault="002A2430" w:rsidP="00993C26">
      <w:r>
        <w:separator/>
      </w:r>
    </w:p>
  </w:footnote>
  <w:footnote w:type="continuationSeparator" w:id="0">
    <w:p w:rsidR="002A2430" w:rsidRDefault="002A2430" w:rsidP="0099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30" w:rsidRDefault="00EC71CE">
    <w:pPr>
      <w:pStyle w:val="Header"/>
      <w:jc w:val="center"/>
    </w:pPr>
    <w:sdt>
      <w:sdtPr>
        <w:id w:val="1743541876"/>
        <w:docPartObj>
          <w:docPartGallery w:val="Page Numbers (Top of Page)"/>
          <w:docPartUnique/>
        </w:docPartObj>
      </w:sdtPr>
      <w:sdtContent>
        <w:r w:rsidRPr="00495F5A">
          <w:rPr>
            <w:rFonts w:ascii="Times New Roman" w:hAnsi="Times New Roman" w:cs="Times New Roman"/>
            <w:sz w:val="24"/>
          </w:rPr>
          <w:fldChar w:fldCharType="begin"/>
        </w:r>
        <w:r w:rsidR="002A2430" w:rsidRPr="00495F5A">
          <w:rPr>
            <w:rFonts w:ascii="Times New Roman" w:hAnsi="Times New Roman" w:cs="Times New Roman"/>
            <w:sz w:val="24"/>
          </w:rPr>
          <w:instrText xml:space="preserve"> PAGE   \* MERGEFORMAT </w:instrText>
        </w:r>
        <w:r w:rsidRPr="00495F5A">
          <w:rPr>
            <w:rFonts w:ascii="Times New Roman" w:hAnsi="Times New Roman" w:cs="Times New Roman"/>
            <w:sz w:val="24"/>
          </w:rPr>
          <w:fldChar w:fldCharType="separate"/>
        </w:r>
        <w:r w:rsidR="00A27EBE">
          <w:rPr>
            <w:rFonts w:ascii="Times New Roman" w:hAnsi="Times New Roman" w:cs="Times New Roman"/>
            <w:noProof/>
            <w:sz w:val="24"/>
          </w:rPr>
          <w:t>5</w:t>
        </w:r>
        <w:r w:rsidRPr="00495F5A">
          <w:rPr>
            <w:rFonts w:ascii="Times New Roman" w:hAnsi="Times New Roman" w:cs="Times New Roman"/>
            <w:sz w:val="24"/>
          </w:rPr>
          <w:fldChar w:fldCharType="end"/>
        </w:r>
      </w:sdtContent>
    </w:sdt>
  </w:p>
  <w:p w:rsidR="002A2430" w:rsidRDefault="002A24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95"/>
    <w:multiLevelType w:val="hybridMultilevel"/>
    <w:tmpl w:val="86D405F8"/>
    <w:lvl w:ilvl="0" w:tplc="3BF0C5D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445D73"/>
    <w:multiLevelType w:val="hybridMultilevel"/>
    <w:tmpl w:val="356E21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DEE48E1"/>
    <w:multiLevelType w:val="hybridMultilevel"/>
    <w:tmpl w:val="23A275BE"/>
    <w:lvl w:ilvl="0" w:tplc="A8FC7B42">
      <w:start w:val="1"/>
      <w:numFmt w:val="decimal"/>
      <w:lvlText w:val="%1."/>
      <w:lvlJc w:val="left"/>
      <w:pPr>
        <w:ind w:left="696" w:hanging="360"/>
      </w:pPr>
      <w:rPr>
        <w:rFonts w:hint="default"/>
      </w:rPr>
    </w:lvl>
    <w:lvl w:ilvl="1" w:tplc="04260019" w:tentative="1">
      <w:start w:val="1"/>
      <w:numFmt w:val="lowerLetter"/>
      <w:lvlText w:val="%2."/>
      <w:lvlJc w:val="left"/>
      <w:pPr>
        <w:ind w:left="1416" w:hanging="360"/>
      </w:pPr>
    </w:lvl>
    <w:lvl w:ilvl="2" w:tplc="0426001B" w:tentative="1">
      <w:start w:val="1"/>
      <w:numFmt w:val="lowerRoman"/>
      <w:lvlText w:val="%3."/>
      <w:lvlJc w:val="right"/>
      <w:pPr>
        <w:ind w:left="2136" w:hanging="180"/>
      </w:pPr>
    </w:lvl>
    <w:lvl w:ilvl="3" w:tplc="0426000F" w:tentative="1">
      <w:start w:val="1"/>
      <w:numFmt w:val="decimal"/>
      <w:lvlText w:val="%4."/>
      <w:lvlJc w:val="left"/>
      <w:pPr>
        <w:ind w:left="2856" w:hanging="360"/>
      </w:pPr>
    </w:lvl>
    <w:lvl w:ilvl="4" w:tplc="04260019" w:tentative="1">
      <w:start w:val="1"/>
      <w:numFmt w:val="lowerLetter"/>
      <w:lvlText w:val="%5."/>
      <w:lvlJc w:val="left"/>
      <w:pPr>
        <w:ind w:left="3576" w:hanging="360"/>
      </w:pPr>
    </w:lvl>
    <w:lvl w:ilvl="5" w:tplc="0426001B" w:tentative="1">
      <w:start w:val="1"/>
      <w:numFmt w:val="lowerRoman"/>
      <w:lvlText w:val="%6."/>
      <w:lvlJc w:val="right"/>
      <w:pPr>
        <w:ind w:left="4296" w:hanging="180"/>
      </w:pPr>
    </w:lvl>
    <w:lvl w:ilvl="6" w:tplc="0426000F" w:tentative="1">
      <w:start w:val="1"/>
      <w:numFmt w:val="decimal"/>
      <w:lvlText w:val="%7."/>
      <w:lvlJc w:val="left"/>
      <w:pPr>
        <w:ind w:left="5016" w:hanging="360"/>
      </w:pPr>
    </w:lvl>
    <w:lvl w:ilvl="7" w:tplc="04260019" w:tentative="1">
      <w:start w:val="1"/>
      <w:numFmt w:val="lowerLetter"/>
      <w:lvlText w:val="%8."/>
      <w:lvlJc w:val="left"/>
      <w:pPr>
        <w:ind w:left="5736" w:hanging="360"/>
      </w:pPr>
    </w:lvl>
    <w:lvl w:ilvl="8" w:tplc="0426001B" w:tentative="1">
      <w:start w:val="1"/>
      <w:numFmt w:val="lowerRoman"/>
      <w:lvlText w:val="%9."/>
      <w:lvlJc w:val="right"/>
      <w:pPr>
        <w:ind w:left="6456" w:hanging="180"/>
      </w:pPr>
    </w:lvl>
  </w:abstractNum>
  <w:abstractNum w:abstractNumId="3">
    <w:nsid w:val="76AB4539"/>
    <w:multiLevelType w:val="hybridMultilevel"/>
    <w:tmpl w:val="44FA8D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rsids>
    <w:rsidRoot w:val="00993C26"/>
    <w:rsid w:val="00001EC2"/>
    <w:rsid w:val="00004067"/>
    <w:rsid w:val="00010760"/>
    <w:rsid w:val="00021B37"/>
    <w:rsid w:val="00032F0E"/>
    <w:rsid w:val="00033399"/>
    <w:rsid w:val="00036772"/>
    <w:rsid w:val="00045004"/>
    <w:rsid w:val="00060548"/>
    <w:rsid w:val="000641FD"/>
    <w:rsid w:val="000926F2"/>
    <w:rsid w:val="000A093B"/>
    <w:rsid w:val="000B2A47"/>
    <w:rsid w:val="000C0C85"/>
    <w:rsid w:val="000C2CC6"/>
    <w:rsid w:val="000D7FF2"/>
    <w:rsid w:val="000E0041"/>
    <w:rsid w:val="000E70B6"/>
    <w:rsid w:val="00111C6B"/>
    <w:rsid w:val="00120B5F"/>
    <w:rsid w:val="00126B31"/>
    <w:rsid w:val="00132AE4"/>
    <w:rsid w:val="0013591D"/>
    <w:rsid w:val="00162910"/>
    <w:rsid w:val="00173157"/>
    <w:rsid w:val="00180496"/>
    <w:rsid w:val="00180A05"/>
    <w:rsid w:val="001814A3"/>
    <w:rsid w:val="00184E62"/>
    <w:rsid w:val="001905D5"/>
    <w:rsid w:val="00193EAB"/>
    <w:rsid w:val="001942F6"/>
    <w:rsid w:val="00194A3D"/>
    <w:rsid w:val="00194F57"/>
    <w:rsid w:val="001A00E1"/>
    <w:rsid w:val="001A1854"/>
    <w:rsid w:val="001A344B"/>
    <w:rsid w:val="001A35A4"/>
    <w:rsid w:val="001A653C"/>
    <w:rsid w:val="001B3B9E"/>
    <w:rsid w:val="001B790A"/>
    <w:rsid w:val="001C01E0"/>
    <w:rsid w:val="001C119B"/>
    <w:rsid w:val="001C7DC4"/>
    <w:rsid w:val="001D6314"/>
    <w:rsid w:val="001E2BF3"/>
    <w:rsid w:val="001E4EE1"/>
    <w:rsid w:val="001E6272"/>
    <w:rsid w:val="001F17AA"/>
    <w:rsid w:val="001F51F1"/>
    <w:rsid w:val="001F5DB8"/>
    <w:rsid w:val="0020565A"/>
    <w:rsid w:val="002108D0"/>
    <w:rsid w:val="00210FFD"/>
    <w:rsid w:val="002202BB"/>
    <w:rsid w:val="00222AE2"/>
    <w:rsid w:val="00224304"/>
    <w:rsid w:val="00226EB6"/>
    <w:rsid w:val="002304A5"/>
    <w:rsid w:val="00233D44"/>
    <w:rsid w:val="00240587"/>
    <w:rsid w:val="00251A65"/>
    <w:rsid w:val="002557E7"/>
    <w:rsid w:val="002620A5"/>
    <w:rsid w:val="002703FA"/>
    <w:rsid w:val="0027500F"/>
    <w:rsid w:val="00275CEA"/>
    <w:rsid w:val="002862E0"/>
    <w:rsid w:val="00291B4A"/>
    <w:rsid w:val="002929D5"/>
    <w:rsid w:val="00295BA4"/>
    <w:rsid w:val="002A2430"/>
    <w:rsid w:val="002A6C6D"/>
    <w:rsid w:val="002A7D9D"/>
    <w:rsid w:val="002B06B2"/>
    <w:rsid w:val="002D218F"/>
    <w:rsid w:val="002D28E5"/>
    <w:rsid w:val="002D2A34"/>
    <w:rsid w:val="002D3DCA"/>
    <w:rsid w:val="002D59FB"/>
    <w:rsid w:val="002D6D78"/>
    <w:rsid w:val="002D74E0"/>
    <w:rsid w:val="002F055E"/>
    <w:rsid w:val="002F1587"/>
    <w:rsid w:val="002F29E7"/>
    <w:rsid w:val="002F3EED"/>
    <w:rsid w:val="00313056"/>
    <w:rsid w:val="00313DB6"/>
    <w:rsid w:val="00334EF6"/>
    <w:rsid w:val="0035705F"/>
    <w:rsid w:val="00361982"/>
    <w:rsid w:val="00375483"/>
    <w:rsid w:val="00375AB9"/>
    <w:rsid w:val="003817ED"/>
    <w:rsid w:val="00386200"/>
    <w:rsid w:val="003B3566"/>
    <w:rsid w:val="003C5B29"/>
    <w:rsid w:val="003C6024"/>
    <w:rsid w:val="003D4A84"/>
    <w:rsid w:val="003D6620"/>
    <w:rsid w:val="003D669F"/>
    <w:rsid w:val="003D6FF9"/>
    <w:rsid w:val="003E0CB9"/>
    <w:rsid w:val="003E17B1"/>
    <w:rsid w:val="003E329D"/>
    <w:rsid w:val="003F165E"/>
    <w:rsid w:val="003F64DA"/>
    <w:rsid w:val="003F653C"/>
    <w:rsid w:val="0040154A"/>
    <w:rsid w:val="0040246D"/>
    <w:rsid w:val="004076A7"/>
    <w:rsid w:val="004163B0"/>
    <w:rsid w:val="00416A21"/>
    <w:rsid w:val="004213D9"/>
    <w:rsid w:val="004230E5"/>
    <w:rsid w:val="00425F19"/>
    <w:rsid w:val="0043106A"/>
    <w:rsid w:val="004325FC"/>
    <w:rsid w:val="00434313"/>
    <w:rsid w:val="00444C31"/>
    <w:rsid w:val="004559A4"/>
    <w:rsid w:val="004564E2"/>
    <w:rsid w:val="004603E9"/>
    <w:rsid w:val="00461C44"/>
    <w:rsid w:val="00482744"/>
    <w:rsid w:val="004914E9"/>
    <w:rsid w:val="00495F5A"/>
    <w:rsid w:val="004A1E63"/>
    <w:rsid w:val="004A5948"/>
    <w:rsid w:val="004B6AE5"/>
    <w:rsid w:val="004B7356"/>
    <w:rsid w:val="004C3D40"/>
    <w:rsid w:val="004D44ED"/>
    <w:rsid w:val="004D5766"/>
    <w:rsid w:val="004D67D7"/>
    <w:rsid w:val="004E1A58"/>
    <w:rsid w:val="004F0C09"/>
    <w:rsid w:val="004F6220"/>
    <w:rsid w:val="004F77B8"/>
    <w:rsid w:val="00500DF9"/>
    <w:rsid w:val="00522FBC"/>
    <w:rsid w:val="005417B4"/>
    <w:rsid w:val="005507EA"/>
    <w:rsid w:val="00566D5F"/>
    <w:rsid w:val="005762AF"/>
    <w:rsid w:val="00577C5F"/>
    <w:rsid w:val="00586780"/>
    <w:rsid w:val="00590978"/>
    <w:rsid w:val="00591124"/>
    <w:rsid w:val="00597C56"/>
    <w:rsid w:val="005A1B76"/>
    <w:rsid w:val="005B2227"/>
    <w:rsid w:val="005C0DA7"/>
    <w:rsid w:val="005C522F"/>
    <w:rsid w:val="005D15B6"/>
    <w:rsid w:val="005D1666"/>
    <w:rsid w:val="005D60AB"/>
    <w:rsid w:val="005E2C4F"/>
    <w:rsid w:val="005E5CF1"/>
    <w:rsid w:val="005E73C9"/>
    <w:rsid w:val="005F3A53"/>
    <w:rsid w:val="005F5C10"/>
    <w:rsid w:val="0060043F"/>
    <w:rsid w:val="006428B9"/>
    <w:rsid w:val="00646493"/>
    <w:rsid w:val="00653E05"/>
    <w:rsid w:val="00656BA1"/>
    <w:rsid w:val="00662A5F"/>
    <w:rsid w:val="00672542"/>
    <w:rsid w:val="00675E65"/>
    <w:rsid w:val="006848A1"/>
    <w:rsid w:val="00685C6C"/>
    <w:rsid w:val="006A4BFE"/>
    <w:rsid w:val="006B3075"/>
    <w:rsid w:val="006C20BA"/>
    <w:rsid w:val="006C4006"/>
    <w:rsid w:val="006D20DC"/>
    <w:rsid w:val="006E1D60"/>
    <w:rsid w:val="006F79D3"/>
    <w:rsid w:val="00701DC8"/>
    <w:rsid w:val="007059E9"/>
    <w:rsid w:val="00717DD5"/>
    <w:rsid w:val="00721628"/>
    <w:rsid w:val="00732DE4"/>
    <w:rsid w:val="007420BC"/>
    <w:rsid w:val="0075730F"/>
    <w:rsid w:val="00761299"/>
    <w:rsid w:val="007617C1"/>
    <w:rsid w:val="00765375"/>
    <w:rsid w:val="007655E8"/>
    <w:rsid w:val="007710CA"/>
    <w:rsid w:val="007741C4"/>
    <w:rsid w:val="0078094C"/>
    <w:rsid w:val="00784411"/>
    <w:rsid w:val="007A3635"/>
    <w:rsid w:val="007A563F"/>
    <w:rsid w:val="007B027B"/>
    <w:rsid w:val="007B0B30"/>
    <w:rsid w:val="007B2E1F"/>
    <w:rsid w:val="007C4E9F"/>
    <w:rsid w:val="007C5ECA"/>
    <w:rsid w:val="007D78FB"/>
    <w:rsid w:val="007E009D"/>
    <w:rsid w:val="007E4BB4"/>
    <w:rsid w:val="00807FCA"/>
    <w:rsid w:val="00810765"/>
    <w:rsid w:val="008144DC"/>
    <w:rsid w:val="0082633A"/>
    <w:rsid w:val="00831087"/>
    <w:rsid w:val="00841191"/>
    <w:rsid w:val="00846B2D"/>
    <w:rsid w:val="008470E4"/>
    <w:rsid w:val="00847DC9"/>
    <w:rsid w:val="008535DA"/>
    <w:rsid w:val="00855E1A"/>
    <w:rsid w:val="00856128"/>
    <w:rsid w:val="00861A9B"/>
    <w:rsid w:val="00863EE4"/>
    <w:rsid w:val="008724EE"/>
    <w:rsid w:val="00872597"/>
    <w:rsid w:val="00872765"/>
    <w:rsid w:val="00873503"/>
    <w:rsid w:val="008812B4"/>
    <w:rsid w:val="008813E8"/>
    <w:rsid w:val="00893862"/>
    <w:rsid w:val="008A48AA"/>
    <w:rsid w:val="008A7487"/>
    <w:rsid w:val="008A7CDE"/>
    <w:rsid w:val="008B0DB7"/>
    <w:rsid w:val="008B37A2"/>
    <w:rsid w:val="008D1B24"/>
    <w:rsid w:val="008D51CE"/>
    <w:rsid w:val="008D6DC2"/>
    <w:rsid w:val="008E25C5"/>
    <w:rsid w:val="008F0C01"/>
    <w:rsid w:val="008F5971"/>
    <w:rsid w:val="009019FE"/>
    <w:rsid w:val="00907806"/>
    <w:rsid w:val="009108ED"/>
    <w:rsid w:val="00925BF3"/>
    <w:rsid w:val="00927E58"/>
    <w:rsid w:val="009332C8"/>
    <w:rsid w:val="0093555B"/>
    <w:rsid w:val="00965FB3"/>
    <w:rsid w:val="009703E4"/>
    <w:rsid w:val="009814AF"/>
    <w:rsid w:val="00993C26"/>
    <w:rsid w:val="009A2683"/>
    <w:rsid w:val="009A3CE2"/>
    <w:rsid w:val="009B097B"/>
    <w:rsid w:val="009B1218"/>
    <w:rsid w:val="009B47D3"/>
    <w:rsid w:val="009C05B8"/>
    <w:rsid w:val="009D6716"/>
    <w:rsid w:val="009F15D4"/>
    <w:rsid w:val="009F3167"/>
    <w:rsid w:val="00A04CDC"/>
    <w:rsid w:val="00A221BE"/>
    <w:rsid w:val="00A27EBE"/>
    <w:rsid w:val="00A366F6"/>
    <w:rsid w:val="00A429CF"/>
    <w:rsid w:val="00A43EDA"/>
    <w:rsid w:val="00A45A20"/>
    <w:rsid w:val="00A46008"/>
    <w:rsid w:val="00A62706"/>
    <w:rsid w:val="00A66412"/>
    <w:rsid w:val="00A72678"/>
    <w:rsid w:val="00A80F35"/>
    <w:rsid w:val="00A92B32"/>
    <w:rsid w:val="00A9327F"/>
    <w:rsid w:val="00A93F37"/>
    <w:rsid w:val="00A95DC8"/>
    <w:rsid w:val="00A962F2"/>
    <w:rsid w:val="00A97A10"/>
    <w:rsid w:val="00AA1916"/>
    <w:rsid w:val="00AC36F8"/>
    <w:rsid w:val="00AC670A"/>
    <w:rsid w:val="00AD0451"/>
    <w:rsid w:val="00AD6DE4"/>
    <w:rsid w:val="00AF5893"/>
    <w:rsid w:val="00B0397F"/>
    <w:rsid w:val="00B04FEE"/>
    <w:rsid w:val="00B15477"/>
    <w:rsid w:val="00B209F5"/>
    <w:rsid w:val="00B36299"/>
    <w:rsid w:val="00B43B52"/>
    <w:rsid w:val="00B43B64"/>
    <w:rsid w:val="00B720AF"/>
    <w:rsid w:val="00B767EF"/>
    <w:rsid w:val="00B86A97"/>
    <w:rsid w:val="00B90C1D"/>
    <w:rsid w:val="00BA3507"/>
    <w:rsid w:val="00BA3D52"/>
    <w:rsid w:val="00BB6008"/>
    <w:rsid w:val="00BC326A"/>
    <w:rsid w:val="00BC5C6F"/>
    <w:rsid w:val="00BC6FF2"/>
    <w:rsid w:val="00BD3C68"/>
    <w:rsid w:val="00BD420F"/>
    <w:rsid w:val="00BD5ED4"/>
    <w:rsid w:val="00BE7E0D"/>
    <w:rsid w:val="00BF6061"/>
    <w:rsid w:val="00BF6D61"/>
    <w:rsid w:val="00C01B32"/>
    <w:rsid w:val="00C053EF"/>
    <w:rsid w:val="00C075BF"/>
    <w:rsid w:val="00C10DBC"/>
    <w:rsid w:val="00C11AF3"/>
    <w:rsid w:val="00C22236"/>
    <w:rsid w:val="00C22510"/>
    <w:rsid w:val="00C30AFF"/>
    <w:rsid w:val="00C350D7"/>
    <w:rsid w:val="00C354F1"/>
    <w:rsid w:val="00C36B9F"/>
    <w:rsid w:val="00C41AD5"/>
    <w:rsid w:val="00C421D8"/>
    <w:rsid w:val="00C422DE"/>
    <w:rsid w:val="00C426A3"/>
    <w:rsid w:val="00C42F69"/>
    <w:rsid w:val="00C44720"/>
    <w:rsid w:val="00C4623D"/>
    <w:rsid w:val="00C62290"/>
    <w:rsid w:val="00C641E1"/>
    <w:rsid w:val="00C823EB"/>
    <w:rsid w:val="00C874D8"/>
    <w:rsid w:val="00C95D20"/>
    <w:rsid w:val="00CA1D0C"/>
    <w:rsid w:val="00CC3322"/>
    <w:rsid w:val="00CD66E4"/>
    <w:rsid w:val="00CD76E0"/>
    <w:rsid w:val="00CF114F"/>
    <w:rsid w:val="00D017BB"/>
    <w:rsid w:val="00D045BB"/>
    <w:rsid w:val="00D06D7A"/>
    <w:rsid w:val="00D07721"/>
    <w:rsid w:val="00D126B9"/>
    <w:rsid w:val="00D21DB0"/>
    <w:rsid w:val="00D250E7"/>
    <w:rsid w:val="00D274FA"/>
    <w:rsid w:val="00D362FB"/>
    <w:rsid w:val="00D47468"/>
    <w:rsid w:val="00D53CB2"/>
    <w:rsid w:val="00D54E03"/>
    <w:rsid w:val="00D616F4"/>
    <w:rsid w:val="00D663B9"/>
    <w:rsid w:val="00D75565"/>
    <w:rsid w:val="00D7648A"/>
    <w:rsid w:val="00DB5EDF"/>
    <w:rsid w:val="00DB6BB5"/>
    <w:rsid w:val="00DC27EA"/>
    <w:rsid w:val="00DC2951"/>
    <w:rsid w:val="00DC5883"/>
    <w:rsid w:val="00DD395D"/>
    <w:rsid w:val="00DD7515"/>
    <w:rsid w:val="00DE39A2"/>
    <w:rsid w:val="00DE6C16"/>
    <w:rsid w:val="00DE70FE"/>
    <w:rsid w:val="00DF02EB"/>
    <w:rsid w:val="00DF47D6"/>
    <w:rsid w:val="00E10A84"/>
    <w:rsid w:val="00E1330C"/>
    <w:rsid w:val="00E14141"/>
    <w:rsid w:val="00E14D4D"/>
    <w:rsid w:val="00E17545"/>
    <w:rsid w:val="00E2588C"/>
    <w:rsid w:val="00E27E35"/>
    <w:rsid w:val="00E30B7C"/>
    <w:rsid w:val="00E30B8A"/>
    <w:rsid w:val="00E30FEB"/>
    <w:rsid w:val="00E35626"/>
    <w:rsid w:val="00E4783D"/>
    <w:rsid w:val="00E529DC"/>
    <w:rsid w:val="00E53B74"/>
    <w:rsid w:val="00E54FE9"/>
    <w:rsid w:val="00E648EE"/>
    <w:rsid w:val="00E67A8C"/>
    <w:rsid w:val="00E7556E"/>
    <w:rsid w:val="00E83C50"/>
    <w:rsid w:val="00E853C6"/>
    <w:rsid w:val="00E90086"/>
    <w:rsid w:val="00E9565E"/>
    <w:rsid w:val="00E9681A"/>
    <w:rsid w:val="00E9782A"/>
    <w:rsid w:val="00EA004B"/>
    <w:rsid w:val="00EA30AB"/>
    <w:rsid w:val="00EA5F83"/>
    <w:rsid w:val="00EB0B2F"/>
    <w:rsid w:val="00EC400B"/>
    <w:rsid w:val="00EC4EAC"/>
    <w:rsid w:val="00EC71CE"/>
    <w:rsid w:val="00EE4F47"/>
    <w:rsid w:val="00EF65FD"/>
    <w:rsid w:val="00F034AC"/>
    <w:rsid w:val="00F16E0B"/>
    <w:rsid w:val="00F27160"/>
    <w:rsid w:val="00F277B9"/>
    <w:rsid w:val="00F32F6A"/>
    <w:rsid w:val="00F34B1A"/>
    <w:rsid w:val="00F35136"/>
    <w:rsid w:val="00F41466"/>
    <w:rsid w:val="00F438BD"/>
    <w:rsid w:val="00F45649"/>
    <w:rsid w:val="00F61054"/>
    <w:rsid w:val="00F71D4F"/>
    <w:rsid w:val="00FA23FD"/>
    <w:rsid w:val="00FB0E99"/>
    <w:rsid w:val="00FC23EA"/>
    <w:rsid w:val="00FD0959"/>
    <w:rsid w:val="00FE2147"/>
    <w:rsid w:val="00FF0C06"/>
    <w:rsid w:val="00FF0DEA"/>
    <w:rsid w:val="00FF7DE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2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26"/>
    <w:pPr>
      <w:tabs>
        <w:tab w:val="center" w:pos="4153"/>
        <w:tab w:val="right" w:pos="8306"/>
      </w:tabs>
    </w:pPr>
    <w:rPr>
      <w:rFonts w:asciiTheme="minorHAnsi" w:hAnsiTheme="minorHAnsi"/>
      <w:sz w:val="22"/>
    </w:rPr>
  </w:style>
  <w:style w:type="character" w:customStyle="1" w:styleId="HeaderChar">
    <w:name w:val="Header Char"/>
    <w:basedOn w:val="DefaultParagraphFont"/>
    <w:link w:val="Header"/>
    <w:uiPriority w:val="99"/>
    <w:rsid w:val="00993C26"/>
  </w:style>
  <w:style w:type="paragraph" w:styleId="Footer">
    <w:name w:val="footer"/>
    <w:basedOn w:val="Normal"/>
    <w:link w:val="FooterChar"/>
    <w:uiPriority w:val="99"/>
    <w:unhideWhenUsed/>
    <w:rsid w:val="00993C26"/>
    <w:pPr>
      <w:tabs>
        <w:tab w:val="center" w:pos="4153"/>
        <w:tab w:val="right" w:pos="8306"/>
      </w:tabs>
    </w:pPr>
    <w:rPr>
      <w:rFonts w:asciiTheme="minorHAnsi" w:hAnsiTheme="minorHAnsi"/>
      <w:sz w:val="22"/>
    </w:rPr>
  </w:style>
  <w:style w:type="character" w:customStyle="1" w:styleId="FooterChar">
    <w:name w:val="Footer Char"/>
    <w:basedOn w:val="DefaultParagraphFont"/>
    <w:link w:val="Footer"/>
    <w:uiPriority w:val="99"/>
    <w:rsid w:val="00993C26"/>
  </w:style>
  <w:style w:type="paragraph" w:styleId="NormalWeb">
    <w:name w:val="Normal (Web)"/>
    <w:basedOn w:val="Normal"/>
    <w:uiPriority w:val="99"/>
    <w:unhideWhenUsed/>
    <w:rsid w:val="00993C26"/>
    <w:pPr>
      <w:spacing w:before="75" w:after="75"/>
    </w:pPr>
    <w:rPr>
      <w:rFonts w:eastAsia="Times New Roman" w:cs="Times New Roman"/>
      <w:szCs w:val="24"/>
      <w:lang w:eastAsia="lv-LV"/>
    </w:rPr>
  </w:style>
  <w:style w:type="paragraph" w:styleId="NoSpacing">
    <w:name w:val="No Spacing"/>
    <w:link w:val="NoSpacingChar"/>
    <w:uiPriority w:val="1"/>
    <w:qFormat/>
    <w:rsid w:val="00DC27E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C27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7EA"/>
    <w:rPr>
      <w:color w:val="0000FF" w:themeColor="hyperlink"/>
      <w:u w:val="single"/>
    </w:rPr>
  </w:style>
  <w:style w:type="paragraph" w:customStyle="1" w:styleId="naisf">
    <w:name w:val="naisf"/>
    <w:basedOn w:val="Normal"/>
    <w:rsid w:val="004325FC"/>
    <w:pPr>
      <w:spacing w:before="75" w:after="75"/>
      <w:ind w:firstLine="375"/>
      <w:jc w:val="both"/>
    </w:pPr>
    <w:rPr>
      <w:rFonts w:eastAsia="Times New Roman" w:cs="Times New Roman"/>
      <w:szCs w:val="24"/>
      <w:lang w:eastAsia="lv-LV"/>
    </w:rPr>
  </w:style>
  <w:style w:type="character" w:styleId="CommentReference">
    <w:name w:val="annotation reference"/>
    <w:basedOn w:val="DefaultParagraphFont"/>
    <w:uiPriority w:val="99"/>
    <w:semiHidden/>
    <w:unhideWhenUsed/>
    <w:rsid w:val="002D28E5"/>
    <w:rPr>
      <w:sz w:val="16"/>
      <w:szCs w:val="16"/>
    </w:rPr>
  </w:style>
  <w:style w:type="paragraph" w:styleId="CommentText">
    <w:name w:val="annotation text"/>
    <w:basedOn w:val="Normal"/>
    <w:link w:val="CommentTextChar"/>
    <w:uiPriority w:val="99"/>
    <w:semiHidden/>
    <w:unhideWhenUsed/>
    <w:rsid w:val="002D28E5"/>
    <w:rPr>
      <w:sz w:val="20"/>
      <w:szCs w:val="20"/>
    </w:rPr>
  </w:style>
  <w:style w:type="character" w:customStyle="1" w:styleId="CommentTextChar">
    <w:name w:val="Comment Text Char"/>
    <w:basedOn w:val="DefaultParagraphFont"/>
    <w:link w:val="CommentText"/>
    <w:uiPriority w:val="99"/>
    <w:semiHidden/>
    <w:rsid w:val="002D28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28E5"/>
    <w:rPr>
      <w:b/>
      <w:bCs/>
    </w:rPr>
  </w:style>
  <w:style w:type="character" w:customStyle="1" w:styleId="CommentSubjectChar">
    <w:name w:val="Comment Subject Char"/>
    <w:basedOn w:val="CommentTextChar"/>
    <w:link w:val="CommentSubject"/>
    <w:uiPriority w:val="99"/>
    <w:semiHidden/>
    <w:rsid w:val="002D28E5"/>
    <w:rPr>
      <w:b/>
      <w:bCs/>
    </w:rPr>
  </w:style>
  <w:style w:type="paragraph" w:styleId="BalloonText">
    <w:name w:val="Balloon Text"/>
    <w:basedOn w:val="Normal"/>
    <w:link w:val="BalloonTextChar"/>
    <w:uiPriority w:val="99"/>
    <w:semiHidden/>
    <w:unhideWhenUsed/>
    <w:rsid w:val="002D28E5"/>
    <w:rPr>
      <w:rFonts w:ascii="Tahoma" w:hAnsi="Tahoma" w:cs="Tahoma"/>
      <w:sz w:val="16"/>
      <w:szCs w:val="16"/>
    </w:rPr>
  </w:style>
  <w:style w:type="character" w:customStyle="1" w:styleId="BalloonTextChar">
    <w:name w:val="Balloon Text Char"/>
    <w:basedOn w:val="DefaultParagraphFont"/>
    <w:link w:val="BalloonText"/>
    <w:uiPriority w:val="99"/>
    <w:semiHidden/>
    <w:rsid w:val="002D28E5"/>
    <w:rPr>
      <w:rFonts w:ascii="Tahoma" w:hAnsi="Tahoma" w:cs="Tahoma"/>
      <w:sz w:val="16"/>
      <w:szCs w:val="16"/>
    </w:rPr>
  </w:style>
  <w:style w:type="paragraph" w:styleId="ListParagraph">
    <w:name w:val="List Paragraph"/>
    <w:basedOn w:val="Normal"/>
    <w:uiPriority w:val="34"/>
    <w:qFormat/>
    <w:rsid w:val="004603E9"/>
    <w:pPr>
      <w:ind w:left="720"/>
      <w:contextualSpacing/>
    </w:pPr>
  </w:style>
</w:styles>
</file>

<file path=word/webSettings.xml><?xml version="1.0" encoding="utf-8"?>
<w:webSettings xmlns:r="http://schemas.openxmlformats.org/officeDocument/2006/relationships" xmlns:w="http://schemas.openxmlformats.org/wordprocessingml/2006/main">
  <w:divs>
    <w:div w:id="1296716042">
      <w:bodyDiv w:val="1"/>
      <w:marLeft w:val="0"/>
      <w:marRight w:val="0"/>
      <w:marTop w:val="0"/>
      <w:marBottom w:val="0"/>
      <w:divBdr>
        <w:top w:val="none" w:sz="0" w:space="0" w:color="auto"/>
        <w:left w:val="none" w:sz="0" w:space="0" w:color="auto"/>
        <w:bottom w:val="none" w:sz="0" w:space="0" w:color="auto"/>
        <w:right w:val="none" w:sz="0" w:space="0" w:color="auto"/>
      </w:divBdr>
    </w:div>
    <w:div w:id="1520124780">
      <w:bodyDiv w:val="1"/>
      <w:marLeft w:val="0"/>
      <w:marRight w:val="0"/>
      <w:marTop w:val="0"/>
      <w:marBottom w:val="0"/>
      <w:divBdr>
        <w:top w:val="none" w:sz="0" w:space="0" w:color="auto"/>
        <w:left w:val="none" w:sz="0" w:space="0" w:color="auto"/>
        <w:bottom w:val="none" w:sz="0" w:space="0" w:color="auto"/>
        <w:right w:val="none" w:sz="0" w:space="0" w:color="auto"/>
      </w:divBdr>
    </w:div>
    <w:div w:id="20455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ora.Eglite@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da.Reinika@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4CDB6-B743-43BF-8588-FE84ECCE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17.decembra noteikumos Nr.1529 ”Veselības aprūpes organizēšanas un finansēšanas kārtība”” sākotnējās ietekmes novērtējuma ziņojums (anotācija)</vt:lpstr>
    </vt:vector>
  </TitlesOfParts>
  <Company>VM</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17.decembra noteikumos Nr.1529 ”Veselības aprūpes organizēšanas un finansēšanas kārtība”” sākotnējās ietekmes novērtējuma ziņojums (anotācija)</dc:title>
  <dc:subject>Anotācija</dc:subject>
  <dc:creator>Leonora Eglīte</dc:creator>
  <dc:description>67876091
Leonora.Eglite@vm.gov.lv</dc:description>
  <cp:lastModifiedBy>leglite</cp:lastModifiedBy>
  <cp:revision>11</cp:revision>
  <cp:lastPrinted>2016-08-08T15:00:00Z</cp:lastPrinted>
  <dcterms:created xsi:type="dcterms:W3CDTF">2016-08-10T10:55:00Z</dcterms:created>
  <dcterms:modified xsi:type="dcterms:W3CDTF">2016-08-11T08:31:00Z</dcterms:modified>
</cp:coreProperties>
</file>