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CB6" w:rsidRPr="005B6EAA" w:rsidRDefault="004B7D8F" w:rsidP="002763B2">
      <w:pPr>
        <w:jc w:val="center"/>
        <w:rPr>
          <w:b/>
          <w:sz w:val="28"/>
          <w:szCs w:val="28"/>
        </w:rPr>
      </w:pPr>
      <w:bookmarkStart w:id="0" w:name="OLE_LINK3"/>
      <w:bookmarkStart w:id="1" w:name="OLE_LINK4"/>
      <w:bookmarkStart w:id="2" w:name="OLE_LINK1"/>
      <w:bookmarkStart w:id="3" w:name="OLE_LINK2"/>
      <w:r w:rsidRPr="005B6EAA">
        <w:rPr>
          <w:b/>
          <w:bCs/>
          <w:sz w:val="28"/>
          <w:szCs w:val="28"/>
        </w:rPr>
        <w:t>Noteikumu projekta</w:t>
      </w:r>
      <w:r w:rsidR="00AD1A3C" w:rsidRPr="005B6EAA">
        <w:rPr>
          <w:b/>
          <w:bCs/>
          <w:sz w:val="28"/>
          <w:szCs w:val="28"/>
        </w:rPr>
        <w:t xml:space="preserve"> </w:t>
      </w:r>
      <w:r w:rsidR="004F22EB" w:rsidRPr="005B6EAA">
        <w:rPr>
          <w:b/>
          <w:bCs/>
          <w:sz w:val="28"/>
          <w:szCs w:val="28"/>
        </w:rPr>
        <w:t>„</w:t>
      </w:r>
      <w:r w:rsidR="00723CB6" w:rsidRPr="005B6EAA">
        <w:rPr>
          <w:b/>
          <w:sz w:val="28"/>
          <w:szCs w:val="28"/>
        </w:rPr>
        <w:t>Grozījum</w:t>
      </w:r>
      <w:r w:rsidR="00410453" w:rsidRPr="005B6EAA">
        <w:rPr>
          <w:b/>
          <w:sz w:val="28"/>
          <w:szCs w:val="28"/>
        </w:rPr>
        <w:t>i</w:t>
      </w:r>
      <w:r w:rsidR="00723CB6" w:rsidRPr="005B6EAA">
        <w:rPr>
          <w:b/>
          <w:sz w:val="28"/>
          <w:szCs w:val="28"/>
        </w:rPr>
        <w:t xml:space="preserve"> Ministru kabineta </w:t>
      </w:r>
      <w:r w:rsidR="009662D9" w:rsidRPr="005B6EAA">
        <w:rPr>
          <w:b/>
          <w:sz w:val="28"/>
          <w:szCs w:val="28"/>
        </w:rPr>
        <w:t>200</w:t>
      </w:r>
      <w:r w:rsidR="00137CEE" w:rsidRPr="005B6EAA">
        <w:rPr>
          <w:b/>
          <w:sz w:val="28"/>
          <w:szCs w:val="28"/>
        </w:rPr>
        <w:t>8</w:t>
      </w:r>
      <w:r w:rsidR="009662D9" w:rsidRPr="005B6EAA">
        <w:rPr>
          <w:b/>
          <w:sz w:val="28"/>
          <w:szCs w:val="28"/>
        </w:rPr>
        <w:t>.</w:t>
      </w:r>
      <w:r w:rsidR="00236BE5">
        <w:rPr>
          <w:b/>
          <w:sz w:val="28"/>
          <w:szCs w:val="28"/>
        </w:rPr>
        <w:t xml:space="preserve"> </w:t>
      </w:r>
      <w:r w:rsidR="009662D9" w:rsidRPr="005B6EAA">
        <w:rPr>
          <w:b/>
          <w:sz w:val="28"/>
          <w:szCs w:val="28"/>
        </w:rPr>
        <w:t xml:space="preserve">gada </w:t>
      </w:r>
      <w:r w:rsidR="00236BE5" w:rsidRPr="005B6EAA">
        <w:rPr>
          <w:b/>
          <w:sz w:val="28"/>
          <w:szCs w:val="28"/>
        </w:rPr>
        <w:t>15. septembra</w:t>
      </w:r>
      <w:r w:rsidR="00723CB6" w:rsidRPr="005B6EAA">
        <w:rPr>
          <w:b/>
          <w:sz w:val="28"/>
          <w:szCs w:val="28"/>
        </w:rPr>
        <w:t xml:space="preserve"> noteikumos Nr.</w:t>
      </w:r>
      <w:r w:rsidR="00137CEE" w:rsidRPr="005B6EAA">
        <w:rPr>
          <w:b/>
          <w:sz w:val="28"/>
          <w:szCs w:val="28"/>
        </w:rPr>
        <w:t>746 „Ar noteiktām slimībām slimojošu pacientu reģistra izveides, papildināšanas un uzturēšanas kārtība”</w:t>
      </w:r>
      <w:r w:rsidR="00410453" w:rsidRPr="005B6EAA">
        <w:rPr>
          <w:b/>
          <w:sz w:val="28"/>
          <w:szCs w:val="28"/>
        </w:rPr>
        <w:t>”</w:t>
      </w:r>
      <w:r w:rsidR="00137CEE" w:rsidRPr="005B6EAA">
        <w:rPr>
          <w:b/>
          <w:sz w:val="28"/>
          <w:szCs w:val="28"/>
        </w:rPr>
        <w:t xml:space="preserve"> </w:t>
      </w:r>
    </w:p>
    <w:p w:rsidR="007953DD" w:rsidRPr="005B6EAA" w:rsidRDefault="007953DD" w:rsidP="002763B2">
      <w:pPr>
        <w:pStyle w:val="naisc"/>
        <w:spacing w:before="0" w:after="0"/>
        <w:rPr>
          <w:b/>
          <w:sz w:val="28"/>
          <w:szCs w:val="28"/>
        </w:rPr>
      </w:pPr>
      <w:r w:rsidRPr="005B6EAA">
        <w:rPr>
          <w:b/>
          <w:sz w:val="28"/>
          <w:szCs w:val="28"/>
        </w:rPr>
        <w:t xml:space="preserve">sākotnējās ietekmes novērtējuma </w:t>
      </w:r>
      <w:smartTag w:uri="schemas-tilde-lv/tildestengine" w:element="veidnes">
        <w:smartTagPr>
          <w:attr w:name="id" w:val="-1"/>
          <w:attr w:name="baseform" w:val="ziņojums"/>
          <w:attr w:name="text" w:val="ziņojums"/>
        </w:smartTagPr>
        <w:r w:rsidRPr="005B6EAA">
          <w:rPr>
            <w:b/>
            <w:sz w:val="28"/>
            <w:szCs w:val="28"/>
          </w:rPr>
          <w:t>ziņojums</w:t>
        </w:r>
      </w:smartTag>
      <w:r w:rsidRPr="005B6EAA">
        <w:rPr>
          <w:b/>
          <w:sz w:val="28"/>
          <w:szCs w:val="28"/>
        </w:rPr>
        <w:t xml:space="preserve"> (anotācija)</w:t>
      </w:r>
      <w:bookmarkEnd w:id="0"/>
      <w:bookmarkEnd w:id="1"/>
    </w:p>
    <w:p w:rsidR="000B047C" w:rsidRPr="005B6EAA" w:rsidRDefault="000B047C" w:rsidP="002763B2">
      <w:pPr>
        <w:pStyle w:val="naisc"/>
        <w:spacing w:before="0" w:after="0"/>
        <w:rPr>
          <w:sz w:val="28"/>
          <w:szCs w:val="28"/>
        </w:rPr>
      </w:pPr>
    </w:p>
    <w:tbl>
      <w:tblPr>
        <w:tblW w:w="4982" w:type="pct"/>
        <w:tblInd w:w="17" w:type="dxa"/>
        <w:tblBorders>
          <w:top w:val="outset" w:sz="6" w:space="0" w:color="414142"/>
          <w:left w:val="outset" w:sz="6" w:space="0" w:color="414142"/>
          <w:bottom w:val="outset" w:sz="6" w:space="0" w:color="414142"/>
          <w:right w:val="outset" w:sz="6" w:space="0" w:color="414142"/>
        </w:tblBorders>
        <w:tblLayout w:type="fixed"/>
        <w:tblCellMar>
          <w:top w:w="57" w:type="dxa"/>
          <w:left w:w="57" w:type="dxa"/>
          <w:bottom w:w="57" w:type="dxa"/>
          <w:right w:w="57" w:type="dxa"/>
        </w:tblCellMar>
        <w:tblLook w:val="04A0"/>
      </w:tblPr>
      <w:tblGrid>
        <w:gridCol w:w="415"/>
        <w:gridCol w:w="2744"/>
        <w:gridCol w:w="5993"/>
      </w:tblGrid>
      <w:tr w:rsidR="004B1133" w:rsidRPr="005B6EAA" w:rsidTr="00F7475F">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B1133" w:rsidRPr="005B6EAA" w:rsidRDefault="004B1133" w:rsidP="00CC640C">
            <w:pPr>
              <w:spacing w:line="480" w:lineRule="auto"/>
              <w:contextualSpacing/>
              <w:jc w:val="center"/>
              <w:rPr>
                <w:b/>
                <w:bCs/>
                <w:lang w:eastAsia="en-US"/>
              </w:rPr>
            </w:pPr>
            <w:r w:rsidRPr="005B6EAA">
              <w:rPr>
                <w:b/>
                <w:bCs/>
                <w:lang w:eastAsia="en-US"/>
              </w:rPr>
              <w:t>I. Tiesību akta projekta izstrādes nepieciešamība</w:t>
            </w:r>
          </w:p>
        </w:tc>
      </w:tr>
      <w:tr w:rsidR="004B1133" w:rsidRPr="005B6EAA" w:rsidTr="00CA4308">
        <w:trPr>
          <w:trHeight w:val="405"/>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1.</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Pamatojums</w:t>
            </w:r>
          </w:p>
        </w:tc>
        <w:tc>
          <w:tcPr>
            <w:tcW w:w="3274" w:type="pct"/>
            <w:tcBorders>
              <w:top w:val="outset" w:sz="6" w:space="0" w:color="414142"/>
              <w:left w:val="outset" w:sz="6" w:space="0" w:color="414142"/>
              <w:bottom w:val="outset" w:sz="6" w:space="0" w:color="414142"/>
              <w:right w:val="outset" w:sz="6" w:space="0" w:color="414142"/>
            </w:tcBorders>
            <w:hideMark/>
          </w:tcPr>
          <w:p w:rsidR="008211E7" w:rsidRPr="005B6EAA" w:rsidRDefault="0033057B" w:rsidP="003470E2">
            <w:pPr>
              <w:tabs>
                <w:tab w:val="left" w:pos="6925"/>
              </w:tabs>
              <w:contextualSpacing/>
              <w:jc w:val="both"/>
            </w:pPr>
            <w:r w:rsidRPr="005B6EAA">
              <w:t>Ministru kabineta noteikumu projekts</w:t>
            </w:r>
            <w:r w:rsidR="00E05CFD" w:rsidRPr="005B6EAA">
              <w:t xml:space="preserve"> „</w:t>
            </w:r>
            <w:r w:rsidR="008211E7" w:rsidRPr="005B6EAA">
              <w:t xml:space="preserve">Grozījumi Ministru kabineta 2008.gada 15.septembra noteikumos Nr.746 „Ar noteiktām slimībām slimojošu pacientu reģistra izveides, papildināšanas un uzturēšanas kārtība”” </w:t>
            </w:r>
            <w:r w:rsidRPr="005B6EAA">
              <w:t xml:space="preserve">(turpmāk – projekts) izstrādāts pēc Veselības ministrijas iniciatīvas </w:t>
            </w:r>
            <w:r w:rsidR="008211E7" w:rsidRPr="005B6EAA">
              <w:t xml:space="preserve">un pamatojoties uz </w:t>
            </w:r>
            <w:r w:rsidRPr="005B6EAA">
              <w:t>Sabiedrības veselības pamatnostādnēs 2014.</w:t>
            </w:r>
            <w:r w:rsidR="00AE48FE" w:rsidRPr="005B6EAA">
              <w:t>–</w:t>
            </w:r>
            <w:r w:rsidRPr="005B6EAA">
              <w:t>2020.gadam, kas apstiprinātas ar Ministru kabineta 2014.gada 14.oktobra rīkojumu Nr.589, definēt</w:t>
            </w:r>
            <w:r w:rsidR="008211E7" w:rsidRPr="005B6EAA">
              <w:t>o</w:t>
            </w:r>
            <w:r w:rsidRPr="005B6EAA">
              <w:t xml:space="preserve"> apakšmērķi – samazināt iedzīvotāju saslimstību ar infekcijas slimībām.</w:t>
            </w:r>
            <w:r w:rsidR="008211E7" w:rsidRPr="005B6EAA">
              <w:t xml:space="preserve"> </w:t>
            </w:r>
          </w:p>
          <w:p w:rsidR="00621F09" w:rsidRPr="005B6EAA" w:rsidRDefault="00AE48FE" w:rsidP="003470E2">
            <w:pPr>
              <w:tabs>
                <w:tab w:val="left" w:pos="6925"/>
              </w:tabs>
              <w:contextualSpacing/>
              <w:jc w:val="both"/>
            </w:pPr>
            <w:r w:rsidRPr="005B6EAA">
              <w:t>Ārstniecības likuma 9.panta pirmā daļa.</w:t>
            </w:r>
          </w:p>
        </w:tc>
      </w:tr>
      <w:tr w:rsidR="004B1133" w:rsidRPr="005B6EAA" w:rsidTr="00CA4308">
        <w:trPr>
          <w:trHeight w:val="465"/>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2.</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Pašreizējā situācija un problēmas, kuru risināšanai tiesību akta projekts izstrādāts, tiesiskā regulējuma mērķis un būtība</w:t>
            </w:r>
          </w:p>
        </w:tc>
        <w:tc>
          <w:tcPr>
            <w:tcW w:w="3274" w:type="pct"/>
            <w:tcBorders>
              <w:top w:val="outset" w:sz="6" w:space="0" w:color="414142"/>
              <w:left w:val="outset" w:sz="6" w:space="0" w:color="414142"/>
              <w:bottom w:val="outset" w:sz="6" w:space="0" w:color="414142"/>
              <w:right w:val="outset" w:sz="6" w:space="0" w:color="414142"/>
            </w:tcBorders>
            <w:hideMark/>
          </w:tcPr>
          <w:p w:rsidR="00597CFC" w:rsidRPr="005B6EAA" w:rsidRDefault="00597CFC" w:rsidP="00597CFC">
            <w:pPr>
              <w:tabs>
                <w:tab w:val="left" w:pos="6925"/>
              </w:tabs>
              <w:contextualSpacing/>
              <w:jc w:val="both"/>
            </w:pPr>
            <w:r w:rsidRPr="005B6EAA">
              <w:t>Saskaņā ar Ministru kabineta 2008.gada 15.septembra noteikumiem Nr.746 „Ar noteiktām slimībām slimojošu pacientu reģistra izveides, papildināšanas un uzturēšanas kārtība” (turpmāk – noteikumi Nr.746) valstī ir izveidota informācijas sistēma – reģistrs, kas satur datus par pacientiem, kuri slimo ar sabiedrības veselību būtiski ietekmējošām hroniskām slimībām: tuberkulozi, onkoloģiskajām slimībām, cukura diabētu u.c.</w:t>
            </w:r>
            <w:r w:rsidR="0011155B" w:rsidRPr="005B6EAA">
              <w:rPr>
                <w:rStyle w:val="FootnoteReference"/>
              </w:rPr>
              <w:footnoteReference w:id="1"/>
            </w:r>
            <w:r w:rsidRPr="005B6EAA">
              <w:t xml:space="preserve"> Šobrīd noteikumi Nr.746 neparedz datu apkopošanu un detalizētu analīzi par pacientiem, kuriem diagnosticēta tāda sabiedrības veselību ietekmējoša un bieži hroniska infekcijas slimība, kā </w:t>
            </w:r>
            <w:r w:rsidR="00104C32">
              <w:t xml:space="preserve">hronisks </w:t>
            </w:r>
            <w:r w:rsidR="00CB630B" w:rsidRPr="005B6EAA">
              <w:t xml:space="preserve">C vīrushepatīts (turpmāk – </w:t>
            </w:r>
            <w:r w:rsidR="00F53196">
              <w:t>VHC</w:t>
            </w:r>
            <w:r w:rsidR="00CB630B" w:rsidRPr="005B6EAA">
              <w:t>)</w:t>
            </w:r>
            <w:r w:rsidRPr="005B6EAA">
              <w:t>. Nav pieejama arī informācija par ārstniecības procesa rezultātiem, kas apgrūtina plānot un kontrolēt vīrushepatītu ārstēšanai nepieciešamo finansējumu.</w:t>
            </w:r>
          </w:p>
          <w:p w:rsidR="00CB630B" w:rsidRPr="005B6EAA" w:rsidRDefault="00CB630B" w:rsidP="00597CFC">
            <w:pPr>
              <w:tabs>
                <w:tab w:val="left" w:pos="6925"/>
              </w:tabs>
              <w:contextualSpacing/>
              <w:jc w:val="both"/>
            </w:pPr>
          </w:p>
          <w:p w:rsidR="00CB630B" w:rsidRPr="005B6EAA" w:rsidRDefault="00CB630B" w:rsidP="00CB630B">
            <w:pPr>
              <w:contextualSpacing/>
              <w:jc w:val="both"/>
              <w:rPr>
                <w:strike/>
              </w:rPr>
            </w:pPr>
            <w:r w:rsidRPr="005B6EAA">
              <w:t xml:space="preserve">Esošā </w:t>
            </w:r>
            <w:r w:rsidR="00F53196">
              <w:t>VHC</w:t>
            </w:r>
            <w:r w:rsidRPr="005B6EAA">
              <w:t xml:space="preserve"> epidemioloģiskā uzraudzība Latvijā ir vienotas Eiropas uzraudzības sistēmas sastāvdaļa</w:t>
            </w:r>
            <w:r w:rsidR="008515FB" w:rsidRPr="005B6EAA">
              <w:t xml:space="preserve"> (The European Surveillance </w:t>
            </w:r>
            <w:r w:rsidR="008515FB" w:rsidRPr="00EF095A">
              <w:rPr>
                <w:bCs/>
              </w:rPr>
              <w:t>System</w:t>
            </w:r>
            <w:r w:rsidR="008515FB" w:rsidRPr="00EF095A">
              <w:t xml:space="preserve"> </w:t>
            </w:r>
            <w:r w:rsidR="008515FB" w:rsidRPr="005B6EAA">
              <w:t>(</w:t>
            </w:r>
            <w:r w:rsidR="008515FB" w:rsidRPr="00EF095A">
              <w:rPr>
                <w:bCs/>
                <w:i/>
              </w:rPr>
              <w:t>TESSy</w:t>
            </w:r>
            <w:r w:rsidR="008515FB" w:rsidRPr="005B6EAA">
              <w:t>))</w:t>
            </w:r>
            <w:r w:rsidRPr="005B6EAA">
              <w:t xml:space="preserve">, kuras galvenie uzdevumi ir tendenču un izplatības izmaiņu monitorings laikā, teritoriju un iedzīvotāju grupu ietvaros, </w:t>
            </w:r>
            <w:r w:rsidR="00F53196">
              <w:t>VHC</w:t>
            </w:r>
            <w:r w:rsidRPr="005B6EAA">
              <w:t xml:space="preserve"> epidemioloģijas īpatnību izzināšana (inficēšanās veidi, riska faktori, riska grupas), uzliesmojumu noteikšana, kontroles pasākumu t.sk. epidemioloģiskās izmeklēšanas veikšana, profilakses pasākumu plānošana, attīstība un efektivitātes novērtēšana, ziņošana Eiropas Savienības Epidemioloģiskās uzraudzības </w:t>
            </w:r>
            <w:r w:rsidRPr="005B6EAA">
              <w:lastRenderedPageBreak/>
              <w:t>sistēmai (</w:t>
            </w:r>
            <w:r w:rsidRPr="009D772D">
              <w:rPr>
                <w:i/>
              </w:rPr>
              <w:t>TESSy</w:t>
            </w:r>
            <w:r w:rsidRPr="005B6EAA">
              <w:t>) u.c. epidemioloģiskās drošības vajadzības.</w:t>
            </w:r>
            <w:r w:rsidRPr="005B6EAA">
              <w:rPr>
                <w:strike/>
              </w:rPr>
              <w:t xml:space="preserve"> </w:t>
            </w:r>
          </w:p>
          <w:p w:rsidR="00EE1033" w:rsidRDefault="00EE1033" w:rsidP="00CB630B">
            <w:pPr>
              <w:tabs>
                <w:tab w:val="left" w:pos="6925"/>
              </w:tabs>
              <w:contextualSpacing/>
              <w:jc w:val="both"/>
            </w:pPr>
          </w:p>
          <w:p w:rsidR="00EE1033" w:rsidRDefault="00EE1033" w:rsidP="00EE1033">
            <w:pPr>
              <w:tabs>
                <w:tab w:val="left" w:pos="6925"/>
              </w:tabs>
              <w:contextualSpacing/>
              <w:jc w:val="both"/>
            </w:pPr>
            <w:r w:rsidRPr="005B6EAA">
              <w:t xml:space="preserve">Akūtu </w:t>
            </w:r>
            <w:r>
              <w:t>VHC</w:t>
            </w:r>
            <w:r w:rsidRPr="005B6EAA">
              <w:t xml:space="preserve"> gadījumu reģistrācija Latvijā epidemioloģiskās uzraudzības nolūkam ir uzsākta 1992.gadā un kopš 1995.gada tiek reģistrēts </w:t>
            </w:r>
            <w:r>
              <w:t xml:space="preserve">arī </w:t>
            </w:r>
            <w:r w:rsidRPr="005B6EAA">
              <w:t xml:space="preserve">hronisks C vīrushepatīts. Laikā no 1992. līdz 2014.gadam reģistrēti 2466 akūtā </w:t>
            </w:r>
            <w:r>
              <w:t>VHC</w:t>
            </w:r>
            <w:r w:rsidRPr="005B6EAA">
              <w:t xml:space="preserve"> gadījumi un 19</w:t>
            </w:r>
            <w:r>
              <w:t> </w:t>
            </w:r>
            <w:r w:rsidRPr="005B6EAA">
              <w:t xml:space="preserve">225 hroniskā </w:t>
            </w:r>
            <w:r>
              <w:t>VHC</w:t>
            </w:r>
            <w:r w:rsidRPr="005B6EAA">
              <w:t xml:space="preserve"> gadījumi. SPKC epidemioloģiskās uzraudzības dati liecina, ka pēdējo piecu gadu laikā Latvijā </w:t>
            </w:r>
            <w:r>
              <w:t xml:space="preserve">no jauna </w:t>
            </w:r>
            <w:r w:rsidRPr="005B6EAA">
              <w:t xml:space="preserve">atklāj vidēji 1380 akūtā un hroniskā </w:t>
            </w:r>
            <w:r>
              <w:t>VHC</w:t>
            </w:r>
            <w:r w:rsidRPr="005B6EAA">
              <w:t xml:space="preserve"> </w:t>
            </w:r>
            <w:r>
              <w:t>slimniekus gadā</w:t>
            </w:r>
            <w:r w:rsidRPr="005B6EAA">
              <w:t>.</w:t>
            </w:r>
            <w:r w:rsidRPr="005B6EAA">
              <w:rPr>
                <w:vertAlign w:val="superscript"/>
              </w:rPr>
              <w:t xml:space="preserve"> </w:t>
            </w:r>
            <w:r w:rsidRPr="005B6EAA">
              <w:rPr>
                <w:vertAlign w:val="superscript"/>
              </w:rPr>
              <w:footnoteReference w:id="2"/>
            </w:r>
            <w:r w:rsidRPr="005B6EAA">
              <w:t xml:space="preserve"> </w:t>
            </w:r>
          </w:p>
          <w:p w:rsidR="000653C3" w:rsidRPr="005B6EAA" w:rsidRDefault="000653C3" w:rsidP="00EE1033">
            <w:pPr>
              <w:tabs>
                <w:tab w:val="left" w:pos="6925"/>
              </w:tabs>
              <w:contextualSpacing/>
              <w:jc w:val="both"/>
            </w:pPr>
          </w:p>
          <w:p w:rsidR="00EE1033" w:rsidRPr="005B6EAA" w:rsidRDefault="00EE1033" w:rsidP="00EE1033">
            <w:pPr>
              <w:tabs>
                <w:tab w:val="left" w:pos="6925"/>
              </w:tabs>
              <w:contextualSpacing/>
              <w:jc w:val="both"/>
            </w:pPr>
            <w:r w:rsidRPr="005B6EAA">
              <w:t xml:space="preserve">2015.gada </w:t>
            </w:r>
            <w:r>
              <w:t>11</w:t>
            </w:r>
            <w:r w:rsidRPr="005B6EAA">
              <w:t xml:space="preserve"> mēnešos (janvāris – </w:t>
            </w:r>
            <w:r>
              <w:t>novembris</w:t>
            </w:r>
            <w:r w:rsidRPr="005B6EAA">
              <w:t xml:space="preserve">) Latvijā jau ir uzskaitīti </w:t>
            </w:r>
            <w:r>
              <w:t>1698</w:t>
            </w:r>
            <w:r w:rsidRPr="005B6EAA">
              <w:t xml:space="preserve"> </w:t>
            </w:r>
            <w:r>
              <w:t>VHC</w:t>
            </w:r>
            <w:r w:rsidRPr="005B6EAA">
              <w:t xml:space="preserve"> gadījumi, no kuriem </w:t>
            </w:r>
            <w:r>
              <w:t>60</w:t>
            </w:r>
            <w:r w:rsidRPr="005B6EAA">
              <w:t xml:space="preserve"> ir akūta </w:t>
            </w:r>
            <w:r>
              <w:t>VHC</w:t>
            </w:r>
            <w:r w:rsidRPr="005B6EAA">
              <w:t xml:space="preserve"> un </w:t>
            </w:r>
            <w:r>
              <w:t>1638</w:t>
            </w:r>
            <w:r w:rsidRPr="005B6EAA">
              <w:t xml:space="preserve"> – hroniska </w:t>
            </w:r>
            <w:r>
              <w:t>VHC</w:t>
            </w:r>
            <w:r w:rsidRPr="005B6EAA">
              <w:t xml:space="preserve"> gadījumi. Salīdzinot ar tādu pašu laika periodu 2014.gadā ir vērojams </w:t>
            </w:r>
            <w:r>
              <w:t>VHC</w:t>
            </w:r>
            <w:r w:rsidRPr="005B6EAA">
              <w:t xml:space="preserve"> gadījumu pieaugums par 1</w:t>
            </w:r>
            <w:r>
              <w:t>16</w:t>
            </w:r>
            <w:r w:rsidRPr="005B6EAA">
              <w:t xml:space="preserve"> gadījumiem (2014.gadā – </w:t>
            </w:r>
            <w:r>
              <w:t>1582</w:t>
            </w:r>
            <w:r w:rsidRPr="005B6EAA">
              <w:t xml:space="preserve"> </w:t>
            </w:r>
            <w:r>
              <w:t>VHC</w:t>
            </w:r>
            <w:r w:rsidRPr="005B6EAA">
              <w:t xml:space="preserve"> gadījumi, t.sk. </w:t>
            </w:r>
            <w:r>
              <w:t>52</w:t>
            </w:r>
            <w:r w:rsidRPr="005B6EAA">
              <w:t xml:space="preserve"> akūta </w:t>
            </w:r>
            <w:r>
              <w:t>VHC</w:t>
            </w:r>
            <w:r w:rsidRPr="005B6EAA">
              <w:t xml:space="preserve"> gadījumi). Pieaudzis arī gadījumu skaits uz 100 000 iedzīvotāju – </w:t>
            </w:r>
            <w:r>
              <w:t>hronisks VHC 82,5</w:t>
            </w:r>
            <w:r w:rsidRPr="005B6EAA">
              <w:t xml:space="preserve"> (2015.g.) no </w:t>
            </w:r>
            <w:r>
              <w:t>76,4</w:t>
            </w:r>
            <w:r w:rsidRPr="005B6EAA">
              <w:t xml:space="preserve"> (2014.g.).</w:t>
            </w:r>
            <w:r w:rsidRPr="005B6EAA">
              <w:rPr>
                <w:vertAlign w:val="superscript"/>
              </w:rPr>
              <w:t xml:space="preserve"> </w:t>
            </w:r>
            <w:r w:rsidRPr="005B6EAA">
              <w:rPr>
                <w:vertAlign w:val="superscript"/>
              </w:rPr>
              <w:footnoteReference w:id="3"/>
            </w:r>
          </w:p>
          <w:p w:rsidR="00EE1033" w:rsidRPr="005B6EAA" w:rsidRDefault="00EE1033" w:rsidP="00EE1033">
            <w:pPr>
              <w:tabs>
                <w:tab w:val="left" w:pos="6925"/>
              </w:tabs>
              <w:contextualSpacing/>
              <w:jc w:val="both"/>
            </w:pPr>
          </w:p>
          <w:p w:rsidR="00EE1033" w:rsidRDefault="00EE1033" w:rsidP="00EE1033">
            <w:pPr>
              <w:tabs>
                <w:tab w:val="left" w:pos="6925"/>
              </w:tabs>
              <w:contextualSpacing/>
              <w:jc w:val="both"/>
            </w:pPr>
            <w:r w:rsidRPr="005B6EAA">
              <w:t xml:space="preserve">Pēc pētījuma rezultātiem Latvijā </w:t>
            </w:r>
            <w:r>
              <w:t>VHC</w:t>
            </w:r>
            <w:r w:rsidRPr="005B6EAA">
              <w:t xml:space="preserve"> izplatība ir aptuveni 2% (C hepatīta vīrusa ribonukleīnskābe – 1,7%, antivielas pret C hepatīta vīrusu – 2,4%). Līdz ar to saskaņā ar provizoriskiem aprēķiniem aptuveni 34 000 – 48 000 Latvijas iedzīvotāju ir inficēti ar C hepatīta vīrusu.</w:t>
            </w:r>
          </w:p>
          <w:p w:rsidR="00EE1033" w:rsidRPr="005B6EAA" w:rsidRDefault="00EE1033" w:rsidP="00EE1033">
            <w:pPr>
              <w:tabs>
                <w:tab w:val="left" w:pos="6925"/>
              </w:tabs>
              <w:contextualSpacing/>
              <w:jc w:val="both"/>
            </w:pPr>
          </w:p>
          <w:p w:rsidR="00EE1033" w:rsidRDefault="00EE1033" w:rsidP="00EE1033">
            <w:pPr>
              <w:contextualSpacing/>
              <w:jc w:val="both"/>
            </w:pPr>
            <w:r w:rsidRPr="005B6EAA">
              <w:t xml:space="preserve">Slimību profilakses un kontroles centrs (turpmāk – SPKC) reģistrē </w:t>
            </w:r>
            <w:r>
              <w:t>VHC</w:t>
            </w:r>
            <w:r w:rsidRPr="005B6EAA">
              <w:t xml:space="preserve"> gadījumus epidemioloģiskās uzraudzības nolūkā atbilstoši Ministru kabineta 1999.gada 5.janvāra noteikumu Nr.7 „Infekcijas slimību reģistrācijas kārtība” (turpmāk – noteikumi Nr.7) 2. un 3.pielikumā noteiktajam. Saskaņā ar šiem noteikumiem ārstniecības persona ziņo par hronisku </w:t>
            </w:r>
            <w:r>
              <w:t xml:space="preserve">vai akūtu C </w:t>
            </w:r>
            <w:r w:rsidRPr="005B6EAA">
              <w:t xml:space="preserve">vīrushepatītu </w:t>
            </w:r>
            <w:r>
              <w:t>gadījumu. Atbilstoši minētajai kārtībai i</w:t>
            </w:r>
            <w:r w:rsidR="00D32D47">
              <w:t xml:space="preserve">nfekcijas slimību gadījumu uzskaiti nodrošina SPKC uzturētā vienotā infekcijas slimību reģistrācijas sistēma </w:t>
            </w:r>
            <w:r w:rsidR="00D32D47" w:rsidRPr="005B6EAA">
              <w:t>VISUMS</w:t>
            </w:r>
            <w:r>
              <w:t xml:space="preserve">. </w:t>
            </w:r>
            <w:r w:rsidR="00E20A9B">
              <w:t xml:space="preserve">Tā kā VISUMS tiek apkopota informācija par saslimšanas gadījumiem, šī datu bāze nedod iespēju analizēt un izvērtēt hronisku, ilgi noritošu infekcijas slimību norisi. VISUMS sistēmā dati par infekcijas slimību gadījumiem </w:t>
            </w:r>
            <w:r w:rsidR="00C16390">
              <w:t xml:space="preserve">tiek </w:t>
            </w:r>
            <w:r w:rsidR="00E20A9B">
              <w:t>apkopo</w:t>
            </w:r>
            <w:r w:rsidR="00C16390">
              <w:t>ti</w:t>
            </w:r>
            <w:r w:rsidR="00E20A9B">
              <w:t xml:space="preserve"> kumulatīvi un netiek analizēta tālāk</w:t>
            </w:r>
            <w:r w:rsidR="001A2A90">
              <w:t>ā</w:t>
            </w:r>
            <w:r w:rsidR="00E20A9B">
              <w:t xml:space="preserve"> slimības norise, </w:t>
            </w:r>
            <w:r w:rsidR="00CB203D">
              <w:t>piemēram,</w:t>
            </w:r>
            <w:r w:rsidR="00E20A9B">
              <w:t xml:space="preserve"> hroniska </w:t>
            </w:r>
            <w:r w:rsidR="009D7971">
              <w:t xml:space="preserve">C </w:t>
            </w:r>
            <w:r w:rsidR="00E20A9B">
              <w:t xml:space="preserve">vīrushepatīta gadījumā vienreizēji tiek reģistrēts saslimšanas gadījums, bet netiek vērtēta tālākā slimības gaita </w:t>
            </w:r>
            <w:r w:rsidR="00E20A9B">
              <w:lastRenderedPageBreak/>
              <w:t>– slimības attīstība (aknu fibroze, ciroze utml.), kā arī netiek identificēti un atskaitīti pacie</w:t>
            </w:r>
            <w:r w:rsidR="00B73779">
              <w:t>nti, kuri</w:t>
            </w:r>
            <w:r w:rsidR="00E20A9B">
              <w:t xml:space="preserve"> ir izārstējušies vai miruši dažādu iemeslu dēļ. Šādu gadījumu identificēšana ir iespējama tikai apkopojot personu identificējošus datus. </w:t>
            </w:r>
          </w:p>
          <w:p w:rsidR="00EE1033" w:rsidRDefault="00EE1033" w:rsidP="00EE1033">
            <w:pPr>
              <w:contextualSpacing/>
              <w:jc w:val="both"/>
            </w:pPr>
          </w:p>
          <w:p w:rsidR="00EE1033" w:rsidRDefault="00E20A9B" w:rsidP="00EE1033">
            <w:pPr>
              <w:contextualSpacing/>
              <w:jc w:val="both"/>
            </w:pPr>
            <w:r>
              <w:t xml:space="preserve">Apkopojot datus </w:t>
            </w:r>
            <w:r w:rsidR="00EE1033">
              <w:t>par VHC</w:t>
            </w:r>
            <w:r w:rsidR="00EE1033" w:rsidRPr="005B6EAA">
              <w:t xml:space="preserve"> pacient</w:t>
            </w:r>
            <w:r w:rsidR="00EE1033">
              <w:t>iem</w:t>
            </w:r>
            <w:r w:rsidR="00347A25">
              <w:t>,</w:t>
            </w:r>
            <w:r w:rsidR="00EE1033" w:rsidRPr="005B6EAA">
              <w:t xml:space="preserve"> </w:t>
            </w:r>
            <w:r>
              <w:t>tiks nodrošināta iespēja izsekot un izvērtēt katra slim</w:t>
            </w:r>
            <w:r w:rsidR="003A2251">
              <w:t>ības gadījuma norisei un ārstēšanai</w:t>
            </w:r>
            <w:r w:rsidR="008A1CA3">
              <w:t>,</w:t>
            </w:r>
            <w:r w:rsidR="003A2251">
              <w:t xml:space="preserve"> un izvērtēt ārstēšanas rezultātus, tādējādi dodot iespēju sekot ārstēšanas izmaksu efektivitātei. Ņemot vērā </w:t>
            </w:r>
            <w:r w:rsidR="00EE1033">
              <w:t>VHC</w:t>
            </w:r>
            <w:r w:rsidR="003A2251">
              <w:t xml:space="preserve"> augstā</w:t>
            </w:r>
            <w:r w:rsidR="003C3D6D">
              <w:t>s</w:t>
            </w:r>
            <w:r w:rsidR="003A2251">
              <w:t xml:space="preserve"> ārstēšanas izmaksas</w:t>
            </w:r>
            <w:r w:rsidR="00195CF2">
              <w:t>,</w:t>
            </w:r>
            <w:r w:rsidR="003A2251">
              <w:t xml:space="preserve"> ir ļoti svarīgi nodrošināt </w:t>
            </w:r>
            <w:r w:rsidR="00E01D14">
              <w:t>precīz</w:t>
            </w:r>
            <w:r w:rsidR="00042E21">
              <w:t>a</w:t>
            </w:r>
            <w:r w:rsidR="00E01D14">
              <w:t xml:space="preserve"> pacientu skaita </w:t>
            </w:r>
            <w:r w:rsidR="00DC7A13">
              <w:t xml:space="preserve">apzināšanu </w:t>
            </w:r>
            <w:r w:rsidR="00E01D14">
              <w:t>atbilstoši slimības norises stadijām, kā arī nodrošināt ārstēšanas izmaksu efektivitātes analīzi</w:t>
            </w:r>
            <w:r w:rsidR="00EE1033">
              <w:t>, lai precīzi plānotu nākotnē nepieciešamos resursus šīs slimības ārstēšanai.</w:t>
            </w:r>
          </w:p>
          <w:p w:rsidR="00D24A0E" w:rsidRDefault="00E01D14" w:rsidP="00EE1033">
            <w:pPr>
              <w:contextualSpacing/>
              <w:jc w:val="both"/>
            </w:pPr>
            <w:r>
              <w:t xml:space="preserve"> </w:t>
            </w:r>
          </w:p>
          <w:p w:rsidR="00E01D14" w:rsidRDefault="00E01D14" w:rsidP="003470E2">
            <w:pPr>
              <w:tabs>
                <w:tab w:val="left" w:pos="6925"/>
              </w:tabs>
              <w:contextualSpacing/>
              <w:jc w:val="both"/>
            </w:pPr>
            <w:r>
              <w:t xml:space="preserve">Papildus arī jāņem vērā, ka </w:t>
            </w:r>
            <w:r w:rsidR="00EE1033">
              <w:t>VHC</w:t>
            </w:r>
            <w:r>
              <w:t xml:space="preserve"> ir ilgstoši nori</w:t>
            </w:r>
            <w:r w:rsidR="00EE1033">
              <w:t>t</w:t>
            </w:r>
            <w:r>
              <w:t xml:space="preserve">oša slimība, kuras ārstēšanai ir nepieciešamas lielas izmaksas, tādēļ nav iespējams nodrošināt vienlaicīgi </w:t>
            </w:r>
            <w:r w:rsidR="008D3AD6">
              <w:t>visu inficēto personu ārstēšan</w:t>
            </w:r>
            <w:r w:rsidR="00AB5EE4">
              <w:t>u</w:t>
            </w:r>
            <w:r w:rsidR="008D3AD6">
              <w:t xml:space="preserve">. </w:t>
            </w:r>
            <w:r>
              <w:t xml:space="preserve"> </w:t>
            </w:r>
            <w:r w:rsidR="008D3AD6">
              <w:t xml:space="preserve">VHC ārstēšanas izmaksas vienam pacientam var sasniegt pat 40 000 </w:t>
            </w:r>
            <w:r w:rsidR="00A41EB5" w:rsidRPr="001F3DD4">
              <w:rPr>
                <w:lang w:eastAsia="en-US"/>
              </w:rPr>
              <w:t>EUR</w:t>
            </w:r>
            <w:r w:rsidR="008D3AD6">
              <w:t xml:space="preserve"> un kopumā VHC ārstēšanai 2016.gadā tiks atvēlēt</w:t>
            </w:r>
            <w:r w:rsidR="004D5F82">
              <w:t>i</w:t>
            </w:r>
            <w:r w:rsidR="008D3AD6">
              <w:t xml:space="preserve"> aptuveni </w:t>
            </w:r>
            <w:r w:rsidR="008D3AD6" w:rsidRPr="005B6EAA">
              <w:t>5% no kopējā veselības budžeta</w:t>
            </w:r>
            <w:r w:rsidR="008D3AD6">
              <w:t xml:space="preserve">. Tādēļ ir būtiski nodrošināt precīzu epidemioloģisko datu analīzi, lai varētu plānot nepieciešamos finanšu resursus, kā arī lai izsekotu pielietotās terapijas efektivitāti. Pacientu specifiskie dati </w:t>
            </w:r>
            <w:r w:rsidR="008D3AD6" w:rsidRPr="005B6EAA">
              <w:t xml:space="preserve">(ekonomiskā aktivitāte, sociālais statuss, riska faktori) tiks izmantoti padziļinātai </w:t>
            </w:r>
            <w:r w:rsidR="008D3AD6">
              <w:t xml:space="preserve">hroniska </w:t>
            </w:r>
            <w:r w:rsidR="008D3AD6" w:rsidRPr="005B6EAA">
              <w:t>C vīrushepatīta pacienta profila izpētei, tādējādi radot iespēju veikt mērķtiecīgus pasākumus atsevišķi pa mērķgrupām</w:t>
            </w:r>
            <w:r w:rsidR="008D3AD6">
              <w:t>. Savukārt, dati par slimības stadijām, gaitu, pielietoto terapiju u.tml., tiks izmantota, lai izvērtētu pielietotās ārstēšanas metodes un izmantoto medikamentu izmaksu efektivitāti un turpmākos nepieciešamos resursus, kā arī dos iespēju atlasīt</w:t>
            </w:r>
            <w:r>
              <w:t xml:space="preserve"> pacient</w:t>
            </w:r>
            <w:r w:rsidR="008D3AD6">
              <w:t>us</w:t>
            </w:r>
            <w:r>
              <w:t>, kam terapija ir nepieciešana</w:t>
            </w:r>
            <w:r w:rsidR="008D3AD6">
              <w:t xml:space="preserve"> pirmkārt un to nodrošināt pēc iespējas ātrāk</w:t>
            </w:r>
            <w:r>
              <w:t>.</w:t>
            </w:r>
          </w:p>
          <w:p w:rsidR="00D32D47" w:rsidRDefault="00D32D47" w:rsidP="003470E2">
            <w:pPr>
              <w:tabs>
                <w:tab w:val="left" w:pos="6925"/>
              </w:tabs>
              <w:contextualSpacing/>
              <w:jc w:val="both"/>
            </w:pPr>
          </w:p>
          <w:p w:rsidR="008D3AD6" w:rsidRPr="005B6EAA" w:rsidRDefault="008D3AD6" w:rsidP="003470E2">
            <w:pPr>
              <w:tabs>
                <w:tab w:val="left" w:pos="6925"/>
              </w:tabs>
              <w:contextualSpacing/>
              <w:jc w:val="both"/>
            </w:pPr>
            <w:r>
              <w:t xml:space="preserve">VHC pacientu reģistrs </w:t>
            </w:r>
            <w:r w:rsidR="00523C1D">
              <w:t>at</w:t>
            </w:r>
            <w:r>
              <w:t xml:space="preserve">risinās iepriekš minētās problēmas. </w:t>
            </w:r>
          </w:p>
          <w:p w:rsidR="00165BF7" w:rsidRPr="005B6EAA" w:rsidRDefault="008D3AD6" w:rsidP="00165BF7">
            <w:pPr>
              <w:jc w:val="both"/>
              <w:rPr>
                <w:iCs/>
              </w:rPr>
            </w:pPr>
            <w:r>
              <w:t xml:space="preserve">Tas </w:t>
            </w:r>
            <w:r w:rsidR="00165BF7" w:rsidRPr="005B6EAA">
              <w:t xml:space="preserve">tiks veidots kā viens no moduļiem </w:t>
            </w:r>
            <w:r w:rsidR="00165BF7" w:rsidRPr="005B6EAA">
              <w:rPr>
                <w:iCs/>
              </w:rPr>
              <w:t>Ar noteiktām slimībām slimojošu pacientu vienotās informācijas sistēmā PREDA (turpmāk – PREDA)</w:t>
            </w:r>
            <w:r w:rsidR="00165BF7" w:rsidRPr="005B6EAA">
              <w:t xml:space="preserve">. Tādēļ noteikumi Nr.746 tiek papildināti ar attiecīgajiem punktiem un pielikumu – </w:t>
            </w:r>
            <w:r w:rsidR="007C0511" w:rsidRPr="007C0511">
              <w:rPr>
                <w:rFonts w:eastAsia="Calibri"/>
                <w:iCs/>
                <w:szCs w:val="22"/>
                <w:lang w:eastAsia="en-US"/>
              </w:rPr>
              <w:t>Hronisk</w:t>
            </w:r>
            <w:r w:rsidR="003A1851">
              <w:rPr>
                <w:rFonts w:eastAsia="Calibri"/>
                <w:iCs/>
                <w:szCs w:val="22"/>
                <w:lang w:eastAsia="en-US"/>
              </w:rPr>
              <w:t>a</w:t>
            </w:r>
            <w:r w:rsidR="007C0511" w:rsidRPr="007C0511">
              <w:rPr>
                <w:rFonts w:eastAsia="Calibri"/>
                <w:iCs/>
                <w:szCs w:val="22"/>
                <w:lang w:eastAsia="en-US"/>
              </w:rPr>
              <w:t xml:space="preserve"> C vīrushepatīta pacienta karte</w:t>
            </w:r>
            <w:r w:rsidR="00C46D15">
              <w:rPr>
                <w:rFonts w:eastAsia="Calibri"/>
                <w:iCs/>
                <w:szCs w:val="22"/>
                <w:lang w:eastAsia="en-US"/>
              </w:rPr>
              <w:t>.</w:t>
            </w:r>
          </w:p>
          <w:p w:rsidR="002D15DF" w:rsidRPr="005B6EAA" w:rsidRDefault="002D15DF" w:rsidP="002D15DF">
            <w:pPr>
              <w:contextualSpacing/>
              <w:jc w:val="both"/>
              <w:rPr>
                <w:lang w:eastAsia="en-US"/>
              </w:rPr>
            </w:pPr>
          </w:p>
          <w:p w:rsidR="002D15DF" w:rsidRPr="008D3AD6" w:rsidRDefault="002D15DF" w:rsidP="002D15DF">
            <w:pPr>
              <w:contextualSpacing/>
              <w:jc w:val="both"/>
            </w:pPr>
            <w:r w:rsidRPr="005B6EAA">
              <w:t xml:space="preserve">Izveidojot </w:t>
            </w:r>
            <w:r w:rsidR="00F53196">
              <w:t>VHC</w:t>
            </w:r>
            <w:r w:rsidRPr="005B6EAA">
              <w:t xml:space="preserve"> reģistru, tiek plānota sasaiste ar citiem reģistriem un informācijas avotiem, kā arī ar e–veselības informācijas sistēmu. </w:t>
            </w:r>
            <w:r w:rsidR="008D3AD6">
              <w:t>J</w:t>
            </w:r>
            <w:r w:rsidR="008D3AD6" w:rsidRPr="005B6EAA">
              <w:t xml:space="preserve">aunais papildu modulis </w:t>
            </w:r>
            <w:r w:rsidR="008D3AD6" w:rsidRPr="005B6EAA">
              <w:rPr>
                <w:iCs/>
              </w:rPr>
              <w:t>PREDA</w:t>
            </w:r>
            <w:r w:rsidR="008D3AD6" w:rsidRPr="005B6EAA">
              <w:t xml:space="preserve"> apkopos un analizēs informāciju dinamikā</w:t>
            </w:r>
            <w:r w:rsidR="008D3AD6">
              <w:t xml:space="preserve">, sniedzot iespēju identificēt pacienta datus dažādos reģistros </w:t>
            </w:r>
            <w:r w:rsidR="008D3AD6" w:rsidRPr="008D3AD6">
              <w:t xml:space="preserve">(VISUMS, </w:t>
            </w:r>
            <w:r w:rsidR="008D3AD6" w:rsidRPr="008D3AD6">
              <w:rPr>
                <w:iCs/>
              </w:rPr>
              <w:lastRenderedPageBreak/>
              <w:t>Latvijas iedzīvotāju nāves cēloņu datu bāze u.c)</w:t>
            </w:r>
            <w:r w:rsidR="008D3AD6" w:rsidRPr="008D3AD6">
              <w:t>.</w:t>
            </w:r>
          </w:p>
          <w:p w:rsidR="008D3AD6" w:rsidRPr="005B6EAA" w:rsidRDefault="008D3AD6" w:rsidP="002D15DF">
            <w:pPr>
              <w:contextualSpacing/>
              <w:jc w:val="both"/>
              <w:rPr>
                <w:lang w:eastAsia="en-US"/>
              </w:rPr>
            </w:pPr>
          </w:p>
          <w:p w:rsidR="00A21793" w:rsidRPr="005B6EAA" w:rsidRDefault="008C26DC" w:rsidP="003470E2">
            <w:pPr>
              <w:contextualSpacing/>
              <w:jc w:val="both"/>
              <w:rPr>
                <w:lang w:eastAsia="en-US"/>
              </w:rPr>
            </w:pPr>
            <w:r w:rsidRPr="005B6EAA">
              <w:rPr>
                <w:lang w:eastAsia="en-US"/>
              </w:rPr>
              <w:t>P</w:t>
            </w:r>
            <w:r w:rsidR="00D70015" w:rsidRPr="005B6EAA">
              <w:rPr>
                <w:lang w:eastAsia="en-US"/>
              </w:rPr>
              <w:t xml:space="preserve">rojekts paredz papildināt </w:t>
            </w:r>
            <w:r w:rsidR="00A76C5B" w:rsidRPr="005B6EAA">
              <w:rPr>
                <w:lang w:eastAsia="en-US"/>
              </w:rPr>
              <w:t xml:space="preserve">MK noteikumu </w:t>
            </w:r>
            <w:r w:rsidR="00FA177F" w:rsidRPr="005B6EAA">
              <w:rPr>
                <w:lang w:eastAsia="en-US"/>
              </w:rPr>
              <w:t>Nr.746</w:t>
            </w:r>
            <w:r w:rsidR="00A76C5B" w:rsidRPr="005B6EAA">
              <w:rPr>
                <w:lang w:eastAsia="en-US"/>
              </w:rPr>
              <w:t xml:space="preserve"> 7.punkt</w:t>
            </w:r>
            <w:r w:rsidR="00D70015" w:rsidRPr="005B6EAA">
              <w:rPr>
                <w:lang w:eastAsia="en-US"/>
              </w:rPr>
              <w:t>u</w:t>
            </w:r>
            <w:r w:rsidR="00A76C5B" w:rsidRPr="005B6EAA">
              <w:rPr>
                <w:lang w:eastAsia="en-US"/>
              </w:rPr>
              <w:t xml:space="preserve"> ar apakšpunktu, nosakot</w:t>
            </w:r>
            <w:r w:rsidR="00E40543" w:rsidRPr="005B6EAA">
              <w:rPr>
                <w:lang w:eastAsia="en-US"/>
              </w:rPr>
              <w:t xml:space="preserve">, </w:t>
            </w:r>
            <w:r w:rsidR="00A76C5B" w:rsidRPr="005B6EAA">
              <w:rPr>
                <w:lang w:eastAsia="en-US"/>
              </w:rPr>
              <w:t>ka statistiskās informācijas kopsavilkums tiek veidots par pacientiem, kuriem diagnosticēts</w:t>
            </w:r>
            <w:r w:rsidR="00C46D15">
              <w:rPr>
                <w:lang w:eastAsia="en-US"/>
              </w:rPr>
              <w:t xml:space="preserve"> </w:t>
            </w:r>
            <w:r w:rsidR="00F53196">
              <w:rPr>
                <w:lang w:eastAsia="en-US"/>
              </w:rPr>
              <w:t>VHC</w:t>
            </w:r>
            <w:r w:rsidR="00E26786" w:rsidRPr="005B6EAA">
              <w:rPr>
                <w:lang w:eastAsia="en-US"/>
              </w:rPr>
              <w:t xml:space="preserve"> </w:t>
            </w:r>
            <w:r w:rsidR="00D70015" w:rsidRPr="005B6EAA">
              <w:rPr>
                <w:lang w:eastAsia="en-US"/>
              </w:rPr>
              <w:t xml:space="preserve">(projekta </w:t>
            </w:r>
            <w:r w:rsidR="000D7BC8" w:rsidRPr="005B6EAA">
              <w:rPr>
                <w:lang w:eastAsia="en-US"/>
              </w:rPr>
              <w:t>7.10.</w:t>
            </w:r>
            <w:r w:rsidR="00D70015" w:rsidRPr="005B6EAA">
              <w:rPr>
                <w:lang w:eastAsia="en-US"/>
              </w:rPr>
              <w:t>apakšpunkts)</w:t>
            </w:r>
            <w:r w:rsidR="00A76C5B" w:rsidRPr="005B6EAA">
              <w:rPr>
                <w:lang w:eastAsia="en-US"/>
              </w:rPr>
              <w:t>.</w:t>
            </w:r>
            <w:r w:rsidR="000D7BC8" w:rsidRPr="005B6EAA">
              <w:rPr>
                <w:lang w:eastAsia="en-US"/>
              </w:rPr>
              <w:t xml:space="preserve"> </w:t>
            </w:r>
          </w:p>
          <w:p w:rsidR="00D70015" w:rsidRPr="005B6EAA" w:rsidRDefault="008B23B1" w:rsidP="003470E2">
            <w:pPr>
              <w:contextualSpacing/>
              <w:jc w:val="both"/>
              <w:rPr>
                <w:iCs/>
                <w:lang w:eastAsia="en-US"/>
              </w:rPr>
            </w:pPr>
            <w:r w:rsidRPr="005B6EAA">
              <w:rPr>
                <w:lang w:eastAsia="en-US"/>
              </w:rPr>
              <w:t>N</w:t>
            </w:r>
            <w:r w:rsidR="00902AE0" w:rsidRPr="005B6EAA">
              <w:rPr>
                <w:lang w:eastAsia="en-US"/>
              </w:rPr>
              <w:t xml:space="preserve">oteikumu Nr.746 12.punkts tiek papildināts ar 12.4.apakšpunktu, </w:t>
            </w:r>
            <w:r w:rsidRPr="005B6EAA">
              <w:rPr>
                <w:lang w:eastAsia="en-US"/>
              </w:rPr>
              <w:t xml:space="preserve">lai nodrošinātu nepieciešamo datu </w:t>
            </w:r>
            <w:r w:rsidR="00FF3AF8">
              <w:rPr>
                <w:lang w:eastAsia="en-US"/>
              </w:rPr>
              <w:t>saņemšanu no</w:t>
            </w:r>
            <w:r w:rsidR="00902AE0" w:rsidRPr="005B6EAA">
              <w:rPr>
                <w:iCs/>
                <w:lang w:eastAsia="en-US"/>
              </w:rPr>
              <w:t xml:space="preserve"> </w:t>
            </w:r>
            <w:r w:rsidR="00A21793" w:rsidRPr="005B6EAA">
              <w:rPr>
                <w:iCs/>
                <w:lang w:eastAsia="en-US"/>
              </w:rPr>
              <w:t>VISUMS</w:t>
            </w:r>
            <w:r w:rsidR="00902AE0" w:rsidRPr="005B6EAA">
              <w:rPr>
                <w:iCs/>
                <w:lang w:eastAsia="en-US"/>
              </w:rPr>
              <w:t xml:space="preserve"> reizi diennaktī</w:t>
            </w:r>
            <w:r w:rsidR="00C46D15">
              <w:rPr>
                <w:iCs/>
                <w:lang w:eastAsia="en-US"/>
              </w:rPr>
              <w:t>,</w:t>
            </w:r>
            <w:r w:rsidR="00902AE0" w:rsidRPr="005B6EAA">
              <w:rPr>
                <w:iCs/>
                <w:lang w:eastAsia="en-US"/>
              </w:rPr>
              <w:t xml:space="preserve"> par katru reģistrētu </w:t>
            </w:r>
            <w:r w:rsidR="00F53196">
              <w:rPr>
                <w:iCs/>
                <w:lang w:eastAsia="en-US"/>
              </w:rPr>
              <w:t>VHC</w:t>
            </w:r>
            <w:r w:rsidR="00902AE0" w:rsidRPr="005B6EAA">
              <w:rPr>
                <w:iCs/>
                <w:lang w:eastAsia="en-US"/>
              </w:rPr>
              <w:t xml:space="preserve"> gadījumu.</w:t>
            </w:r>
          </w:p>
          <w:p w:rsidR="002D15DF" w:rsidRPr="005B6EAA" w:rsidRDefault="002D15DF" w:rsidP="002D15DF">
            <w:pPr>
              <w:contextualSpacing/>
              <w:jc w:val="both"/>
            </w:pPr>
          </w:p>
          <w:p w:rsidR="00D70015" w:rsidRPr="005B6EAA" w:rsidRDefault="00677B87" w:rsidP="008D3AD6">
            <w:pPr>
              <w:tabs>
                <w:tab w:val="left" w:pos="6925"/>
              </w:tabs>
              <w:contextualSpacing/>
              <w:jc w:val="both"/>
            </w:pPr>
            <w:r>
              <w:t>Ā</w:t>
            </w:r>
            <w:r w:rsidR="002D15DF" w:rsidRPr="005B6EAA">
              <w:t>rstniecības persona ievadīs datus PREDA pēc katra būtisk</w:t>
            </w:r>
            <w:r w:rsidR="00D64341">
              <w:t>a</w:t>
            </w:r>
            <w:r w:rsidR="002D15DF" w:rsidRPr="005B6EAA">
              <w:t xml:space="preserve"> ārstniecības posma (piemēram – biopsijas rezultāti, konsīlija slēdziens, uzsākts vai pabeigts etiotropās ārstēšanas posms u.tml.). </w:t>
            </w:r>
            <w:r w:rsidR="00D70015" w:rsidRPr="005B6EAA">
              <w:rPr>
                <w:lang w:eastAsia="en-US"/>
              </w:rPr>
              <w:t xml:space="preserve">Lai nodrošinātu </w:t>
            </w:r>
            <w:r w:rsidR="00F53196">
              <w:rPr>
                <w:lang w:eastAsia="en-US"/>
              </w:rPr>
              <w:t>VHC</w:t>
            </w:r>
            <w:r w:rsidR="00E26786" w:rsidRPr="005B6EAA">
              <w:rPr>
                <w:lang w:eastAsia="en-US"/>
              </w:rPr>
              <w:t xml:space="preserve"> </w:t>
            </w:r>
            <w:r w:rsidR="00D70015" w:rsidRPr="005B6EAA">
              <w:rPr>
                <w:lang w:eastAsia="en-US"/>
              </w:rPr>
              <w:t xml:space="preserve">pacientu reģistru, ārstniecības persona </w:t>
            </w:r>
            <w:r w:rsidR="00787DCF" w:rsidRPr="005B6EAA">
              <w:t>elektroniski ievadī</w:t>
            </w:r>
            <w:r w:rsidR="006C70E7" w:rsidRPr="005B6EAA">
              <w:t>s</w:t>
            </w:r>
            <w:r w:rsidR="008B23B1" w:rsidRPr="005B6EAA">
              <w:t xml:space="preserve"> nepieciešamo informāciju saskaņā ar projekta</w:t>
            </w:r>
            <w:r w:rsidR="00787DCF" w:rsidRPr="005B6EAA">
              <w:t xml:space="preserve"> </w:t>
            </w:r>
            <w:r w:rsidR="006C70E7" w:rsidRPr="005B6EAA">
              <w:t xml:space="preserve">jauno </w:t>
            </w:r>
            <w:r w:rsidR="00787DCF" w:rsidRPr="005B6EAA">
              <w:t>14. pielikumu „</w:t>
            </w:r>
            <w:r w:rsidR="00C46D15" w:rsidRPr="00C46D15">
              <w:rPr>
                <w:iCs/>
              </w:rPr>
              <w:t>Hronisk</w:t>
            </w:r>
            <w:r w:rsidR="00F15ED8">
              <w:rPr>
                <w:iCs/>
              </w:rPr>
              <w:t>a</w:t>
            </w:r>
            <w:r w:rsidR="00C46D15" w:rsidRPr="00C46D15">
              <w:rPr>
                <w:iCs/>
              </w:rPr>
              <w:t xml:space="preserve"> C vīrushepatīta pacienta karte</w:t>
            </w:r>
            <w:r w:rsidR="00787DCF" w:rsidRPr="005B6EAA">
              <w:t>”</w:t>
            </w:r>
            <w:r w:rsidR="00A32277" w:rsidRPr="005B6EAA">
              <w:t>, kas paredzēts projekta 6.punktā</w:t>
            </w:r>
            <w:r w:rsidR="00787DCF" w:rsidRPr="005B6EAA">
              <w:t>.</w:t>
            </w:r>
            <w:r w:rsidR="00D70015" w:rsidRPr="005B6EAA">
              <w:rPr>
                <w:lang w:eastAsia="en-US"/>
              </w:rPr>
              <w:t xml:space="preserve"> </w:t>
            </w:r>
            <w:r w:rsidR="008D3AD6">
              <w:rPr>
                <w:lang w:eastAsia="en-US"/>
              </w:rPr>
              <w:t xml:space="preserve">Noteikumu projekts arī paredz, ka ārstniecības iestādes līdz 2016.gada beigām ievadīs datus par visiem VHC pacientiem, kam uzsākta ārstēšana no 2016.gada 1.janvāra līdz brīdim, kad reģistrs būs izveidots. Ņemot vērā to, ka noteikumu projekts paredz to, ka ārstniecības persona atjauno datus reģistrā par VHC pacientu pēc katra ārstēšanas posma, </w:t>
            </w:r>
            <w:r w:rsidR="0098435E">
              <w:rPr>
                <w:lang w:eastAsia="en-US"/>
              </w:rPr>
              <w:t>tai skaitā izvērtējot terapijas efektivitāti 6 mēnešus pēc ārstēšanas pabeigšanas, tiek prognozēts, ka reģistra papildināšana ar datiem par pacientiem, kas uzsākuši ārstēšanu no 2016.gada 1.janvār neradīs papildus slogu.</w:t>
            </w:r>
          </w:p>
          <w:p w:rsidR="00F21229" w:rsidRPr="005B6EAA" w:rsidRDefault="00F21229" w:rsidP="003470E2">
            <w:pPr>
              <w:tabs>
                <w:tab w:val="left" w:pos="6925"/>
              </w:tabs>
              <w:contextualSpacing/>
              <w:jc w:val="both"/>
              <w:rPr>
                <w:lang w:eastAsia="en-US"/>
              </w:rPr>
            </w:pPr>
          </w:p>
          <w:p w:rsidR="00E52BF3" w:rsidRPr="005B6EAA" w:rsidRDefault="00576197" w:rsidP="003470E2">
            <w:pPr>
              <w:contextualSpacing/>
              <w:jc w:val="both"/>
              <w:rPr>
                <w:iCs/>
                <w:lang w:eastAsia="en-US"/>
              </w:rPr>
            </w:pPr>
            <w:r w:rsidRPr="005B6EAA">
              <w:rPr>
                <w:iCs/>
                <w:lang w:eastAsia="en-US"/>
              </w:rPr>
              <w:t>Noteikumu Nr.746 11.punkts paredz, ka Reģistrā iekļautā informācija tiek glabāta elektroniski, nodrošinot Fizisko personu datu aizsardzības likuma un Pacientu tiesību likuma prasību izpildi. Reģistrā iekļautā informācija ir ierobežotas pieejamības informācija.</w:t>
            </w:r>
          </w:p>
        </w:tc>
      </w:tr>
      <w:tr w:rsidR="004B1133" w:rsidRPr="005B6EAA" w:rsidTr="00CA4308">
        <w:trPr>
          <w:trHeight w:val="465"/>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jc w:val="center"/>
              <w:rPr>
                <w:lang w:eastAsia="en-US"/>
              </w:rPr>
            </w:pPr>
            <w:r w:rsidRPr="005B6EAA">
              <w:rPr>
                <w:lang w:eastAsia="en-US"/>
              </w:rPr>
              <w:lastRenderedPageBreak/>
              <w:t>3.</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Projekta izstrādē iesaistītās institūcijas</w:t>
            </w:r>
          </w:p>
        </w:tc>
        <w:tc>
          <w:tcPr>
            <w:tcW w:w="3274"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3470E2">
            <w:pPr>
              <w:contextualSpacing/>
              <w:jc w:val="both"/>
              <w:rPr>
                <w:lang w:eastAsia="en-US"/>
              </w:rPr>
            </w:pPr>
            <w:r w:rsidRPr="005B6EAA">
              <w:t xml:space="preserve">Noteikumu projekts ir izstrādāts Veselības ministrijai sadarbojoties ar </w:t>
            </w:r>
            <w:r w:rsidR="00517227" w:rsidRPr="005B6EAA">
              <w:t>S</w:t>
            </w:r>
            <w:r w:rsidR="00904257" w:rsidRPr="005B6EAA">
              <w:t>limību profilakses un kontroles centra</w:t>
            </w:r>
            <w:r w:rsidR="00517227" w:rsidRPr="005B6EAA">
              <w:t xml:space="preserve"> un </w:t>
            </w:r>
            <w:r w:rsidR="00904257" w:rsidRPr="005B6EAA">
              <w:t>SIA „Rīgas Austrumu klīniskās universitātes slimnīca” stacionāra „Latvijas Infektoloģijas centrs” speciālistiem.</w:t>
            </w:r>
          </w:p>
        </w:tc>
      </w:tr>
      <w:tr w:rsidR="00967FE1" w:rsidRPr="005B6EAA" w:rsidTr="00CA4308">
        <w:tc>
          <w:tcPr>
            <w:tcW w:w="227" w:type="pct"/>
            <w:tcBorders>
              <w:top w:val="outset" w:sz="6" w:space="0" w:color="414142"/>
              <w:left w:val="outset" w:sz="6" w:space="0" w:color="414142"/>
              <w:bottom w:val="outset" w:sz="6" w:space="0" w:color="414142"/>
              <w:right w:val="outset" w:sz="6" w:space="0" w:color="414142"/>
            </w:tcBorders>
          </w:tcPr>
          <w:p w:rsidR="00967FE1" w:rsidRPr="005B6EAA" w:rsidRDefault="00967FE1" w:rsidP="002763B2">
            <w:pPr>
              <w:contextualSpacing/>
              <w:jc w:val="center"/>
              <w:rPr>
                <w:lang w:eastAsia="en-US"/>
              </w:rPr>
            </w:pPr>
            <w:r w:rsidRPr="005B6EAA">
              <w:rPr>
                <w:lang w:eastAsia="en-US"/>
              </w:rPr>
              <w:t>4.</w:t>
            </w:r>
          </w:p>
        </w:tc>
        <w:tc>
          <w:tcPr>
            <w:tcW w:w="1499" w:type="pct"/>
            <w:tcBorders>
              <w:top w:val="outset" w:sz="6" w:space="0" w:color="414142"/>
              <w:left w:val="outset" w:sz="6" w:space="0" w:color="414142"/>
              <w:bottom w:val="outset" w:sz="6" w:space="0" w:color="414142"/>
              <w:right w:val="outset" w:sz="6" w:space="0" w:color="414142"/>
            </w:tcBorders>
          </w:tcPr>
          <w:p w:rsidR="00967FE1" w:rsidRPr="005B6EAA" w:rsidRDefault="00967FE1" w:rsidP="002763B2">
            <w:pPr>
              <w:contextualSpacing/>
              <w:rPr>
                <w:lang w:eastAsia="en-US"/>
              </w:rPr>
            </w:pPr>
            <w:r w:rsidRPr="005B6EAA">
              <w:rPr>
                <w:lang w:eastAsia="en-US"/>
              </w:rPr>
              <w:t>Cita informācija</w:t>
            </w:r>
          </w:p>
        </w:tc>
        <w:tc>
          <w:tcPr>
            <w:tcW w:w="3274" w:type="pct"/>
            <w:tcBorders>
              <w:top w:val="outset" w:sz="6" w:space="0" w:color="414142"/>
              <w:left w:val="outset" w:sz="6" w:space="0" w:color="414142"/>
              <w:bottom w:val="outset" w:sz="6" w:space="0" w:color="414142"/>
              <w:right w:val="outset" w:sz="6" w:space="0" w:color="414142"/>
            </w:tcBorders>
          </w:tcPr>
          <w:p w:rsidR="00967FE1" w:rsidRPr="005B6EAA" w:rsidRDefault="00967FE1" w:rsidP="002763B2">
            <w:pPr>
              <w:contextualSpacing/>
              <w:rPr>
                <w:lang w:eastAsia="en-US"/>
              </w:rPr>
            </w:pPr>
            <w:r w:rsidRPr="005B6EAA">
              <w:rPr>
                <w:lang w:eastAsia="en-US"/>
              </w:rPr>
              <w:t>Nav</w:t>
            </w:r>
          </w:p>
        </w:tc>
      </w:tr>
      <w:tr w:rsidR="004F35F7" w:rsidRPr="005B6EAA" w:rsidTr="00F7475F">
        <w:trPr>
          <w:trHeight w:val="420"/>
        </w:trPr>
        <w:tc>
          <w:tcPr>
            <w:tcW w:w="5000" w:type="pct"/>
            <w:gridSpan w:val="3"/>
            <w:tcBorders>
              <w:top w:val="nil"/>
              <w:left w:val="nil"/>
              <w:bottom w:val="outset" w:sz="6" w:space="0" w:color="414142"/>
              <w:right w:val="nil"/>
            </w:tcBorders>
            <w:vAlign w:val="center"/>
            <w:hideMark/>
          </w:tcPr>
          <w:p w:rsidR="00CC640C" w:rsidRPr="005B6EAA" w:rsidRDefault="00CC640C" w:rsidP="002763B2">
            <w:pPr>
              <w:contextualSpacing/>
              <w:rPr>
                <w:bCs/>
                <w:lang w:eastAsia="en-US"/>
              </w:rPr>
            </w:pPr>
          </w:p>
        </w:tc>
      </w:tr>
      <w:tr w:rsidR="004B1133" w:rsidRPr="005B6EAA" w:rsidTr="00F7475F">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B1133" w:rsidRPr="005B6EAA" w:rsidRDefault="004B1133" w:rsidP="005B6EAA">
            <w:pPr>
              <w:contextualSpacing/>
              <w:jc w:val="center"/>
              <w:rPr>
                <w:b/>
                <w:bCs/>
                <w:lang w:eastAsia="en-US"/>
              </w:rPr>
            </w:pPr>
            <w:r w:rsidRPr="005B6EAA">
              <w:rPr>
                <w:b/>
                <w:bCs/>
                <w:lang w:eastAsia="en-US"/>
              </w:rPr>
              <w:t>II. Tiesību akta projekta ietekme uz sabiedrību, tautsaimniecības attīstību un administratīvo slogu</w:t>
            </w:r>
          </w:p>
        </w:tc>
      </w:tr>
      <w:tr w:rsidR="004B1133" w:rsidRPr="005B6EAA" w:rsidTr="00CA4308">
        <w:trPr>
          <w:trHeight w:val="465"/>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1.</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 xml:space="preserve">Sabiedrības mērķgrupas, kuras tiesiskais regulējums </w:t>
            </w:r>
            <w:r w:rsidRPr="005B6EAA">
              <w:rPr>
                <w:lang w:eastAsia="en-US"/>
              </w:rPr>
              <w:lastRenderedPageBreak/>
              <w:t>ietekmē vai varētu ietekmēt</w:t>
            </w:r>
          </w:p>
        </w:tc>
        <w:tc>
          <w:tcPr>
            <w:tcW w:w="3274" w:type="pct"/>
            <w:tcBorders>
              <w:top w:val="outset" w:sz="6" w:space="0" w:color="414142"/>
              <w:left w:val="outset" w:sz="6" w:space="0" w:color="414142"/>
              <w:bottom w:val="outset" w:sz="6" w:space="0" w:color="414142"/>
              <w:right w:val="outset" w:sz="6" w:space="0" w:color="414142"/>
            </w:tcBorders>
            <w:hideMark/>
          </w:tcPr>
          <w:p w:rsidR="0025612E" w:rsidRPr="005B6EAA" w:rsidRDefault="00212385" w:rsidP="0025612E">
            <w:pPr>
              <w:contextualSpacing/>
              <w:jc w:val="both"/>
              <w:rPr>
                <w:lang w:eastAsia="en-US"/>
              </w:rPr>
            </w:pPr>
            <w:r w:rsidRPr="005B6EAA">
              <w:rPr>
                <w:lang w:eastAsia="en-US"/>
              </w:rPr>
              <w:lastRenderedPageBreak/>
              <w:t xml:space="preserve">Netieša ietekme uz pacientiem ar </w:t>
            </w:r>
            <w:r w:rsidR="00F53196">
              <w:rPr>
                <w:lang w:eastAsia="en-US"/>
              </w:rPr>
              <w:t>VHC</w:t>
            </w:r>
            <w:r w:rsidRPr="005B6EAA">
              <w:rPr>
                <w:lang w:eastAsia="en-US"/>
              </w:rPr>
              <w:t>.</w:t>
            </w:r>
          </w:p>
        </w:tc>
      </w:tr>
      <w:tr w:rsidR="004B1133" w:rsidRPr="005B6EAA" w:rsidTr="00CA4308">
        <w:trPr>
          <w:trHeight w:val="510"/>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lastRenderedPageBreak/>
              <w:t>2.</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Tiesiskā regulējuma ietekme uz tautsaimniecību un administratīvo slogu</w:t>
            </w:r>
          </w:p>
        </w:tc>
        <w:tc>
          <w:tcPr>
            <w:tcW w:w="3274" w:type="pct"/>
            <w:tcBorders>
              <w:top w:val="outset" w:sz="6" w:space="0" w:color="414142"/>
              <w:left w:val="outset" w:sz="6" w:space="0" w:color="414142"/>
              <w:bottom w:val="outset" w:sz="6" w:space="0" w:color="414142"/>
              <w:right w:val="outset" w:sz="6" w:space="0" w:color="414142"/>
            </w:tcBorders>
            <w:hideMark/>
          </w:tcPr>
          <w:p w:rsidR="00212385" w:rsidRPr="005B6EAA" w:rsidRDefault="0025612E" w:rsidP="00212385">
            <w:pPr>
              <w:contextualSpacing/>
              <w:jc w:val="both"/>
            </w:pPr>
            <w:r w:rsidRPr="005B6EAA">
              <w:t xml:space="preserve">Netieša ietekme uz sabiedrības veselības drošību. Pateicoties precīzākiem statistikas datiem, būs iespējams precīzāk veikt aprēķinus par kopējo pacientu skaitu, slimības attīstības gaitu, attiecīgi plānot un pamatot nepieciešamos valsts budžeta līdzekļus </w:t>
            </w:r>
            <w:r w:rsidR="00F53196">
              <w:t>VHC</w:t>
            </w:r>
            <w:r w:rsidR="00E26786" w:rsidRPr="005B6EAA">
              <w:t xml:space="preserve"> </w:t>
            </w:r>
            <w:r w:rsidRPr="005B6EAA">
              <w:t>ārstēšanai</w:t>
            </w:r>
            <w:r w:rsidR="001D36EB" w:rsidRPr="005B6EAA">
              <w:t xml:space="preserve"> un profilaksei</w:t>
            </w:r>
            <w:r w:rsidR="00212385" w:rsidRPr="005B6EAA">
              <w:t>.</w:t>
            </w:r>
          </w:p>
          <w:p w:rsidR="00212385" w:rsidRPr="005B6EAA" w:rsidRDefault="00212385" w:rsidP="00212385">
            <w:pPr>
              <w:contextualSpacing/>
              <w:jc w:val="both"/>
            </w:pPr>
          </w:p>
          <w:p w:rsidR="005211CE" w:rsidRPr="005B6EAA" w:rsidRDefault="00212385" w:rsidP="00212385">
            <w:pPr>
              <w:contextualSpacing/>
              <w:jc w:val="both"/>
            </w:pPr>
            <w:r w:rsidRPr="005B6EAA">
              <w:t>Tieša ietekme uz SPKC, ārstniecības iestādēm.</w:t>
            </w:r>
            <w:r w:rsidR="00320C82" w:rsidRPr="005B6EAA">
              <w:t xml:space="preserve"> </w:t>
            </w:r>
          </w:p>
        </w:tc>
      </w:tr>
      <w:tr w:rsidR="004B1133" w:rsidRPr="005B6EAA" w:rsidTr="00CA4308">
        <w:trPr>
          <w:trHeight w:val="510"/>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3.</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Administratīvo izmaksu monetārs novērtējums</w:t>
            </w:r>
          </w:p>
        </w:tc>
        <w:tc>
          <w:tcPr>
            <w:tcW w:w="3274" w:type="pct"/>
            <w:tcBorders>
              <w:top w:val="outset" w:sz="6" w:space="0" w:color="414142"/>
              <w:left w:val="outset" w:sz="6" w:space="0" w:color="414142"/>
              <w:bottom w:val="outset" w:sz="6" w:space="0" w:color="414142"/>
              <w:right w:val="outset" w:sz="6" w:space="0" w:color="414142"/>
            </w:tcBorders>
            <w:hideMark/>
          </w:tcPr>
          <w:p w:rsidR="00154468" w:rsidRPr="005B6EAA" w:rsidRDefault="00154468" w:rsidP="00154468">
            <w:pPr>
              <w:contextualSpacing/>
              <w:jc w:val="both"/>
            </w:pPr>
            <w:r w:rsidRPr="005B6EAA">
              <w:t>C = (f x l) x (n x b), kur</w:t>
            </w:r>
          </w:p>
          <w:p w:rsidR="00154468" w:rsidRPr="005B6EAA" w:rsidRDefault="00154468" w:rsidP="00154468">
            <w:pPr>
              <w:contextualSpacing/>
              <w:jc w:val="both"/>
            </w:pPr>
            <w:r w:rsidRPr="005B6EAA">
              <w:t>C – informācijas sniegšanas pienākuma radītās izmaksas jeb administratīvās izmaksas;</w:t>
            </w:r>
          </w:p>
          <w:p w:rsidR="00154468" w:rsidRPr="005B6EAA" w:rsidRDefault="00154468" w:rsidP="00154468">
            <w:pPr>
              <w:contextualSpacing/>
              <w:jc w:val="both"/>
            </w:pPr>
            <w:r w:rsidRPr="005B6EAA">
              <w:t xml:space="preserve">f – finanšu līdzekļu apjoms, kas nepieciešams, lai nodrošinātu projektā paredzētā informācijas sniegšanas pienākuma izpildi (stundas samaksas likme, ieskaitot virsstundas vai stundas limitu ārējo pakalpojumu sniedzējiem, ja tādi ir) </w:t>
            </w:r>
            <w:r w:rsidR="00267C7A" w:rsidRPr="005B6EAA">
              <w:t>–</w:t>
            </w:r>
            <w:r w:rsidRPr="005B6EAA">
              <w:t xml:space="preserve"> Strādājošo mēneša vidējā darba samaksa bruto 765,00 eiro</w:t>
            </w:r>
            <w:r w:rsidRPr="005B6EAA">
              <w:rPr>
                <w:vertAlign w:val="superscript"/>
              </w:rPr>
              <w:footnoteReference w:id="4"/>
            </w:r>
            <w:r w:rsidRPr="005B6EAA">
              <w:t xml:space="preserve"> (stundas likme – 765,00/165,58h=4,62 eiro/h);</w:t>
            </w:r>
          </w:p>
          <w:p w:rsidR="00154468" w:rsidRPr="005B6EAA" w:rsidRDefault="00154468" w:rsidP="00154468">
            <w:pPr>
              <w:contextualSpacing/>
              <w:jc w:val="both"/>
            </w:pPr>
            <w:r w:rsidRPr="005B6EAA">
              <w:t xml:space="preserve">l – laika patēriņš, kas nepieciešams, lai sagatavotu informāciju, kuras sniegšanu paredz projekts </w:t>
            </w:r>
            <w:r w:rsidR="00D8476F" w:rsidRPr="005B6EAA">
              <w:t>–</w:t>
            </w:r>
            <w:r w:rsidRPr="005B6EAA">
              <w:t xml:space="preserve"> vidēji </w:t>
            </w:r>
            <w:r w:rsidR="008C6B96" w:rsidRPr="005B6EAA">
              <w:t>0,5h</w:t>
            </w:r>
            <w:r w:rsidR="00DE3A49" w:rsidRPr="005B6EAA">
              <w:t>/anketas elektroniskai aizpildīšanai</w:t>
            </w:r>
            <w:r w:rsidRPr="005B6EAA">
              <w:t>;</w:t>
            </w:r>
          </w:p>
          <w:p w:rsidR="00154468" w:rsidRPr="005B6EAA" w:rsidRDefault="00154468" w:rsidP="00154468">
            <w:pPr>
              <w:contextualSpacing/>
              <w:jc w:val="both"/>
            </w:pPr>
            <w:r w:rsidRPr="005B6EAA">
              <w:t xml:space="preserve">n – subjektu skaits, uz ko attiecas projektā paredzētās informācijas sniegšanas prasības – </w:t>
            </w:r>
            <w:r w:rsidR="005C2131" w:rsidRPr="005B6EAA">
              <w:t>ārstniecības iestāde, kura nodrošina pacienta papildu izmeklēšanu un/vai ārstēšanu (infektologs)</w:t>
            </w:r>
            <w:r w:rsidRPr="005B6EAA">
              <w:t>;</w:t>
            </w:r>
          </w:p>
          <w:p w:rsidR="00154468" w:rsidRPr="005B6EAA" w:rsidRDefault="00154468" w:rsidP="00154468">
            <w:pPr>
              <w:contextualSpacing/>
              <w:jc w:val="both"/>
            </w:pPr>
            <w:r w:rsidRPr="005B6EAA">
              <w:t xml:space="preserve">b – cik bieži gada laikā projekts paredz informācijas sniegšanu – </w:t>
            </w:r>
            <w:r w:rsidR="00DE3A49" w:rsidRPr="005B6EAA">
              <w:t>1380h/gadā (SPKC</w:t>
            </w:r>
            <w:r w:rsidR="005731B0" w:rsidRPr="005B6EAA">
              <w:t xml:space="preserve"> dati</w:t>
            </w:r>
            <w:r w:rsidR="00DE3A49" w:rsidRPr="005B6EAA">
              <w:t xml:space="preserve"> </w:t>
            </w:r>
            <w:r w:rsidR="00FB7921" w:rsidRPr="005B6EAA">
              <w:t>–</w:t>
            </w:r>
            <w:r w:rsidR="00DE3A49" w:rsidRPr="005B6EAA">
              <w:t xml:space="preserve"> pēdējo piecu gadu laikā Latvijā atklāj vidēji 1380 jaunus akūtā un hroniskā </w:t>
            </w:r>
            <w:r w:rsidR="00F53196">
              <w:t>VHC</w:t>
            </w:r>
            <w:r w:rsidR="00E26786" w:rsidRPr="005B6EAA">
              <w:t xml:space="preserve"> </w:t>
            </w:r>
            <w:r w:rsidR="00DE3A49" w:rsidRPr="005B6EAA">
              <w:t>slimniekus gadā)</w:t>
            </w:r>
            <w:r w:rsidRPr="005B6EAA">
              <w:t>.</w:t>
            </w:r>
          </w:p>
          <w:p w:rsidR="00154468" w:rsidRPr="005B6EAA" w:rsidRDefault="00154468" w:rsidP="00154468">
            <w:pPr>
              <w:contextualSpacing/>
              <w:jc w:val="both"/>
            </w:pPr>
            <w:r w:rsidRPr="005B6EAA">
              <w:t xml:space="preserve">C = (4,62 x </w:t>
            </w:r>
            <w:r w:rsidR="008C6B96" w:rsidRPr="005B6EAA">
              <w:t>0,5</w:t>
            </w:r>
            <w:r w:rsidRPr="005B6EAA">
              <w:t>) x (</w:t>
            </w:r>
            <w:r w:rsidR="00DE3A49" w:rsidRPr="005B6EAA">
              <w:t>1</w:t>
            </w:r>
            <w:r w:rsidRPr="005B6EAA">
              <w:t xml:space="preserve"> x </w:t>
            </w:r>
            <w:r w:rsidR="00DE3A49" w:rsidRPr="005B6EAA">
              <w:t>1380</w:t>
            </w:r>
            <w:r w:rsidRPr="005B6EAA">
              <w:t>)</w:t>
            </w:r>
          </w:p>
          <w:p w:rsidR="00132C06" w:rsidRPr="005B6EAA" w:rsidRDefault="00154468" w:rsidP="00CA4308">
            <w:pPr>
              <w:contextualSpacing/>
              <w:jc w:val="both"/>
              <w:rPr>
                <w:b/>
                <w:bCs/>
              </w:rPr>
            </w:pPr>
            <w:r w:rsidRPr="005B6EAA">
              <w:rPr>
                <w:b/>
                <w:bCs/>
              </w:rPr>
              <w:t>C=</w:t>
            </w:r>
            <w:r w:rsidR="008C6B96" w:rsidRPr="005B6EAA">
              <w:rPr>
                <w:b/>
                <w:bCs/>
              </w:rPr>
              <w:t>3187,80</w:t>
            </w:r>
            <w:r w:rsidR="00DE3A49" w:rsidRPr="005B6EAA">
              <w:rPr>
                <w:b/>
                <w:bCs/>
              </w:rPr>
              <w:t xml:space="preserve"> </w:t>
            </w:r>
            <w:r w:rsidRPr="005B6EAA">
              <w:rPr>
                <w:b/>
                <w:bCs/>
              </w:rPr>
              <w:t>Eiro/gadā</w:t>
            </w:r>
          </w:p>
          <w:p w:rsidR="000614DC" w:rsidRPr="00677B87" w:rsidRDefault="001D36EB" w:rsidP="00F15ED8">
            <w:pPr>
              <w:contextualSpacing/>
              <w:jc w:val="both"/>
              <w:rPr>
                <w:bCs/>
              </w:rPr>
            </w:pPr>
            <w:r w:rsidRPr="005B6EAA">
              <w:rPr>
                <w:bCs/>
              </w:rPr>
              <w:t>Hronisk</w:t>
            </w:r>
            <w:r w:rsidR="00F15ED8">
              <w:rPr>
                <w:bCs/>
              </w:rPr>
              <w:t>a</w:t>
            </w:r>
            <w:r w:rsidRPr="005B6EAA">
              <w:rPr>
                <w:bCs/>
              </w:rPr>
              <w:t xml:space="preserve"> C vīrushepatīta diagnozes noteikšanu, ārstniecību un novērošanu veic tikai </w:t>
            </w:r>
            <w:r w:rsidR="009E7BC7">
              <w:rPr>
                <w:bCs/>
              </w:rPr>
              <w:t xml:space="preserve">infektologs vai </w:t>
            </w:r>
            <w:r w:rsidRPr="005B6EAA">
              <w:rPr>
                <w:bCs/>
              </w:rPr>
              <w:t>hepatologs.</w:t>
            </w:r>
            <w:r w:rsidR="005731B0" w:rsidRPr="005B6EAA">
              <w:rPr>
                <w:bCs/>
              </w:rPr>
              <w:t xml:space="preserve"> Ņemot vērā, ka </w:t>
            </w:r>
            <w:r w:rsidR="00F53196">
              <w:rPr>
                <w:bCs/>
              </w:rPr>
              <w:t>VHC</w:t>
            </w:r>
            <w:r w:rsidR="005731B0" w:rsidRPr="005B6EAA">
              <w:rPr>
                <w:bCs/>
              </w:rPr>
              <w:t xml:space="preserve"> ārstēšanu uzsāk pēc biopsijas rezultātu saņemšanas un ārstu konsīlija slēdziena, ko </w:t>
            </w:r>
            <w:r w:rsidR="000D7744" w:rsidRPr="005B6EAA">
              <w:rPr>
                <w:bCs/>
              </w:rPr>
              <w:t>veic</w:t>
            </w:r>
            <w:r w:rsidR="005731B0" w:rsidRPr="005B6EAA">
              <w:rPr>
                <w:bCs/>
              </w:rPr>
              <w:t xml:space="preserve"> Rīgas Austrumu klīniskās universitātes slimnīcas stacionār</w:t>
            </w:r>
            <w:r w:rsidR="000D7744" w:rsidRPr="005B6EAA">
              <w:rPr>
                <w:bCs/>
              </w:rPr>
              <w:t>ā</w:t>
            </w:r>
            <w:r w:rsidR="00BF1BBF">
              <w:rPr>
                <w:bCs/>
              </w:rPr>
              <w:t xml:space="preserve"> „Latvijas I</w:t>
            </w:r>
            <w:r w:rsidR="005731B0" w:rsidRPr="005B6EAA">
              <w:rPr>
                <w:bCs/>
              </w:rPr>
              <w:t>nfektoloģijas centrs”</w:t>
            </w:r>
            <w:r w:rsidR="000D7744" w:rsidRPr="005B6EAA">
              <w:rPr>
                <w:bCs/>
              </w:rPr>
              <w:t>, aprēķinos iekļauta tikai viena ārstniecības iestāde.</w:t>
            </w:r>
          </w:p>
        </w:tc>
      </w:tr>
      <w:tr w:rsidR="004B1133" w:rsidRPr="005B6EAA" w:rsidTr="00CA4308">
        <w:trPr>
          <w:trHeight w:val="345"/>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4.</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Cita informācija</w:t>
            </w:r>
          </w:p>
        </w:tc>
        <w:tc>
          <w:tcPr>
            <w:tcW w:w="3274" w:type="pct"/>
            <w:tcBorders>
              <w:top w:val="outset" w:sz="6" w:space="0" w:color="414142"/>
              <w:left w:val="outset" w:sz="6" w:space="0" w:color="414142"/>
              <w:bottom w:val="outset" w:sz="6" w:space="0" w:color="414142"/>
              <w:right w:val="outset" w:sz="6" w:space="0" w:color="414142"/>
            </w:tcBorders>
            <w:hideMark/>
          </w:tcPr>
          <w:p w:rsidR="00677B87" w:rsidRPr="001F3DD4" w:rsidRDefault="00677B87" w:rsidP="00677B87">
            <w:pPr>
              <w:contextualSpacing/>
              <w:jc w:val="both"/>
              <w:rPr>
                <w:bCs/>
              </w:rPr>
            </w:pPr>
            <w:r w:rsidRPr="001F3DD4">
              <w:rPr>
                <w:bCs/>
              </w:rPr>
              <w:t>Infrastruktūras izveidei:</w:t>
            </w:r>
          </w:p>
          <w:p w:rsidR="00677B87" w:rsidRDefault="00677B87" w:rsidP="00677B87">
            <w:pPr>
              <w:contextualSpacing/>
              <w:jc w:val="both"/>
              <w:rPr>
                <w:lang w:eastAsia="en-US"/>
              </w:rPr>
            </w:pPr>
            <w:r w:rsidRPr="001F3DD4">
              <w:rPr>
                <w:lang w:eastAsia="en-US"/>
              </w:rPr>
              <w:t>"Ar noteiktām slimībām slimojošu pacientu reģistra" sistēmas papildināšana ar jaunu funkcionalitāti (modulis esošajā reģistrā) – plānotās izmaksas ap 51</w:t>
            </w:r>
            <w:r w:rsidR="00A41EB5">
              <w:rPr>
                <w:lang w:eastAsia="en-US"/>
              </w:rPr>
              <w:t xml:space="preserve"> </w:t>
            </w:r>
            <w:r w:rsidRPr="001F3DD4">
              <w:rPr>
                <w:lang w:eastAsia="en-US"/>
              </w:rPr>
              <w:t xml:space="preserve">909,00 EUR, ko veido cilvēkresursu izmaksas, kopējais apjoms ap 150 </w:t>
            </w:r>
            <w:r w:rsidRPr="001F3DD4">
              <w:rPr>
                <w:lang w:eastAsia="en-US"/>
              </w:rPr>
              <w:lastRenderedPageBreak/>
              <w:t>cilvēkdienām. Pieņemot, ka 1 cilvēkdienas izmaksas ir 286 EUR, kopā 51</w:t>
            </w:r>
            <w:r w:rsidR="00360BA2">
              <w:rPr>
                <w:lang w:eastAsia="en-US"/>
              </w:rPr>
              <w:t xml:space="preserve"> </w:t>
            </w:r>
            <w:r w:rsidRPr="001F3DD4">
              <w:rPr>
                <w:lang w:eastAsia="en-US"/>
              </w:rPr>
              <w:t>909 EUR (sistēmas moduļa izveide, kas nodrošina reģistra kartes ievadi, dažu standarta atskaišu izveidi).</w:t>
            </w:r>
          </w:p>
          <w:p w:rsidR="004B1133" w:rsidRPr="005B6EAA" w:rsidRDefault="00677B87" w:rsidP="00677B87">
            <w:pPr>
              <w:contextualSpacing/>
              <w:rPr>
                <w:lang w:eastAsia="en-US"/>
              </w:rPr>
            </w:pPr>
            <w:r w:rsidRPr="000614DC">
              <w:rPr>
                <w:lang w:eastAsia="en-US"/>
              </w:rPr>
              <w:t xml:space="preserve">Slimību profilakses un kontroles centrs </w:t>
            </w:r>
            <w:r>
              <w:rPr>
                <w:lang w:eastAsia="en-US"/>
              </w:rPr>
              <w:t>šīs izmaksas segs no</w:t>
            </w:r>
            <w:r w:rsidRPr="000614DC">
              <w:rPr>
                <w:lang w:eastAsia="en-US"/>
              </w:rPr>
              <w:t xml:space="preserve"> tam piešķirt</w:t>
            </w:r>
            <w:r>
              <w:rPr>
                <w:lang w:eastAsia="en-US"/>
              </w:rPr>
              <w:t>ajiem valsts budžeta līdzekļiem.</w:t>
            </w:r>
          </w:p>
        </w:tc>
      </w:tr>
      <w:tr w:rsidR="000C6A1A" w:rsidRPr="005B6EAA" w:rsidTr="00F7475F">
        <w:trPr>
          <w:trHeight w:val="420"/>
        </w:trPr>
        <w:tc>
          <w:tcPr>
            <w:tcW w:w="5000" w:type="pct"/>
            <w:gridSpan w:val="3"/>
            <w:tcBorders>
              <w:top w:val="nil"/>
              <w:left w:val="nil"/>
              <w:bottom w:val="outset" w:sz="6" w:space="0" w:color="414142"/>
              <w:right w:val="nil"/>
            </w:tcBorders>
            <w:vAlign w:val="center"/>
            <w:hideMark/>
          </w:tcPr>
          <w:p w:rsidR="000C6A1A" w:rsidRPr="005B6EAA" w:rsidRDefault="000C6A1A" w:rsidP="002763B2">
            <w:pPr>
              <w:contextualSpacing/>
              <w:jc w:val="center"/>
              <w:rPr>
                <w:bCs/>
                <w:lang w:eastAsia="en-US"/>
              </w:rPr>
            </w:pPr>
          </w:p>
        </w:tc>
      </w:tr>
      <w:tr w:rsidR="004B1133" w:rsidRPr="005B6EAA" w:rsidTr="00F7475F">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B1133" w:rsidRPr="005B6EAA" w:rsidRDefault="004B1133" w:rsidP="00CC640C">
            <w:pPr>
              <w:spacing w:line="480" w:lineRule="auto"/>
              <w:contextualSpacing/>
              <w:jc w:val="center"/>
              <w:rPr>
                <w:b/>
                <w:bCs/>
                <w:lang w:eastAsia="en-US"/>
              </w:rPr>
            </w:pPr>
            <w:r w:rsidRPr="005B6EAA">
              <w:rPr>
                <w:b/>
                <w:bCs/>
                <w:lang w:eastAsia="en-US"/>
              </w:rPr>
              <w:t>VI. Sabiedrības līdzdalība un komunikācijas aktivitātes</w:t>
            </w:r>
          </w:p>
        </w:tc>
      </w:tr>
      <w:tr w:rsidR="004B1133" w:rsidRPr="005B6EAA" w:rsidTr="00CA4308">
        <w:trPr>
          <w:trHeight w:val="540"/>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1.</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Plānotās sabiedrības līdzdalības un komunikācijas aktivitātes saistībā ar projektu</w:t>
            </w:r>
          </w:p>
        </w:tc>
        <w:tc>
          <w:tcPr>
            <w:tcW w:w="3274" w:type="pct"/>
            <w:tcBorders>
              <w:top w:val="outset" w:sz="6" w:space="0" w:color="414142"/>
              <w:left w:val="outset" w:sz="6" w:space="0" w:color="414142"/>
              <w:bottom w:val="outset" w:sz="6" w:space="0" w:color="414142"/>
              <w:right w:val="outset" w:sz="6" w:space="0" w:color="414142"/>
            </w:tcBorders>
            <w:hideMark/>
          </w:tcPr>
          <w:p w:rsidR="007A20AE" w:rsidRDefault="002E3EBD" w:rsidP="007A20AE">
            <w:pPr>
              <w:contextualSpacing/>
              <w:jc w:val="both"/>
              <w:rPr>
                <w:lang w:eastAsia="en-US"/>
              </w:rPr>
            </w:pPr>
            <w:r w:rsidRPr="005B6EAA">
              <w:rPr>
                <w:lang w:eastAsia="en-US"/>
              </w:rPr>
              <w:t xml:space="preserve">Projekts </w:t>
            </w:r>
            <w:r w:rsidR="00104C32">
              <w:rPr>
                <w:lang w:eastAsia="en-US"/>
              </w:rPr>
              <w:t>tiks saskaņots</w:t>
            </w:r>
            <w:r w:rsidRPr="005B6EAA">
              <w:rPr>
                <w:lang w:eastAsia="en-US"/>
              </w:rPr>
              <w:t xml:space="preserve"> ar</w:t>
            </w:r>
            <w:r w:rsidR="007A20AE" w:rsidRPr="005B6EAA">
              <w:rPr>
                <w:lang w:eastAsia="en-US"/>
              </w:rPr>
              <w:t xml:space="preserve"> </w:t>
            </w:r>
            <w:r w:rsidR="00677B87">
              <w:rPr>
                <w:lang w:eastAsia="en-US"/>
              </w:rPr>
              <w:t>šādām</w:t>
            </w:r>
            <w:r w:rsidR="007A20AE" w:rsidRPr="005B6EAA">
              <w:rPr>
                <w:lang w:eastAsia="en-US"/>
              </w:rPr>
              <w:t xml:space="preserve"> iestādēm un organizācijām:</w:t>
            </w:r>
          </w:p>
          <w:p w:rsidR="000779AB" w:rsidRPr="005B6EAA" w:rsidRDefault="00677B87" w:rsidP="007A20AE">
            <w:pPr>
              <w:contextualSpacing/>
              <w:jc w:val="both"/>
              <w:rPr>
                <w:lang w:eastAsia="en-US"/>
              </w:rPr>
            </w:pPr>
            <w:r>
              <w:rPr>
                <w:lang w:eastAsia="en-US"/>
              </w:rPr>
              <w:t>SIA „</w:t>
            </w:r>
            <w:r w:rsidR="000779AB">
              <w:rPr>
                <w:lang w:eastAsia="en-US"/>
              </w:rPr>
              <w:t>Rīgas Austrumu klīniskās universitātes slimnīca</w:t>
            </w:r>
            <w:r>
              <w:rPr>
                <w:lang w:eastAsia="en-US"/>
              </w:rPr>
              <w:t>”</w:t>
            </w:r>
          </w:p>
          <w:p w:rsidR="00677B87" w:rsidRPr="005B6EAA" w:rsidRDefault="00677B87" w:rsidP="00677B87">
            <w:pPr>
              <w:contextualSpacing/>
              <w:jc w:val="both"/>
              <w:rPr>
                <w:lang w:eastAsia="en-US"/>
              </w:rPr>
            </w:pPr>
            <w:r w:rsidRPr="005B6EAA">
              <w:rPr>
                <w:lang w:eastAsia="en-US"/>
              </w:rPr>
              <w:t xml:space="preserve">VSIA </w:t>
            </w:r>
            <w:r>
              <w:rPr>
                <w:lang w:eastAsia="en-US"/>
              </w:rPr>
              <w:t>„</w:t>
            </w:r>
            <w:r w:rsidRPr="005B6EAA">
              <w:rPr>
                <w:lang w:eastAsia="en-US"/>
              </w:rPr>
              <w:t xml:space="preserve">Paula Stradiņa </w:t>
            </w:r>
            <w:r w:rsidR="00C81C35">
              <w:rPr>
                <w:lang w:eastAsia="en-US"/>
              </w:rPr>
              <w:t>k</w:t>
            </w:r>
            <w:r w:rsidRPr="005B6EAA">
              <w:rPr>
                <w:lang w:eastAsia="en-US"/>
              </w:rPr>
              <w:t>līniskā universitātes slimnīca</w:t>
            </w:r>
            <w:r>
              <w:rPr>
                <w:lang w:eastAsia="en-US"/>
              </w:rPr>
              <w:t>”</w:t>
            </w:r>
          </w:p>
          <w:p w:rsidR="00677B87" w:rsidRPr="005B6EAA" w:rsidRDefault="00677B87" w:rsidP="00677B87">
            <w:pPr>
              <w:contextualSpacing/>
              <w:jc w:val="both"/>
              <w:rPr>
                <w:lang w:eastAsia="en-US"/>
              </w:rPr>
            </w:pPr>
            <w:r w:rsidRPr="005B6EAA">
              <w:rPr>
                <w:lang w:eastAsia="en-US"/>
              </w:rPr>
              <w:t xml:space="preserve">VSIA </w:t>
            </w:r>
            <w:r>
              <w:rPr>
                <w:lang w:eastAsia="en-US"/>
              </w:rPr>
              <w:t>„</w:t>
            </w:r>
            <w:r w:rsidRPr="005B6EAA">
              <w:rPr>
                <w:lang w:eastAsia="en-US"/>
              </w:rPr>
              <w:t>Bērnu k</w:t>
            </w:r>
            <w:r>
              <w:rPr>
                <w:lang w:eastAsia="en-US"/>
              </w:rPr>
              <w:t>līniskā universitātes slimnīca”</w:t>
            </w:r>
          </w:p>
          <w:p w:rsidR="007A20AE" w:rsidRPr="005B6EAA" w:rsidRDefault="007A20AE" w:rsidP="007A20AE">
            <w:pPr>
              <w:contextualSpacing/>
              <w:jc w:val="both"/>
              <w:rPr>
                <w:lang w:eastAsia="en-US"/>
              </w:rPr>
            </w:pPr>
            <w:r w:rsidRPr="005B6EAA">
              <w:rPr>
                <w:lang w:eastAsia="en-US"/>
              </w:rPr>
              <w:t>Latvijas Infektologu, Hepatologu un HIV/AIDS speciālistu asociācija</w:t>
            </w:r>
          </w:p>
          <w:p w:rsidR="007A20AE" w:rsidRPr="005B6EAA" w:rsidRDefault="007A20AE" w:rsidP="007A20AE">
            <w:pPr>
              <w:contextualSpacing/>
              <w:jc w:val="both"/>
              <w:rPr>
                <w:lang w:eastAsia="en-US"/>
              </w:rPr>
            </w:pPr>
            <w:r w:rsidRPr="005B6EAA">
              <w:rPr>
                <w:lang w:eastAsia="en-US"/>
              </w:rPr>
              <w:t>Latvijas Infektologu un Hepatologu asociācija</w:t>
            </w:r>
          </w:p>
          <w:p w:rsidR="007A20AE" w:rsidRPr="005B6EAA" w:rsidRDefault="007A20AE" w:rsidP="007A20AE">
            <w:pPr>
              <w:contextualSpacing/>
              <w:jc w:val="both"/>
              <w:rPr>
                <w:lang w:eastAsia="en-US"/>
              </w:rPr>
            </w:pPr>
            <w:r w:rsidRPr="005B6EAA">
              <w:rPr>
                <w:lang w:eastAsia="en-US"/>
              </w:rPr>
              <w:t>Latvijas Bērnu infektologu biedrība</w:t>
            </w:r>
          </w:p>
          <w:p w:rsidR="007A20AE" w:rsidRPr="005B6EAA" w:rsidRDefault="007A20AE" w:rsidP="007A20AE">
            <w:pPr>
              <w:contextualSpacing/>
              <w:jc w:val="both"/>
              <w:rPr>
                <w:lang w:eastAsia="en-US"/>
              </w:rPr>
            </w:pPr>
            <w:r w:rsidRPr="005B6EAA">
              <w:rPr>
                <w:lang w:eastAsia="en-US"/>
              </w:rPr>
              <w:t>Latvijas Ārstu biedrība</w:t>
            </w:r>
          </w:p>
          <w:p w:rsidR="007A20AE" w:rsidRDefault="007A20AE" w:rsidP="007A20AE">
            <w:pPr>
              <w:contextualSpacing/>
              <w:jc w:val="both"/>
              <w:rPr>
                <w:lang w:eastAsia="en-US"/>
              </w:rPr>
            </w:pPr>
            <w:r w:rsidRPr="005B6EAA">
              <w:rPr>
                <w:lang w:eastAsia="en-US"/>
              </w:rPr>
              <w:t>Latvijas Ģimenes ārstu asociācija</w:t>
            </w:r>
          </w:p>
          <w:p w:rsidR="00FF3AF8" w:rsidRPr="005B6EAA" w:rsidRDefault="00FF3AF8" w:rsidP="007A20AE">
            <w:pPr>
              <w:contextualSpacing/>
              <w:jc w:val="both"/>
              <w:rPr>
                <w:lang w:eastAsia="en-US"/>
              </w:rPr>
            </w:pPr>
            <w:r w:rsidRPr="00FF3AF8">
              <w:rPr>
                <w:lang w:eastAsia="en-US"/>
              </w:rPr>
              <w:t xml:space="preserve">Latvijas </w:t>
            </w:r>
            <w:r w:rsidR="00677B87">
              <w:rPr>
                <w:lang w:eastAsia="en-US"/>
              </w:rPr>
              <w:t>L</w:t>
            </w:r>
            <w:r>
              <w:rPr>
                <w:lang w:eastAsia="en-US"/>
              </w:rPr>
              <w:t>auku ģ</w:t>
            </w:r>
            <w:r w:rsidRPr="00FF3AF8">
              <w:rPr>
                <w:lang w:eastAsia="en-US"/>
              </w:rPr>
              <w:t>imenes ārstu asociācija</w:t>
            </w:r>
          </w:p>
          <w:p w:rsidR="007A20AE" w:rsidRPr="005B6EAA" w:rsidRDefault="007A20AE" w:rsidP="007A20AE">
            <w:pPr>
              <w:contextualSpacing/>
              <w:jc w:val="both"/>
              <w:rPr>
                <w:lang w:eastAsia="en-US"/>
              </w:rPr>
            </w:pPr>
            <w:r w:rsidRPr="005B6EAA">
              <w:rPr>
                <w:lang w:eastAsia="en-US"/>
              </w:rPr>
              <w:t>Nacionālais veselības dienests</w:t>
            </w:r>
          </w:p>
          <w:p w:rsidR="004B1133" w:rsidRDefault="007A20AE" w:rsidP="007A20AE">
            <w:pPr>
              <w:contextualSpacing/>
              <w:jc w:val="both"/>
              <w:rPr>
                <w:lang w:eastAsia="en-US"/>
              </w:rPr>
            </w:pPr>
            <w:r w:rsidRPr="005B6EAA">
              <w:rPr>
                <w:lang w:eastAsia="en-US"/>
              </w:rPr>
              <w:t>Slimību profilakses un kontroles centrs</w:t>
            </w:r>
          </w:p>
          <w:p w:rsidR="00677B87" w:rsidRDefault="00677B87" w:rsidP="007A20AE">
            <w:pPr>
              <w:contextualSpacing/>
              <w:jc w:val="both"/>
              <w:rPr>
                <w:lang w:eastAsia="en-US"/>
              </w:rPr>
            </w:pPr>
            <w:r>
              <w:rPr>
                <w:lang w:eastAsia="en-US"/>
              </w:rPr>
              <w:t xml:space="preserve">Pacientu </w:t>
            </w:r>
            <w:r w:rsidR="00B5743A">
              <w:rPr>
                <w:lang w:eastAsia="en-US"/>
              </w:rPr>
              <w:t>O</w:t>
            </w:r>
            <w:r>
              <w:rPr>
                <w:lang w:eastAsia="en-US"/>
              </w:rPr>
              <w:t>mbuds</w:t>
            </w:r>
          </w:p>
          <w:p w:rsidR="00677B87" w:rsidRPr="005B6EAA" w:rsidRDefault="00677B87" w:rsidP="007A20AE">
            <w:pPr>
              <w:contextualSpacing/>
              <w:jc w:val="both"/>
              <w:rPr>
                <w:lang w:eastAsia="en-US"/>
              </w:rPr>
            </w:pPr>
            <w:r>
              <w:rPr>
                <w:lang w:eastAsia="en-US"/>
              </w:rPr>
              <w:t>Hepatīta biedrība</w:t>
            </w:r>
          </w:p>
        </w:tc>
      </w:tr>
      <w:tr w:rsidR="004B1133" w:rsidRPr="005B6EAA" w:rsidTr="00CA4308">
        <w:trPr>
          <w:trHeight w:val="330"/>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2.</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Sabiedrības līdzdalība projekta izstrādē</w:t>
            </w:r>
          </w:p>
        </w:tc>
        <w:tc>
          <w:tcPr>
            <w:tcW w:w="3274" w:type="pct"/>
            <w:tcBorders>
              <w:top w:val="outset" w:sz="6" w:space="0" w:color="414142"/>
              <w:left w:val="outset" w:sz="6" w:space="0" w:color="414142"/>
              <w:bottom w:val="outset" w:sz="6" w:space="0" w:color="414142"/>
              <w:right w:val="outset" w:sz="6" w:space="0" w:color="414142"/>
            </w:tcBorders>
            <w:hideMark/>
          </w:tcPr>
          <w:p w:rsidR="00104C32" w:rsidRPr="00104C32" w:rsidRDefault="00104C32" w:rsidP="00A66154">
            <w:pPr>
              <w:contextualSpacing/>
              <w:jc w:val="both"/>
              <w:rPr>
                <w:lang w:eastAsia="en-US"/>
              </w:rPr>
            </w:pPr>
            <w:r>
              <w:rPr>
                <w:lang w:eastAsia="en-US"/>
              </w:rPr>
              <w:t>Projekta izstrādē piedalījās</w:t>
            </w:r>
            <w:r w:rsidRPr="00104C32">
              <w:rPr>
                <w:lang w:eastAsia="en-US"/>
              </w:rPr>
              <w:t xml:space="preserve"> </w:t>
            </w:r>
            <w:r w:rsidR="00C81C35">
              <w:rPr>
                <w:lang w:eastAsia="en-US"/>
              </w:rPr>
              <w:t>šādas</w:t>
            </w:r>
            <w:r w:rsidRPr="00104C32">
              <w:rPr>
                <w:lang w:eastAsia="en-US"/>
              </w:rPr>
              <w:t xml:space="preserve"> iestād</w:t>
            </w:r>
            <w:r>
              <w:rPr>
                <w:lang w:eastAsia="en-US"/>
              </w:rPr>
              <w:t>es</w:t>
            </w:r>
            <w:r w:rsidRPr="00104C32">
              <w:rPr>
                <w:lang w:eastAsia="en-US"/>
              </w:rPr>
              <w:t xml:space="preserve"> un organizācij</w:t>
            </w:r>
            <w:r>
              <w:rPr>
                <w:lang w:eastAsia="en-US"/>
              </w:rPr>
              <w:t>as</w:t>
            </w:r>
            <w:r w:rsidRPr="00104C32">
              <w:rPr>
                <w:lang w:eastAsia="en-US"/>
              </w:rPr>
              <w:t>:</w:t>
            </w:r>
          </w:p>
          <w:p w:rsidR="00104C32" w:rsidRPr="00104C32" w:rsidRDefault="00C81C35" w:rsidP="00A66154">
            <w:pPr>
              <w:contextualSpacing/>
              <w:jc w:val="both"/>
              <w:rPr>
                <w:lang w:eastAsia="en-US"/>
              </w:rPr>
            </w:pPr>
            <w:r>
              <w:rPr>
                <w:lang w:eastAsia="en-US"/>
              </w:rPr>
              <w:t>SIA „</w:t>
            </w:r>
            <w:r w:rsidR="00104C32" w:rsidRPr="00104C32">
              <w:rPr>
                <w:lang w:eastAsia="en-US"/>
              </w:rPr>
              <w:t>Rīgas Austrumu klīniskās universitātes slimnīca</w:t>
            </w:r>
            <w:r>
              <w:rPr>
                <w:lang w:eastAsia="en-US"/>
              </w:rPr>
              <w:t>”</w:t>
            </w:r>
          </w:p>
          <w:p w:rsidR="00104C32" w:rsidRPr="00104C32" w:rsidRDefault="00104C32" w:rsidP="00A66154">
            <w:pPr>
              <w:contextualSpacing/>
              <w:jc w:val="both"/>
              <w:rPr>
                <w:lang w:eastAsia="en-US"/>
              </w:rPr>
            </w:pPr>
            <w:r w:rsidRPr="00104C32">
              <w:rPr>
                <w:lang w:eastAsia="en-US"/>
              </w:rPr>
              <w:t>Nacionālais veselības dienests</w:t>
            </w:r>
          </w:p>
          <w:p w:rsidR="004B1133" w:rsidRPr="005B6EAA" w:rsidRDefault="00104C32" w:rsidP="00A66154">
            <w:pPr>
              <w:contextualSpacing/>
              <w:jc w:val="both"/>
              <w:rPr>
                <w:lang w:eastAsia="en-US"/>
              </w:rPr>
            </w:pPr>
            <w:r w:rsidRPr="00104C32">
              <w:rPr>
                <w:lang w:eastAsia="en-US"/>
              </w:rPr>
              <w:t>Slimību profilakses un kontroles centrs</w:t>
            </w:r>
          </w:p>
        </w:tc>
      </w:tr>
      <w:tr w:rsidR="004B1133" w:rsidRPr="005B6EAA" w:rsidTr="00CA4308">
        <w:trPr>
          <w:trHeight w:val="465"/>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3.</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Sabiedrības līdzdalības rezultāti</w:t>
            </w:r>
          </w:p>
        </w:tc>
        <w:tc>
          <w:tcPr>
            <w:tcW w:w="3274" w:type="pct"/>
            <w:tcBorders>
              <w:top w:val="outset" w:sz="6" w:space="0" w:color="414142"/>
              <w:left w:val="outset" w:sz="6" w:space="0" w:color="414142"/>
              <w:bottom w:val="outset" w:sz="6" w:space="0" w:color="414142"/>
              <w:right w:val="outset" w:sz="6" w:space="0" w:color="414142"/>
            </w:tcBorders>
            <w:hideMark/>
          </w:tcPr>
          <w:p w:rsidR="004B1133" w:rsidRPr="005B6EAA" w:rsidRDefault="00C81C35" w:rsidP="002763B2">
            <w:pPr>
              <w:contextualSpacing/>
              <w:rPr>
                <w:lang w:eastAsia="en-US"/>
              </w:rPr>
            </w:pPr>
            <w:r w:rsidRPr="00A66154">
              <w:rPr>
                <w:highlight w:val="yellow"/>
                <w:lang w:eastAsia="en-US"/>
              </w:rPr>
              <w:t>Papildināt pēc plānotās tikšanās</w:t>
            </w:r>
          </w:p>
        </w:tc>
      </w:tr>
      <w:tr w:rsidR="004B1133" w:rsidRPr="005B6EAA" w:rsidTr="00CA4308">
        <w:trPr>
          <w:trHeight w:val="465"/>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4.</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Cita informācija</w:t>
            </w:r>
          </w:p>
        </w:tc>
        <w:tc>
          <w:tcPr>
            <w:tcW w:w="3274" w:type="pct"/>
            <w:tcBorders>
              <w:top w:val="outset" w:sz="6" w:space="0" w:color="414142"/>
              <w:left w:val="outset" w:sz="6" w:space="0" w:color="414142"/>
              <w:bottom w:val="outset" w:sz="6" w:space="0" w:color="414142"/>
              <w:right w:val="outset" w:sz="6" w:space="0" w:color="414142"/>
            </w:tcBorders>
            <w:hideMark/>
          </w:tcPr>
          <w:p w:rsidR="004B1133" w:rsidRPr="005B6EAA" w:rsidRDefault="007A20AE" w:rsidP="002763B2">
            <w:pPr>
              <w:contextualSpacing/>
              <w:rPr>
                <w:lang w:eastAsia="en-US"/>
              </w:rPr>
            </w:pPr>
            <w:r w:rsidRPr="005B6EAA">
              <w:rPr>
                <w:lang w:eastAsia="en-US"/>
              </w:rPr>
              <w:t>Nav</w:t>
            </w:r>
          </w:p>
        </w:tc>
      </w:tr>
      <w:tr w:rsidR="000C6A1A" w:rsidRPr="005B6EAA" w:rsidTr="00F7475F">
        <w:trPr>
          <w:trHeight w:val="420"/>
        </w:trPr>
        <w:tc>
          <w:tcPr>
            <w:tcW w:w="5000" w:type="pct"/>
            <w:gridSpan w:val="3"/>
            <w:tcBorders>
              <w:top w:val="nil"/>
              <w:left w:val="nil"/>
              <w:bottom w:val="outset" w:sz="6" w:space="0" w:color="414142"/>
              <w:right w:val="nil"/>
            </w:tcBorders>
            <w:vAlign w:val="center"/>
            <w:hideMark/>
          </w:tcPr>
          <w:p w:rsidR="00CC640C" w:rsidRPr="005B6EAA" w:rsidRDefault="00CC640C" w:rsidP="002763B2">
            <w:pPr>
              <w:contextualSpacing/>
              <w:rPr>
                <w:bCs/>
                <w:lang w:eastAsia="en-US"/>
              </w:rPr>
            </w:pPr>
          </w:p>
        </w:tc>
      </w:tr>
      <w:tr w:rsidR="004B1133" w:rsidRPr="005B6EAA" w:rsidTr="00F7475F">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B1133" w:rsidRPr="005B6EAA" w:rsidRDefault="004B1133" w:rsidP="00CC640C">
            <w:pPr>
              <w:spacing w:before="240" w:after="240" w:line="480" w:lineRule="auto"/>
              <w:contextualSpacing/>
              <w:jc w:val="center"/>
              <w:rPr>
                <w:b/>
                <w:bCs/>
                <w:lang w:eastAsia="en-US"/>
              </w:rPr>
            </w:pPr>
            <w:r w:rsidRPr="005B6EAA">
              <w:rPr>
                <w:b/>
                <w:bCs/>
                <w:lang w:eastAsia="en-US"/>
              </w:rPr>
              <w:t>VII. Tiesību akta projekta izpildes nodrošināšana un tās ietekme uz institūcijām</w:t>
            </w:r>
          </w:p>
        </w:tc>
      </w:tr>
      <w:tr w:rsidR="004B1133" w:rsidRPr="005B6EAA" w:rsidTr="00CA4308">
        <w:trPr>
          <w:trHeight w:val="420"/>
        </w:trPr>
        <w:tc>
          <w:tcPr>
            <w:tcW w:w="227"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CC640C">
            <w:pPr>
              <w:spacing w:before="240" w:after="240"/>
              <w:contextualSpacing/>
              <w:rPr>
                <w:lang w:eastAsia="en-US"/>
              </w:rPr>
            </w:pPr>
            <w:r w:rsidRPr="005B6EAA">
              <w:rPr>
                <w:lang w:eastAsia="en-US"/>
              </w:rPr>
              <w:t>1.</w:t>
            </w:r>
          </w:p>
        </w:tc>
        <w:tc>
          <w:tcPr>
            <w:tcW w:w="1499" w:type="pct"/>
            <w:tcBorders>
              <w:top w:val="outset" w:sz="6" w:space="0" w:color="414142"/>
              <w:left w:val="outset" w:sz="6" w:space="0" w:color="414142"/>
              <w:bottom w:val="outset" w:sz="6" w:space="0" w:color="414142"/>
              <w:right w:val="outset" w:sz="6" w:space="0" w:color="414142"/>
            </w:tcBorders>
            <w:hideMark/>
          </w:tcPr>
          <w:p w:rsidR="004B1133" w:rsidRPr="005B6EAA" w:rsidRDefault="004B1133" w:rsidP="002763B2">
            <w:pPr>
              <w:contextualSpacing/>
              <w:rPr>
                <w:lang w:eastAsia="en-US"/>
              </w:rPr>
            </w:pPr>
            <w:r w:rsidRPr="005B6EAA">
              <w:rPr>
                <w:lang w:eastAsia="en-US"/>
              </w:rPr>
              <w:t>Projekta izpildē iesaistītās institūcijas</w:t>
            </w:r>
          </w:p>
        </w:tc>
        <w:tc>
          <w:tcPr>
            <w:tcW w:w="3274" w:type="pct"/>
            <w:tcBorders>
              <w:top w:val="outset" w:sz="6" w:space="0" w:color="414142"/>
              <w:left w:val="outset" w:sz="6" w:space="0" w:color="414142"/>
              <w:bottom w:val="outset" w:sz="6" w:space="0" w:color="414142"/>
              <w:right w:val="outset" w:sz="6" w:space="0" w:color="414142"/>
            </w:tcBorders>
          </w:tcPr>
          <w:p w:rsidR="004B1133" w:rsidRPr="005B6EAA" w:rsidRDefault="00787DCF" w:rsidP="00B56BCE">
            <w:pPr>
              <w:tabs>
                <w:tab w:val="left" w:pos="3660"/>
              </w:tabs>
              <w:contextualSpacing/>
              <w:jc w:val="both"/>
              <w:rPr>
                <w:lang w:eastAsia="en-US"/>
              </w:rPr>
            </w:pPr>
            <w:r w:rsidRPr="005B6EAA">
              <w:rPr>
                <w:lang w:eastAsia="en-US"/>
              </w:rPr>
              <w:t>Slimību profilakses un kontroles centrs</w:t>
            </w:r>
            <w:r w:rsidR="00C81C35">
              <w:rPr>
                <w:lang w:eastAsia="en-US"/>
              </w:rPr>
              <w:t xml:space="preserve"> un ārstniecības iestādes</w:t>
            </w:r>
          </w:p>
        </w:tc>
      </w:tr>
      <w:tr w:rsidR="00E26786" w:rsidRPr="005B6EAA" w:rsidTr="00CA4308">
        <w:trPr>
          <w:trHeight w:val="450"/>
        </w:trPr>
        <w:tc>
          <w:tcPr>
            <w:tcW w:w="227" w:type="pct"/>
            <w:tcBorders>
              <w:top w:val="outset" w:sz="6" w:space="0" w:color="414142"/>
              <w:left w:val="outset" w:sz="6" w:space="0" w:color="414142"/>
              <w:bottom w:val="nil"/>
              <w:right w:val="outset" w:sz="6" w:space="0" w:color="414142"/>
            </w:tcBorders>
            <w:hideMark/>
          </w:tcPr>
          <w:p w:rsidR="00E26786" w:rsidRPr="005B6EAA" w:rsidRDefault="00E26786" w:rsidP="002763B2">
            <w:pPr>
              <w:contextualSpacing/>
              <w:rPr>
                <w:lang w:eastAsia="en-US"/>
              </w:rPr>
            </w:pPr>
            <w:r w:rsidRPr="005B6EAA">
              <w:rPr>
                <w:lang w:eastAsia="en-US"/>
              </w:rPr>
              <w:t>2.</w:t>
            </w:r>
          </w:p>
        </w:tc>
        <w:tc>
          <w:tcPr>
            <w:tcW w:w="1499" w:type="pct"/>
            <w:tcBorders>
              <w:top w:val="outset" w:sz="6" w:space="0" w:color="414142"/>
              <w:left w:val="outset" w:sz="6" w:space="0" w:color="414142"/>
              <w:bottom w:val="nil"/>
              <w:right w:val="outset" w:sz="6" w:space="0" w:color="414142"/>
            </w:tcBorders>
            <w:hideMark/>
          </w:tcPr>
          <w:p w:rsidR="00E26786" w:rsidRPr="005B6EAA" w:rsidRDefault="00E26786" w:rsidP="00FE44FC">
            <w:pPr>
              <w:contextualSpacing/>
              <w:rPr>
                <w:lang w:eastAsia="en-US"/>
              </w:rPr>
            </w:pPr>
            <w:r w:rsidRPr="005B6EAA">
              <w:rPr>
                <w:lang w:eastAsia="en-US"/>
              </w:rPr>
              <w:t xml:space="preserve">Projekta izpildes ietekme uz pārvaldes funkcijām un institucionālo struktūru. </w:t>
            </w:r>
          </w:p>
        </w:tc>
        <w:tc>
          <w:tcPr>
            <w:tcW w:w="3274" w:type="pct"/>
            <w:tcBorders>
              <w:top w:val="outset" w:sz="6" w:space="0" w:color="414142"/>
              <w:left w:val="outset" w:sz="6" w:space="0" w:color="414142"/>
              <w:bottom w:val="nil"/>
              <w:right w:val="outset" w:sz="6" w:space="0" w:color="414142"/>
            </w:tcBorders>
            <w:hideMark/>
          </w:tcPr>
          <w:p w:rsidR="00E26786" w:rsidRPr="005B6EAA" w:rsidRDefault="00E26786" w:rsidP="00E26786">
            <w:pPr>
              <w:contextualSpacing/>
              <w:jc w:val="both"/>
              <w:rPr>
                <w:lang w:eastAsia="en-US"/>
              </w:rPr>
            </w:pPr>
            <w:r w:rsidRPr="005B6EAA">
              <w:rPr>
                <w:lang w:eastAsia="en-US"/>
              </w:rPr>
              <w:t>Saistībā ar projekta izpildi nav nepieciešams veidot jaunas, ne arī likvidēt vai reorganizēt esošās institūcijas.</w:t>
            </w:r>
            <w:r w:rsidR="00C81C35">
              <w:rPr>
                <w:lang w:eastAsia="en-US"/>
              </w:rPr>
              <w:t xml:space="preserve"> </w:t>
            </w:r>
            <w:r w:rsidR="00C81C35" w:rsidRPr="00C81C35">
              <w:rPr>
                <w:lang w:eastAsia="en-US"/>
              </w:rPr>
              <w:t>Slimību profilakses un kontroles centrs</w:t>
            </w:r>
            <w:r w:rsidR="00C81C35">
              <w:rPr>
                <w:lang w:eastAsia="en-US"/>
              </w:rPr>
              <w:t xml:space="preserve"> projekta izpildi nodrošinās esošo cilvēkresursu ietvaros.</w:t>
            </w:r>
          </w:p>
          <w:p w:rsidR="00E26786" w:rsidRPr="005B6EAA" w:rsidRDefault="00E26786" w:rsidP="00E26786">
            <w:pPr>
              <w:contextualSpacing/>
              <w:rPr>
                <w:lang w:eastAsia="en-US"/>
              </w:rPr>
            </w:pPr>
          </w:p>
        </w:tc>
      </w:tr>
      <w:tr w:rsidR="00E26786" w:rsidRPr="005B6EAA" w:rsidTr="00CA4308">
        <w:trPr>
          <w:trHeight w:val="390"/>
        </w:trPr>
        <w:tc>
          <w:tcPr>
            <w:tcW w:w="227" w:type="pct"/>
            <w:tcBorders>
              <w:top w:val="nil"/>
              <w:left w:val="outset" w:sz="6" w:space="0" w:color="414142"/>
              <w:bottom w:val="outset" w:sz="6" w:space="0" w:color="414142"/>
              <w:right w:val="outset" w:sz="6" w:space="0" w:color="414142"/>
            </w:tcBorders>
            <w:hideMark/>
          </w:tcPr>
          <w:p w:rsidR="00E26786" w:rsidRPr="005B6EAA" w:rsidRDefault="00E26786" w:rsidP="002763B2">
            <w:pPr>
              <w:contextualSpacing/>
              <w:rPr>
                <w:lang w:eastAsia="en-US"/>
              </w:rPr>
            </w:pPr>
          </w:p>
        </w:tc>
        <w:tc>
          <w:tcPr>
            <w:tcW w:w="1499" w:type="pct"/>
            <w:tcBorders>
              <w:top w:val="nil"/>
              <w:left w:val="outset" w:sz="6" w:space="0" w:color="414142"/>
              <w:bottom w:val="outset" w:sz="6" w:space="0" w:color="414142"/>
              <w:right w:val="outset" w:sz="6" w:space="0" w:color="414142"/>
            </w:tcBorders>
            <w:hideMark/>
          </w:tcPr>
          <w:p w:rsidR="00E26786" w:rsidRPr="005B6EAA" w:rsidRDefault="00E26786" w:rsidP="002763B2">
            <w:pPr>
              <w:contextualSpacing/>
              <w:rPr>
                <w:lang w:eastAsia="en-US"/>
              </w:rPr>
            </w:pPr>
            <w:r w:rsidRPr="005B6EAA">
              <w:rPr>
                <w:lang w:eastAsia="en-US"/>
              </w:rPr>
              <w:t>Jaunu institūciju izveide, esošu institūciju likvidācija vai reorganizācija, to ietekme uz institūcijas cilvēkresursiem</w:t>
            </w:r>
          </w:p>
        </w:tc>
        <w:tc>
          <w:tcPr>
            <w:tcW w:w="3274" w:type="pct"/>
            <w:tcBorders>
              <w:top w:val="nil"/>
              <w:left w:val="outset" w:sz="6" w:space="0" w:color="414142"/>
              <w:bottom w:val="outset" w:sz="6" w:space="0" w:color="414142"/>
              <w:right w:val="outset" w:sz="6" w:space="0" w:color="414142"/>
            </w:tcBorders>
            <w:hideMark/>
          </w:tcPr>
          <w:p w:rsidR="00E26786" w:rsidRPr="005B6EAA" w:rsidRDefault="00E26786" w:rsidP="00FE44FC">
            <w:pPr>
              <w:contextualSpacing/>
              <w:rPr>
                <w:lang w:eastAsia="en-US"/>
              </w:rPr>
            </w:pPr>
          </w:p>
        </w:tc>
      </w:tr>
      <w:tr w:rsidR="00E26786" w:rsidRPr="005B6EAA" w:rsidTr="00CA4308">
        <w:trPr>
          <w:trHeight w:val="390"/>
        </w:trPr>
        <w:tc>
          <w:tcPr>
            <w:tcW w:w="227" w:type="pct"/>
            <w:tcBorders>
              <w:top w:val="outset" w:sz="6" w:space="0" w:color="414142"/>
              <w:left w:val="outset" w:sz="6" w:space="0" w:color="414142"/>
              <w:bottom w:val="outset" w:sz="6" w:space="0" w:color="414142"/>
              <w:right w:val="outset" w:sz="6" w:space="0" w:color="414142"/>
            </w:tcBorders>
            <w:hideMark/>
          </w:tcPr>
          <w:p w:rsidR="00E26786" w:rsidRPr="005B6EAA" w:rsidRDefault="00E26786" w:rsidP="00A1021D">
            <w:pPr>
              <w:contextualSpacing/>
              <w:rPr>
                <w:lang w:eastAsia="en-US"/>
              </w:rPr>
            </w:pPr>
            <w:r w:rsidRPr="005B6EAA">
              <w:rPr>
                <w:lang w:eastAsia="en-US"/>
              </w:rPr>
              <w:t>3.</w:t>
            </w:r>
          </w:p>
        </w:tc>
        <w:tc>
          <w:tcPr>
            <w:tcW w:w="1499" w:type="pct"/>
            <w:tcBorders>
              <w:top w:val="outset" w:sz="6" w:space="0" w:color="414142"/>
              <w:left w:val="outset" w:sz="6" w:space="0" w:color="414142"/>
              <w:bottom w:val="outset" w:sz="6" w:space="0" w:color="414142"/>
              <w:right w:val="outset" w:sz="6" w:space="0" w:color="414142"/>
            </w:tcBorders>
            <w:hideMark/>
          </w:tcPr>
          <w:p w:rsidR="00E26786" w:rsidRPr="005B6EAA" w:rsidRDefault="00E26786" w:rsidP="00A1021D">
            <w:pPr>
              <w:contextualSpacing/>
              <w:rPr>
                <w:lang w:eastAsia="en-US"/>
              </w:rPr>
            </w:pPr>
            <w:r w:rsidRPr="005B6EAA">
              <w:rPr>
                <w:lang w:eastAsia="en-US"/>
              </w:rPr>
              <w:t>Cita informācija</w:t>
            </w:r>
          </w:p>
        </w:tc>
        <w:tc>
          <w:tcPr>
            <w:tcW w:w="3274" w:type="pct"/>
            <w:tcBorders>
              <w:top w:val="outset" w:sz="6" w:space="0" w:color="414142"/>
              <w:left w:val="outset" w:sz="6" w:space="0" w:color="414142"/>
              <w:bottom w:val="outset" w:sz="6" w:space="0" w:color="414142"/>
              <w:right w:val="outset" w:sz="6" w:space="0" w:color="414142"/>
            </w:tcBorders>
            <w:hideMark/>
          </w:tcPr>
          <w:p w:rsidR="00E26786" w:rsidRPr="005B6EAA" w:rsidRDefault="00070A67" w:rsidP="001F3DD4">
            <w:pPr>
              <w:contextualSpacing/>
              <w:jc w:val="both"/>
              <w:rPr>
                <w:lang w:eastAsia="en-US"/>
              </w:rPr>
            </w:pPr>
            <w:r w:rsidRPr="005B6EAA">
              <w:t xml:space="preserve">Slimību profilakses un kontroles centrs </w:t>
            </w:r>
            <w:r w:rsidR="009E7BC7">
              <w:t xml:space="preserve">un citas iesaistītās institūcijas </w:t>
            </w:r>
            <w:r w:rsidRPr="005B6EAA">
              <w:t>noteikumu projektā pa</w:t>
            </w:r>
            <w:r w:rsidR="00631F7F">
              <w:t>redzētos pasākumus nodrošinās tā</w:t>
            </w:r>
            <w:r w:rsidRPr="005B6EAA">
              <w:t>m piešķirto valsts budžeta līdzekļu ietvaros.</w:t>
            </w:r>
          </w:p>
        </w:tc>
      </w:tr>
      <w:bookmarkEnd w:id="2"/>
      <w:bookmarkEnd w:id="3"/>
    </w:tbl>
    <w:p w:rsidR="00631F7F" w:rsidRDefault="00631F7F" w:rsidP="00A1021D">
      <w:pPr>
        <w:rPr>
          <w:bCs/>
          <w:i/>
          <w:sz w:val="28"/>
          <w:szCs w:val="28"/>
        </w:rPr>
      </w:pPr>
    </w:p>
    <w:p w:rsidR="004779D7" w:rsidRPr="005B6EAA" w:rsidRDefault="004779D7" w:rsidP="00A1021D">
      <w:pPr>
        <w:rPr>
          <w:bCs/>
          <w:i/>
          <w:sz w:val="28"/>
          <w:szCs w:val="28"/>
        </w:rPr>
      </w:pPr>
      <w:r w:rsidRPr="005B6EAA">
        <w:rPr>
          <w:bCs/>
          <w:i/>
          <w:sz w:val="28"/>
          <w:szCs w:val="28"/>
        </w:rPr>
        <w:t>Anotācijas I</w:t>
      </w:r>
      <w:r w:rsidR="00CA4308" w:rsidRPr="005B6EAA">
        <w:rPr>
          <w:bCs/>
          <w:i/>
          <w:sz w:val="28"/>
          <w:szCs w:val="28"/>
        </w:rPr>
        <w:t>I</w:t>
      </w:r>
      <w:r w:rsidRPr="005B6EAA">
        <w:rPr>
          <w:bCs/>
          <w:i/>
          <w:sz w:val="28"/>
          <w:szCs w:val="28"/>
        </w:rPr>
        <w:t>I</w:t>
      </w:r>
      <w:r w:rsidR="00C81C35">
        <w:rPr>
          <w:bCs/>
          <w:i/>
          <w:sz w:val="28"/>
          <w:szCs w:val="28"/>
        </w:rPr>
        <w:t xml:space="preserve">, IV un </w:t>
      </w:r>
      <w:r w:rsidRPr="005B6EAA">
        <w:rPr>
          <w:bCs/>
          <w:i/>
          <w:sz w:val="28"/>
          <w:szCs w:val="28"/>
        </w:rPr>
        <w:t>V sadaļa – projekts šīs jomas neskar.</w:t>
      </w:r>
    </w:p>
    <w:p w:rsidR="00CC640C" w:rsidRPr="005516DD" w:rsidRDefault="00CC640C" w:rsidP="00A1021D">
      <w:pPr>
        <w:tabs>
          <w:tab w:val="left" w:pos="3225"/>
        </w:tabs>
        <w:rPr>
          <w:bCs/>
          <w:sz w:val="48"/>
          <w:szCs w:val="48"/>
        </w:rPr>
      </w:pPr>
    </w:p>
    <w:p w:rsidR="004779D7" w:rsidRPr="005B6EAA" w:rsidRDefault="00533BC3" w:rsidP="005516DD">
      <w:pPr>
        <w:tabs>
          <w:tab w:val="right" w:pos="9071"/>
        </w:tabs>
        <w:rPr>
          <w:sz w:val="28"/>
        </w:rPr>
      </w:pPr>
      <w:r w:rsidRPr="005B6EAA">
        <w:rPr>
          <w:sz w:val="28"/>
        </w:rPr>
        <w:t>Veselības</w:t>
      </w:r>
      <w:r w:rsidR="004779D7" w:rsidRPr="005B6EAA">
        <w:rPr>
          <w:sz w:val="28"/>
        </w:rPr>
        <w:t xml:space="preserve"> ministrs</w:t>
      </w:r>
      <w:r w:rsidR="004779D7" w:rsidRPr="005B6EAA">
        <w:rPr>
          <w:sz w:val="28"/>
        </w:rPr>
        <w:tab/>
      </w:r>
      <w:r w:rsidR="000B2ADA">
        <w:rPr>
          <w:sz w:val="28"/>
        </w:rPr>
        <w:t xml:space="preserve">Guntis </w:t>
      </w:r>
      <w:r w:rsidRPr="005B6EAA">
        <w:rPr>
          <w:sz w:val="28"/>
        </w:rPr>
        <w:t>Belēvičs</w:t>
      </w:r>
    </w:p>
    <w:p w:rsidR="004D45EE" w:rsidRPr="005516DD" w:rsidRDefault="004D45EE" w:rsidP="00A1021D">
      <w:pPr>
        <w:tabs>
          <w:tab w:val="right" w:pos="9071"/>
        </w:tabs>
        <w:rPr>
          <w:sz w:val="48"/>
          <w:szCs w:val="48"/>
        </w:rPr>
      </w:pPr>
    </w:p>
    <w:p w:rsidR="004D45EE" w:rsidRPr="005B6EAA" w:rsidRDefault="000B2ADA" w:rsidP="00A1021D">
      <w:pPr>
        <w:tabs>
          <w:tab w:val="right" w:pos="9071"/>
        </w:tabs>
        <w:rPr>
          <w:bCs/>
          <w:sz w:val="28"/>
          <w:szCs w:val="28"/>
        </w:rPr>
      </w:pPr>
      <w:r>
        <w:rPr>
          <w:bCs/>
          <w:sz w:val="28"/>
          <w:szCs w:val="28"/>
        </w:rPr>
        <w:t>Vīza: Valsts sekretāre</w:t>
      </w:r>
      <w:r>
        <w:rPr>
          <w:bCs/>
          <w:sz w:val="28"/>
          <w:szCs w:val="28"/>
        </w:rPr>
        <w:tab/>
        <w:t xml:space="preserve">Solvita </w:t>
      </w:r>
      <w:r w:rsidR="004D45EE" w:rsidRPr="005B6EAA">
        <w:rPr>
          <w:bCs/>
          <w:sz w:val="28"/>
          <w:szCs w:val="28"/>
        </w:rPr>
        <w:t>Zvidriņa</w:t>
      </w:r>
    </w:p>
    <w:p w:rsidR="004779D7" w:rsidRPr="005516DD" w:rsidRDefault="004779D7" w:rsidP="004779D7">
      <w:pPr>
        <w:rPr>
          <w:bCs/>
          <w:sz w:val="48"/>
          <w:szCs w:val="48"/>
        </w:rPr>
      </w:pPr>
    </w:p>
    <w:p w:rsidR="004779D7" w:rsidRPr="005B6EAA" w:rsidRDefault="000B2ADA" w:rsidP="004779D7">
      <w:pPr>
        <w:rPr>
          <w:sz w:val="20"/>
          <w:szCs w:val="20"/>
        </w:rPr>
      </w:pPr>
      <w:r>
        <w:rPr>
          <w:sz w:val="20"/>
          <w:szCs w:val="20"/>
        </w:rPr>
        <w:t>04</w:t>
      </w:r>
      <w:r w:rsidR="00924C7A" w:rsidRPr="005B6EAA">
        <w:rPr>
          <w:sz w:val="20"/>
          <w:szCs w:val="20"/>
        </w:rPr>
        <w:t>.</w:t>
      </w:r>
      <w:r>
        <w:rPr>
          <w:sz w:val="20"/>
          <w:szCs w:val="20"/>
        </w:rPr>
        <w:t>01.2016</w:t>
      </w:r>
      <w:r w:rsidR="004779D7" w:rsidRPr="005B6EAA">
        <w:rPr>
          <w:sz w:val="20"/>
          <w:szCs w:val="20"/>
        </w:rPr>
        <w:t xml:space="preserve">. </w:t>
      </w:r>
      <w:r w:rsidR="005516DD">
        <w:rPr>
          <w:sz w:val="20"/>
          <w:szCs w:val="20"/>
        </w:rPr>
        <w:t>1</w:t>
      </w:r>
      <w:r>
        <w:rPr>
          <w:sz w:val="20"/>
          <w:szCs w:val="20"/>
        </w:rPr>
        <w:t>5</w:t>
      </w:r>
      <w:r w:rsidR="005516DD">
        <w:rPr>
          <w:sz w:val="20"/>
          <w:szCs w:val="20"/>
        </w:rPr>
        <w:t>:</w:t>
      </w:r>
      <w:r>
        <w:rPr>
          <w:sz w:val="20"/>
          <w:szCs w:val="20"/>
        </w:rPr>
        <w:t>38</w:t>
      </w:r>
    </w:p>
    <w:p w:rsidR="004779D7" w:rsidRPr="005B6EAA" w:rsidRDefault="00484533" w:rsidP="004779D7">
      <w:pPr>
        <w:rPr>
          <w:sz w:val="20"/>
          <w:szCs w:val="20"/>
        </w:rPr>
      </w:pPr>
      <w:r w:rsidRPr="005B6EAA">
        <w:rPr>
          <w:sz w:val="20"/>
          <w:szCs w:val="20"/>
        </w:rPr>
        <w:t>1</w:t>
      </w:r>
      <w:r w:rsidR="000B2ADA">
        <w:rPr>
          <w:sz w:val="20"/>
          <w:szCs w:val="20"/>
        </w:rPr>
        <w:t xml:space="preserve"> </w:t>
      </w:r>
      <w:r w:rsidR="007723C9">
        <w:rPr>
          <w:sz w:val="20"/>
          <w:szCs w:val="20"/>
        </w:rPr>
        <w:t>6</w:t>
      </w:r>
      <w:r w:rsidR="000B2ADA">
        <w:rPr>
          <w:sz w:val="20"/>
          <w:szCs w:val="20"/>
        </w:rPr>
        <w:t>67</w:t>
      </w:r>
    </w:p>
    <w:p w:rsidR="004D45EE" w:rsidRPr="005B6EAA" w:rsidRDefault="00533BC3" w:rsidP="004779D7">
      <w:pPr>
        <w:rPr>
          <w:bCs/>
          <w:sz w:val="20"/>
          <w:szCs w:val="20"/>
        </w:rPr>
      </w:pPr>
      <w:r w:rsidRPr="005B6EAA">
        <w:rPr>
          <w:sz w:val="20"/>
          <w:szCs w:val="20"/>
        </w:rPr>
        <w:t>I.Volkovska-Cielava</w:t>
      </w:r>
      <w:r w:rsidR="004779D7" w:rsidRPr="005B6EAA">
        <w:rPr>
          <w:sz w:val="20"/>
          <w:szCs w:val="20"/>
        </w:rPr>
        <w:t xml:space="preserve"> </w:t>
      </w:r>
    </w:p>
    <w:p w:rsidR="004779D7" w:rsidRPr="005B6EAA" w:rsidRDefault="004779D7" w:rsidP="00A30BE7">
      <w:pPr>
        <w:rPr>
          <w:sz w:val="20"/>
          <w:szCs w:val="20"/>
        </w:rPr>
      </w:pPr>
      <w:r w:rsidRPr="005B6EAA">
        <w:rPr>
          <w:sz w:val="20"/>
          <w:szCs w:val="20"/>
        </w:rPr>
        <w:t>67</w:t>
      </w:r>
      <w:r w:rsidR="00533BC3" w:rsidRPr="005B6EAA">
        <w:rPr>
          <w:sz w:val="20"/>
          <w:szCs w:val="20"/>
        </w:rPr>
        <w:t>876089</w:t>
      </w:r>
      <w:r w:rsidR="004D45EE" w:rsidRPr="005B6EAA">
        <w:rPr>
          <w:bCs/>
          <w:sz w:val="20"/>
          <w:szCs w:val="20"/>
        </w:rPr>
        <w:t xml:space="preserve">, </w:t>
      </w:r>
      <w:hyperlink r:id="rId9" w:history="1">
        <w:r w:rsidR="00533BC3" w:rsidRPr="005B6EAA">
          <w:rPr>
            <w:rStyle w:val="Hyperlink"/>
            <w:color w:val="auto"/>
            <w:sz w:val="20"/>
            <w:szCs w:val="20"/>
          </w:rPr>
          <w:t>Iveta.Volkovska@vm.gov.lv</w:t>
        </w:r>
      </w:hyperlink>
    </w:p>
    <w:sectPr w:rsidR="004779D7" w:rsidRPr="005B6EAA" w:rsidSect="00E26786">
      <w:headerReference w:type="even" r:id="rId10"/>
      <w:headerReference w:type="default" r:id="rId11"/>
      <w:footerReference w:type="default" r:id="rId12"/>
      <w:footerReference w:type="first" r:id="rId13"/>
      <w:pgSz w:w="11906" w:h="16838" w:code="9"/>
      <w:pgMar w:top="1418" w:right="1134" w:bottom="1985" w:left="1701" w:header="720"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AD6" w:rsidRDefault="008D3AD6">
      <w:r>
        <w:separator/>
      </w:r>
    </w:p>
  </w:endnote>
  <w:endnote w:type="continuationSeparator" w:id="0">
    <w:p w:rsidR="008D3AD6" w:rsidRDefault="008D3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EUAlbertina-Bold-Identity-H">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EE"/>
    <w:family w:val="roman"/>
    <w:notTrueType/>
    <w:pitch w:val="default"/>
    <w:sig w:usb0="00000001" w:usb1="00000000" w:usb2="00000000" w:usb3="00000000" w:csb0="00000003"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D6" w:rsidRPr="00DE6A18" w:rsidRDefault="008D3AD6" w:rsidP="00DE6A18">
    <w:pPr>
      <w:pStyle w:val="Footer"/>
      <w:jc w:val="both"/>
    </w:pPr>
    <w:r w:rsidRPr="00DE6A18">
      <w:t>VManot_</w:t>
    </w:r>
    <w:r w:rsidR="00E05F43">
      <w:t>040116</w:t>
    </w:r>
    <w:r w:rsidRPr="00DE6A18">
      <w:t>_registrs</w:t>
    </w:r>
    <w:r>
      <w:t xml:space="preserve"> </w:t>
    </w:r>
    <w:r w:rsidRPr="00DE6A18">
      <w:t xml:space="preserve">; Noteikumu projekta „Grozījumi Ministru kabineta 2008.gada 15.septembra noteikumos Nr.746 „Ar noteiktām slimībām slimojošu pacientu reģistra izveides, papildināšanas un uzturēšanas kārtība”” sākotnējās ietekmes novērtējuma </w:t>
    </w:r>
    <w:smartTag w:uri="schemas-tilde-lv/tildestengine" w:element="veidnes">
      <w:smartTagPr>
        <w:attr w:name="text" w:val="ziņojums"/>
        <w:attr w:name="baseform" w:val="ziņojums"/>
        <w:attr w:name="id" w:val="-1"/>
      </w:smartTagPr>
      <w:r w:rsidRPr="00DE6A18">
        <w:t>ziņojums</w:t>
      </w:r>
    </w:smartTag>
    <w:r w:rsidRPr="00DE6A18">
      <w:t xml:space="preserve">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D6" w:rsidRPr="00112FDE" w:rsidRDefault="008D3AD6" w:rsidP="00107E93">
    <w:pPr>
      <w:pStyle w:val="Footer"/>
      <w:jc w:val="both"/>
    </w:pPr>
    <w:r w:rsidRPr="00112FDE">
      <w:t>VManot_</w:t>
    </w:r>
    <w:r w:rsidR="00E05F43">
      <w:rPr>
        <w:szCs w:val="22"/>
      </w:rPr>
      <w:t>040416</w:t>
    </w:r>
    <w:r w:rsidRPr="00112FDE">
      <w:t>_registrs</w:t>
    </w:r>
    <w:r>
      <w:t xml:space="preserve"> </w:t>
    </w:r>
    <w:r w:rsidRPr="00112FDE">
      <w:t xml:space="preserve">; Noteikumu projekta „Grozījumi Ministru kabineta 2008.gada 15.septembra noteikumos Nr.746 „Ar noteiktām slimībām slimojošu pacientu reģistra izveides, papildināšanas un uzturēšanas kārtība”” sākotnējās ietekmes novērtējuma </w:t>
    </w:r>
    <w:smartTag w:uri="schemas-tilde-lv/tildestengine" w:element="veidnes">
      <w:smartTagPr>
        <w:attr w:name="text" w:val="ziņojums"/>
        <w:attr w:name="baseform" w:val="ziņojums"/>
        <w:attr w:name="id" w:val="-1"/>
      </w:smartTagPr>
      <w:r w:rsidRPr="00112FDE">
        <w:t>ziņojums</w:t>
      </w:r>
    </w:smartTag>
    <w:r>
      <w:t xml:space="preserve">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AD6" w:rsidRDefault="008D3AD6">
      <w:r>
        <w:separator/>
      </w:r>
    </w:p>
  </w:footnote>
  <w:footnote w:type="continuationSeparator" w:id="0">
    <w:p w:rsidR="008D3AD6" w:rsidRDefault="008D3AD6">
      <w:r>
        <w:continuationSeparator/>
      </w:r>
    </w:p>
  </w:footnote>
  <w:footnote w:id="1">
    <w:p w:rsidR="008D3AD6" w:rsidRPr="0011155B" w:rsidRDefault="008D3AD6">
      <w:pPr>
        <w:pStyle w:val="FootnoteText"/>
        <w:rPr>
          <w:lang w:val="en-US"/>
        </w:rPr>
      </w:pPr>
      <w:r>
        <w:rPr>
          <w:rStyle w:val="FootnoteReference"/>
        </w:rPr>
        <w:footnoteRef/>
      </w:r>
      <w:r>
        <w:t xml:space="preserve"> </w:t>
      </w:r>
      <w:r w:rsidRPr="0011155B">
        <w:t>https://www.visr.eps.gov.lv/visr/default.aspx?action=2&amp;rid=138</w:t>
      </w:r>
    </w:p>
  </w:footnote>
  <w:footnote w:id="2">
    <w:p w:rsidR="008D3AD6" w:rsidRPr="005B6EAA" w:rsidRDefault="008D3AD6" w:rsidP="00EE1033">
      <w:pPr>
        <w:pStyle w:val="FootnoteText"/>
      </w:pPr>
      <w:r w:rsidRPr="008E574F">
        <w:rPr>
          <w:rStyle w:val="FootnoteReference"/>
        </w:rPr>
        <w:footnoteRef/>
      </w:r>
      <w:r w:rsidRPr="008E574F">
        <w:t xml:space="preserve"> „Latvijas veselības aprūpes statistikas gadagrāmata 2013”; </w:t>
      </w:r>
      <w:hyperlink r:id="rId1" w:history="1">
        <w:r w:rsidRPr="005B6EAA">
          <w:rPr>
            <w:rStyle w:val="Hyperlink"/>
            <w:color w:val="auto"/>
          </w:rPr>
          <w:t>http://www.spkc.gov.lv/file_download/2098/3_Sabiedribas_veseliba_2013.pdf</w:t>
        </w:r>
      </w:hyperlink>
    </w:p>
  </w:footnote>
  <w:footnote w:id="3">
    <w:p w:rsidR="008D3AD6" w:rsidRPr="00EF095A" w:rsidRDefault="008D3AD6" w:rsidP="00EE1033">
      <w:pPr>
        <w:pStyle w:val="FootnoteText"/>
        <w:rPr>
          <w:b/>
          <w:bCs/>
        </w:rPr>
      </w:pPr>
      <w:r w:rsidRPr="005B6EAA">
        <w:rPr>
          <w:rStyle w:val="FootnoteReference"/>
        </w:rPr>
        <w:footnoteRef/>
      </w:r>
      <w:r w:rsidRPr="005B6EAA">
        <w:t xml:space="preserve"> </w:t>
      </w:r>
      <w:r>
        <w:rPr>
          <w:bCs/>
        </w:rPr>
        <w:t>Slimību profilakses un kontroles centra dati</w:t>
      </w:r>
    </w:p>
  </w:footnote>
  <w:footnote w:id="4">
    <w:p w:rsidR="008D3AD6" w:rsidRPr="00EF095A" w:rsidRDefault="008D3AD6" w:rsidP="00154468">
      <w:pPr>
        <w:pStyle w:val="FootnoteText"/>
        <w:tabs>
          <w:tab w:val="left" w:pos="142"/>
        </w:tabs>
      </w:pPr>
      <w:r w:rsidRPr="00AA17F2">
        <w:rPr>
          <w:rStyle w:val="FootnoteReference"/>
        </w:rPr>
        <w:footnoteRef/>
      </w:r>
      <w:r w:rsidRPr="00AA17F2">
        <w:t xml:space="preserve"> </w:t>
      </w:r>
      <w:r>
        <w:tab/>
      </w:r>
      <w:r w:rsidRPr="00AA17F2">
        <w:t>http://data.csb.gov.lv/pxweb/lv/S</w:t>
      </w:r>
      <w:r>
        <w:t>ociala/Sociala__ikgad__ienemumi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D6" w:rsidRDefault="007F69AD" w:rsidP="007953DD">
    <w:pPr>
      <w:pStyle w:val="Header"/>
      <w:framePr w:wrap="around" w:vAnchor="text" w:hAnchor="margin" w:xAlign="center" w:y="1"/>
      <w:rPr>
        <w:rStyle w:val="PageNumber"/>
      </w:rPr>
    </w:pPr>
    <w:r>
      <w:rPr>
        <w:rStyle w:val="PageNumber"/>
      </w:rPr>
      <w:fldChar w:fldCharType="begin"/>
    </w:r>
    <w:r w:rsidR="008D3AD6">
      <w:rPr>
        <w:rStyle w:val="PageNumber"/>
      </w:rPr>
      <w:instrText xml:space="preserve">PAGE  </w:instrText>
    </w:r>
    <w:r>
      <w:rPr>
        <w:rStyle w:val="PageNumber"/>
      </w:rPr>
      <w:fldChar w:fldCharType="separate"/>
    </w:r>
    <w:r w:rsidR="008D3AD6">
      <w:rPr>
        <w:rStyle w:val="PageNumber"/>
        <w:noProof/>
      </w:rPr>
      <w:t>9</w:t>
    </w:r>
    <w:r>
      <w:rPr>
        <w:rStyle w:val="PageNumber"/>
      </w:rPr>
      <w:fldChar w:fldCharType="end"/>
    </w:r>
  </w:p>
  <w:p w:rsidR="008D3AD6" w:rsidRDefault="008D3A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76813"/>
      <w:docPartObj>
        <w:docPartGallery w:val="Page Numbers (Top of Page)"/>
        <w:docPartUnique/>
      </w:docPartObj>
    </w:sdtPr>
    <w:sdtContent>
      <w:p w:rsidR="008D3AD6" w:rsidRDefault="007F69AD" w:rsidP="005B6EAA">
        <w:pPr>
          <w:pStyle w:val="Header"/>
          <w:jc w:val="center"/>
        </w:pPr>
        <w:fldSimple w:instr=" PAGE   \* MERGEFORMAT ">
          <w:r w:rsidR="00E97665">
            <w:rPr>
              <w:noProof/>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D4F9B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592DFA"/>
    <w:multiLevelType w:val="hybridMultilevel"/>
    <w:tmpl w:val="FCC824A0"/>
    <w:lvl w:ilvl="0" w:tplc="0FB60C6C">
      <w:start w:val="1"/>
      <w:numFmt w:val="decimal"/>
      <w:lvlText w:val="%1."/>
      <w:lvlJc w:val="left"/>
      <w:pPr>
        <w:ind w:left="1639" w:hanging="9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4">
    <w:nsid w:val="2EB62EF0"/>
    <w:multiLevelType w:val="hybridMultilevel"/>
    <w:tmpl w:val="5FE09FDA"/>
    <w:lvl w:ilvl="0" w:tplc="C652D8D8">
      <w:start w:val="1"/>
      <w:numFmt w:val="decimal"/>
      <w:lvlText w:val="%1)"/>
      <w:lvlJc w:val="left"/>
      <w:pPr>
        <w:ind w:left="720" w:hanging="360"/>
      </w:pPr>
      <w:rPr>
        <w:rFonts w:eastAsia="EUAlbertina-Bold-Identity-H"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2703F9D"/>
    <w:multiLevelType w:val="hybridMultilevel"/>
    <w:tmpl w:val="1460F1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4DA4551"/>
    <w:multiLevelType w:val="hybridMultilevel"/>
    <w:tmpl w:val="EA846A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92E3C"/>
    <w:multiLevelType w:val="hybridMultilevel"/>
    <w:tmpl w:val="BF1C11F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8">
    <w:nsid w:val="3BCE7E76"/>
    <w:multiLevelType w:val="hybridMultilevel"/>
    <w:tmpl w:val="E76A7E0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3F417DB"/>
    <w:multiLevelType w:val="hybridMultilevel"/>
    <w:tmpl w:val="0A5A65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6AE5516"/>
    <w:multiLevelType w:val="hybridMultilevel"/>
    <w:tmpl w:val="FBBE5220"/>
    <w:lvl w:ilvl="0" w:tplc="04260001">
      <w:start w:val="1"/>
      <w:numFmt w:val="bullet"/>
      <w:lvlText w:val=""/>
      <w:lvlJc w:val="left"/>
      <w:pPr>
        <w:ind w:left="1399" w:hanging="360"/>
      </w:pPr>
      <w:rPr>
        <w:rFonts w:ascii="Symbol" w:hAnsi="Symbol" w:hint="default"/>
      </w:rPr>
    </w:lvl>
    <w:lvl w:ilvl="1" w:tplc="04260003" w:tentative="1">
      <w:start w:val="1"/>
      <w:numFmt w:val="bullet"/>
      <w:lvlText w:val="o"/>
      <w:lvlJc w:val="left"/>
      <w:pPr>
        <w:ind w:left="2119" w:hanging="360"/>
      </w:pPr>
      <w:rPr>
        <w:rFonts w:ascii="Courier New" w:hAnsi="Courier New" w:cs="Courier New" w:hint="default"/>
      </w:rPr>
    </w:lvl>
    <w:lvl w:ilvl="2" w:tplc="04260005" w:tentative="1">
      <w:start w:val="1"/>
      <w:numFmt w:val="bullet"/>
      <w:lvlText w:val=""/>
      <w:lvlJc w:val="left"/>
      <w:pPr>
        <w:ind w:left="2839" w:hanging="360"/>
      </w:pPr>
      <w:rPr>
        <w:rFonts w:ascii="Wingdings" w:hAnsi="Wingdings" w:hint="default"/>
      </w:rPr>
    </w:lvl>
    <w:lvl w:ilvl="3" w:tplc="04260001" w:tentative="1">
      <w:start w:val="1"/>
      <w:numFmt w:val="bullet"/>
      <w:lvlText w:val=""/>
      <w:lvlJc w:val="left"/>
      <w:pPr>
        <w:ind w:left="3559" w:hanging="360"/>
      </w:pPr>
      <w:rPr>
        <w:rFonts w:ascii="Symbol" w:hAnsi="Symbol" w:hint="default"/>
      </w:rPr>
    </w:lvl>
    <w:lvl w:ilvl="4" w:tplc="04260003" w:tentative="1">
      <w:start w:val="1"/>
      <w:numFmt w:val="bullet"/>
      <w:lvlText w:val="o"/>
      <w:lvlJc w:val="left"/>
      <w:pPr>
        <w:ind w:left="4279" w:hanging="360"/>
      </w:pPr>
      <w:rPr>
        <w:rFonts w:ascii="Courier New" w:hAnsi="Courier New" w:cs="Courier New" w:hint="default"/>
      </w:rPr>
    </w:lvl>
    <w:lvl w:ilvl="5" w:tplc="04260005" w:tentative="1">
      <w:start w:val="1"/>
      <w:numFmt w:val="bullet"/>
      <w:lvlText w:val=""/>
      <w:lvlJc w:val="left"/>
      <w:pPr>
        <w:ind w:left="4999" w:hanging="360"/>
      </w:pPr>
      <w:rPr>
        <w:rFonts w:ascii="Wingdings" w:hAnsi="Wingdings" w:hint="default"/>
      </w:rPr>
    </w:lvl>
    <w:lvl w:ilvl="6" w:tplc="04260001" w:tentative="1">
      <w:start w:val="1"/>
      <w:numFmt w:val="bullet"/>
      <w:lvlText w:val=""/>
      <w:lvlJc w:val="left"/>
      <w:pPr>
        <w:ind w:left="5719" w:hanging="360"/>
      </w:pPr>
      <w:rPr>
        <w:rFonts w:ascii="Symbol" w:hAnsi="Symbol" w:hint="default"/>
      </w:rPr>
    </w:lvl>
    <w:lvl w:ilvl="7" w:tplc="04260003" w:tentative="1">
      <w:start w:val="1"/>
      <w:numFmt w:val="bullet"/>
      <w:lvlText w:val="o"/>
      <w:lvlJc w:val="left"/>
      <w:pPr>
        <w:ind w:left="6439" w:hanging="360"/>
      </w:pPr>
      <w:rPr>
        <w:rFonts w:ascii="Courier New" w:hAnsi="Courier New" w:cs="Courier New" w:hint="default"/>
      </w:rPr>
    </w:lvl>
    <w:lvl w:ilvl="8" w:tplc="04260005" w:tentative="1">
      <w:start w:val="1"/>
      <w:numFmt w:val="bullet"/>
      <w:lvlText w:val=""/>
      <w:lvlJc w:val="left"/>
      <w:pPr>
        <w:ind w:left="7159" w:hanging="360"/>
      </w:pPr>
      <w:rPr>
        <w:rFonts w:ascii="Wingdings" w:hAnsi="Wingdings" w:hint="default"/>
      </w:rPr>
    </w:lvl>
  </w:abstractNum>
  <w:abstractNum w:abstractNumId="11">
    <w:nsid w:val="483A1B5E"/>
    <w:multiLevelType w:val="hybridMultilevel"/>
    <w:tmpl w:val="2A4E75D6"/>
    <w:lvl w:ilvl="0" w:tplc="04260011">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8C45AFC"/>
    <w:multiLevelType w:val="hybridMultilevel"/>
    <w:tmpl w:val="903E1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D3A53BD"/>
    <w:multiLevelType w:val="hybridMultilevel"/>
    <w:tmpl w:val="61B837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A96480C"/>
    <w:multiLevelType w:val="hybridMultilevel"/>
    <w:tmpl w:val="8BA4953C"/>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nsid w:val="6E422FF5"/>
    <w:multiLevelType w:val="hybridMultilevel"/>
    <w:tmpl w:val="20C6CA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30D0C82"/>
    <w:multiLevelType w:val="hybridMultilevel"/>
    <w:tmpl w:val="4EB02320"/>
    <w:lvl w:ilvl="0" w:tplc="F06AA09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F0C391A"/>
    <w:multiLevelType w:val="hybridMultilevel"/>
    <w:tmpl w:val="AF9A5982"/>
    <w:lvl w:ilvl="0" w:tplc="92228C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4"/>
  </w:num>
  <w:num w:numId="5">
    <w:abstractNumId w:val="12"/>
  </w:num>
  <w:num w:numId="6">
    <w:abstractNumId w:val="8"/>
  </w:num>
  <w:num w:numId="7">
    <w:abstractNumId w:val="15"/>
  </w:num>
  <w:num w:numId="8">
    <w:abstractNumId w:val="16"/>
  </w:num>
  <w:num w:numId="9">
    <w:abstractNumId w:val="0"/>
    <w:lvlOverride w:ilvl="0">
      <w:lvl w:ilvl="0">
        <w:numFmt w:val="bullet"/>
        <w:lvlText w:val=""/>
        <w:legacy w:legacy="1" w:legacySpace="0" w:legacyIndent="0"/>
        <w:lvlJc w:val="left"/>
        <w:rPr>
          <w:rFonts w:ascii="Symbol" w:hAnsi="Symbol" w:hint="default"/>
          <w:sz w:val="22"/>
        </w:rPr>
      </w:lvl>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7"/>
  </w:num>
  <w:num w:numId="14">
    <w:abstractNumId w:val="10"/>
  </w:num>
  <w:num w:numId="15">
    <w:abstractNumId w:val="3"/>
  </w:num>
  <w:num w:numId="16">
    <w:abstractNumId w:val="13"/>
  </w:num>
  <w:num w:numId="17">
    <w:abstractNumId w:val="1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7953DD"/>
    <w:rsid w:val="000000C9"/>
    <w:rsid w:val="000011E8"/>
    <w:rsid w:val="000027C1"/>
    <w:rsid w:val="00007D72"/>
    <w:rsid w:val="00010367"/>
    <w:rsid w:val="000112C1"/>
    <w:rsid w:val="00012408"/>
    <w:rsid w:val="00012C77"/>
    <w:rsid w:val="00012F9C"/>
    <w:rsid w:val="00017309"/>
    <w:rsid w:val="000178AA"/>
    <w:rsid w:val="00020A31"/>
    <w:rsid w:val="00021444"/>
    <w:rsid w:val="00022097"/>
    <w:rsid w:val="00022745"/>
    <w:rsid w:val="00024224"/>
    <w:rsid w:val="00024584"/>
    <w:rsid w:val="00025A43"/>
    <w:rsid w:val="000305DB"/>
    <w:rsid w:val="00032676"/>
    <w:rsid w:val="00032C87"/>
    <w:rsid w:val="00033BBE"/>
    <w:rsid w:val="00033E31"/>
    <w:rsid w:val="000346C8"/>
    <w:rsid w:val="00034E73"/>
    <w:rsid w:val="00036F56"/>
    <w:rsid w:val="00041640"/>
    <w:rsid w:val="000416F3"/>
    <w:rsid w:val="00042C14"/>
    <w:rsid w:val="00042E21"/>
    <w:rsid w:val="00044451"/>
    <w:rsid w:val="00045076"/>
    <w:rsid w:val="0004619B"/>
    <w:rsid w:val="00047381"/>
    <w:rsid w:val="00050B3F"/>
    <w:rsid w:val="000530A2"/>
    <w:rsid w:val="00054896"/>
    <w:rsid w:val="00054E50"/>
    <w:rsid w:val="000557FD"/>
    <w:rsid w:val="000564F0"/>
    <w:rsid w:val="0005769E"/>
    <w:rsid w:val="00057A43"/>
    <w:rsid w:val="00057D34"/>
    <w:rsid w:val="00060029"/>
    <w:rsid w:val="00060535"/>
    <w:rsid w:val="00060580"/>
    <w:rsid w:val="00060B07"/>
    <w:rsid w:val="000614DC"/>
    <w:rsid w:val="00061674"/>
    <w:rsid w:val="00063939"/>
    <w:rsid w:val="0006415D"/>
    <w:rsid w:val="00064BDC"/>
    <w:rsid w:val="000651BC"/>
    <w:rsid w:val="000653C3"/>
    <w:rsid w:val="000676EC"/>
    <w:rsid w:val="000677F8"/>
    <w:rsid w:val="000708B0"/>
    <w:rsid w:val="00070A67"/>
    <w:rsid w:val="00071196"/>
    <w:rsid w:val="000712FD"/>
    <w:rsid w:val="0007191A"/>
    <w:rsid w:val="00071CDA"/>
    <w:rsid w:val="00072BE6"/>
    <w:rsid w:val="00073E92"/>
    <w:rsid w:val="0007440E"/>
    <w:rsid w:val="000756CA"/>
    <w:rsid w:val="00075D61"/>
    <w:rsid w:val="00076AD8"/>
    <w:rsid w:val="00077140"/>
    <w:rsid w:val="00077251"/>
    <w:rsid w:val="00077518"/>
    <w:rsid w:val="000779AB"/>
    <w:rsid w:val="00080663"/>
    <w:rsid w:val="000830A2"/>
    <w:rsid w:val="00083201"/>
    <w:rsid w:val="00084CFA"/>
    <w:rsid w:val="00087A07"/>
    <w:rsid w:val="00087F54"/>
    <w:rsid w:val="000905A6"/>
    <w:rsid w:val="000929AE"/>
    <w:rsid w:val="00092F1D"/>
    <w:rsid w:val="000933E2"/>
    <w:rsid w:val="000949E4"/>
    <w:rsid w:val="00094F42"/>
    <w:rsid w:val="00094FB3"/>
    <w:rsid w:val="00095197"/>
    <w:rsid w:val="0009635A"/>
    <w:rsid w:val="000963B1"/>
    <w:rsid w:val="0009746E"/>
    <w:rsid w:val="000A1C64"/>
    <w:rsid w:val="000A56D3"/>
    <w:rsid w:val="000A6602"/>
    <w:rsid w:val="000A731A"/>
    <w:rsid w:val="000B047C"/>
    <w:rsid w:val="000B0CB3"/>
    <w:rsid w:val="000B2049"/>
    <w:rsid w:val="000B2ADA"/>
    <w:rsid w:val="000B30A3"/>
    <w:rsid w:val="000B3693"/>
    <w:rsid w:val="000B369F"/>
    <w:rsid w:val="000B3703"/>
    <w:rsid w:val="000B4A44"/>
    <w:rsid w:val="000B5A58"/>
    <w:rsid w:val="000B6035"/>
    <w:rsid w:val="000C00B9"/>
    <w:rsid w:val="000C08F5"/>
    <w:rsid w:val="000C0D4F"/>
    <w:rsid w:val="000C134F"/>
    <w:rsid w:val="000C1C4D"/>
    <w:rsid w:val="000C47A2"/>
    <w:rsid w:val="000C49AE"/>
    <w:rsid w:val="000C581D"/>
    <w:rsid w:val="000C6A1A"/>
    <w:rsid w:val="000C750E"/>
    <w:rsid w:val="000C77C2"/>
    <w:rsid w:val="000D03C8"/>
    <w:rsid w:val="000D2D2C"/>
    <w:rsid w:val="000D35FE"/>
    <w:rsid w:val="000D3EC7"/>
    <w:rsid w:val="000D5AAC"/>
    <w:rsid w:val="000D5B47"/>
    <w:rsid w:val="000D70BD"/>
    <w:rsid w:val="000D7744"/>
    <w:rsid w:val="000D7BC8"/>
    <w:rsid w:val="000E0460"/>
    <w:rsid w:val="000E1995"/>
    <w:rsid w:val="000E20D9"/>
    <w:rsid w:val="000E2907"/>
    <w:rsid w:val="000E2DF7"/>
    <w:rsid w:val="000E3B98"/>
    <w:rsid w:val="000E53F9"/>
    <w:rsid w:val="000E571E"/>
    <w:rsid w:val="000E780A"/>
    <w:rsid w:val="000F0392"/>
    <w:rsid w:val="000F19DB"/>
    <w:rsid w:val="000F1ABB"/>
    <w:rsid w:val="000F2740"/>
    <w:rsid w:val="000F2AD7"/>
    <w:rsid w:val="000F2AF8"/>
    <w:rsid w:val="000F54B9"/>
    <w:rsid w:val="000F5DB8"/>
    <w:rsid w:val="001016FD"/>
    <w:rsid w:val="00101D7C"/>
    <w:rsid w:val="001046E2"/>
    <w:rsid w:val="001049BD"/>
    <w:rsid w:val="00104C32"/>
    <w:rsid w:val="00104EEC"/>
    <w:rsid w:val="001051FD"/>
    <w:rsid w:val="00105214"/>
    <w:rsid w:val="00106F00"/>
    <w:rsid w:val="00107E93"/>
    <w:rsid w:val="00110371"/>
    <w:rsid w:val="001108CD"/>
    <w:rsid w:val="00110DE3"/>
    <w:rsid w:val="0011155B"/>
    <w:rsid w:val="00111EDA"/>
    <w:rsid w:val="00112FDE"/>
    <w:rsid w:val="00113AE1"/>
    <w:rsid w:val="0011420A"/>
    <w:rsid w:val="0011608A"/>
    <w:rsid w:val="0011657E"/>
    <w:rsid w:val="0011787B"/>
    <w:rsid w:val="001203F0"/>
    <w:rsid w:val="00120BEA"/>
    <w:rsid w:val="00123F65"/>
    <w:rsid w:val="001256D1"/>
    <w:rsid w:val="00126721"/>
    <w:rsid w:val="00126ABF"/>
    <w:rsid w:val="00127C6E"/>
    <w:rsid w:val="00130492"/>
    <w:rsid w:val="00131513"/>
    <w:rsid w:val="00132C06"/>
    <w:rsid w:val="001356DA"/>
    <w:rsid w:val="00137CEE"/>
    <w:rsid w:val="00140669"/>
    <w:rsid w:val="00142DCA"/>
    <w:rsid w:val="00144327"/>
    <w:rsid w:val="001444E0"/>
    <w:rsid w:val="00144A7F"/>
    <w:rsid w:val="001450D8"/>
    <w:rsid w:val="00145342"/>
    <w:rsid w:val="00147498"/>
    <w:rsid w:val="001477CE"/>
    <w:rsid w:val="00147E31"/>
    <w:rsid w:val="0015092D"/>
    <w:rsid w:val="00150AF5"/>
    <w:rsid w:val="00151281"/>
    <w:rsid w:val="001515B7"/>
    <w:rsid w:val="0015216C"/>
    <w:rsid w:val="00152C92"/>
    <w:rsid w:val="00153309"/>
    <w:rsid w:val="00154468"/>
    <w:rsid w:val="001548C7"/>
    <w:rsid w:val="0016182A"/>
    <w:rsid w:val="00164191"/>
    <w:rsid w:val="0016540E"/>
    <w:rsid w:val="00165BF7"/>
    <w:rsid w:val="001714B8"/>
    <w:rsid w:val="00171572"/>
    <w:rsid w:val="00171625"/>
    <w:rsid w:val="0017200B"/>
    <w:rsid w:val="00173539"/>
    <w:rsid w:val="00176A25"/>
    <w:rsid w:val="00176D8D"/>
    <w:rsid w:val="0017702C"/>
    <w:rsid w:val="00177D8A"/>
    <w:rsid w:val="00180D88"/>
    <w:rsid w:val="00183AA6"/>
    <w:rsid w:val="00184897"/>
    <w:rsid w:val="00185A10"/>
    <w:rsid w:val="00186B97"/>
    <w:rsid w:val="001877DA"/>
    <w:rsid w:val="00190C09"/>
    <w:rsid w:val="00191C67"/>
    <w:rsid w:val="00193234"/>
    <w:rsid w:val="00193980"/>
    <w:rsid w:val="00193DC4"/>
    <w:rsid w:val="00195169"/>
    <w:rsid w:val="00195CF2"/>
    <w:rsid w:val="001A0A7C"/>
    <w:rsid w:val="001A2A90"/>
    <w:rsid w:val="001A3F73"/>
    <w:rsid w:val="001A41FC"/>
    <w:rsid w:val="001A5350"/>
    <w:rsid w:val="001A5897"/>
    <w:rsid w:val="001A78E5"/>
    <w:rsid w:val="001B2663"/>
    <w:rsid w:val="001B3415"/>
    <w:rsid w:val="001B3728"/>
    <w:rsid w:val="001B38C2"/>
    <w:rsid w:val="001B478A"/>
    <w:rsid w:val="001B4AA3"/>
    <w:rsid w:val="001B502D"/>
    <w:rsid w:val="001B556B"/>
    <w:rsid w:val="001B577A"/>
    <w:rsid w:val="001B5874"/>
    <w:rsid w:val="001B694F"/>
    <w:rsid w:val="001B7A84"/>
    <w:rsid w:val="001C20A1"/>
    <w:rsid w:val="001C2C63"/>
    <w:rsid w:val="001C536C"/>
    <w:rsid w:val="001C71E1"/>
    <w:rsid w:val="001C74B5"/>
    <w:rsid w:val="001D28DC"/>
    <w:rsid w:val="001D2A93"/>
    <w:rsid w:val="001D2EB5"/>
    <w:rsid w:val="001D36EB"/>
    <w:rsid w:val="001D3796"/>
    <w:rsid w:val="001D435D"/>
    <w:rsid w:val="001D4DBF"/>
    <w:rsid w:val="001D5675"/>
    <w:rsid w:val="001D6653"/>
    <w:rsid w:val="001D7B78"/>
    <w:rsid w:val="001E01D3"/>
    <w:rsid w:val="001E1826"/>
    <w:rsid w:val="001E185F"/>
    <w:rsid w:val="001E4498"/>
    <w:rsid w:val="001E49D7"/>
    <w:rsid w:val="001E55C4"/>
    <w:rsid w:val="001E5725"/>
    <w:rsid w:val="001E5C40"/>
    <w:rsid w:val="001E663B"/>
    <w:rsid w:val="001F1A0D"/>
    <w:rsid w:val="001F1B9E"/>
    <w:rsid w:val="001F2DDA"/>
    <w:rsid w:val="001F3DD4"/>
    <w:rsid w:val="001F3DDF"/>
    <w:rsid w:val="001F5731"/>
    <w:rsid w:val="001F57D8"/>
    <w:rsid w:val="001F5FB3"/>
    <w:rsid w:val="001F6275"/>
    <w:rsid w:val="001F642C"/>
    <w:rsid w:val="001F6CFB"/>
    <w:rsid w:val="001F6DE9"/>
    <w:rsid w:val="001F7DD9"/>
    <w:rsid w:val="00202CEF"/>
    <w:rsid w:val="00202DDD"/>
    <w:rsid w:val="00206319"/>
    <w:rsid w:val="00206992"/>
    <w:rsid w:val="00206F3B"/>
    <w:rsid w:val="00210CF6"/>
    <w:rsid w:val="00211CE7"/>
    <w:rsid w:val="00212385"/>
    <w:rsid w:val="00213649"/>
    <w:rsid w:val="0021386B"/>
    <w:rsid w:val="00214C43"/>
    <w:rsid w:val="002158A6"/>
    <w:rsid w:val="00217E00"/>
    <w:rsid w:val="00217F61"/>
    <w:rsid w:val="00220DE0"/>
    <w:rsid w:val="00224CBD"/>
    <w:rsid w:val="002262DB"/>
    <w:rsid w:val="00232B39"/>
    <w:rsid w:val="002345D5"/>
    <w:rsid w:val="002346CA"/>
    <w:rsid w:val="002360F1"/>
    <w:rsid w:val="00236BE5"/>
    <w:rsid w:val="00237A87"/>
    <w:rsid w:val="002400E7"/>
    <w:rsid w:val="00240CBE"/>
    <w:rsid w:val="0024177B"/>
    <w:rsid w:val="0024206A"/>
    <w:rsid w:val="0024219C"/>
    <w:rsid w:val="00243733"/>
    <w:rsid w:val="00243C53"/>
    <w:rsid w:val="00243E72"/>
    <w:rsid w:val="0024434B"/>
    <w:rsid w:val="00244873"/>
    <w:rsid w:val="00245050"/>
    <w:rsid w:val="00245635"/>
    <w:rsid w:val="0025013F"/>
    <w:rsid w:val="002528A2"/>
    <w:rsid w:val="00252FAD"/>
    <w:rsid w:val="00255019"/>
    <w:rsid w:val="0025612E"/>
    <w:rsid w:val="00257459"/>
    <w:rsid w:val="00257691"/>
    <w:rsid w:val="002577B7"/>
    <w:rsid w:val="002605FB"/>
    <w:rsid w:val="00261FB5"/>
    <w:rsid w:val="00263114"/>
    <w:rsid w:val="002641E6"/>
    <w:rsid w:val="0026575B"/>
    <w:rsid w:val="00265B6A"/>
    <w:rsid w:val="00267C7A"/>
    <w:rsid w:val="00270CA7"/>
    <w:rsid w:val="00271025"/>
    <w:rsid w:val="002732BC"/>
    <w:rsid w:val="00273A1E"/>
    <w:rsid w:val="00274423"/>
    <w:rsid w:val="002760C2"/>
    <w:rsid w:val="002763B2"/>
    <w:rsid w:val="0028108D"/>
    <w:rsid w:val="00281610"/>
    <w:rsid w:val="00281A3B"/>
    <w:rsid w:val="0028219C"/>
    <w:rsid w:val="002827A8"/>
    <w:rsid w:val="00283684"/>
    <w:rsid w:val="00283EC4"/>
    <w:rsid w:val="0028420F"/>
    <w:rsid w:val="00284663"/>
    <w:rsid w:val="002848F0"/>
    <w:rsid w:val="002859EA"/>
    <w:rsid w:val="002869B6"/>
    <w:rsid w:val="00286C0E"/>
    <w:rsid w:val="00290356"/>
    <w:rsid w:val="002948E0"/>
    <w:rsid w:val="002968C2"/>
    <w:rsid w:val="002A016D"/>
    <w:rsid w:val="002A2B72"/>
    <w:rsid w:val="002A2BFB"/>
    <w:rsid w:val="002A45F3"/>
    <w:rsid w:val="002A4879"/>
    <w:rsid w:val="002A4C59"/>
    <w:rsid w:val="002A5241"/>
    <w:rsid w:val="002A658D"/>
    <w:rsid w:val="002A71F2"/>
    <w:rsid w:val="002A7A1A"/>
    <w:rsid w:val="002B01D7"/>
    <w:rsid w:val="002B172F"/>
    <w:rsid w:val="002B31CE"/>
    <w:rsid w:val="002B444C"/>
    <w:rsid w:val="002B5EE3"/>
    <w:rsid w:val="002B703F"/>
    <w:rsid w:val="002C0496"/>
    <w:rsid w:val="002C1245"/>
    <w:rsid w:val="002C4B48"/>
    <w:rsid w:val="002C5852"/>
    <w:rsid w:val="002C706A"/>
    <w:rsid w:val="002C7151"/>
    <w:rsid w:val="002D0311"/>
    <w:rsid w:val="002D092F"/>
    <w:rsid w:val="002D0EFC"/>
    <w:rsid w:val="002D15DF"/>
    <w:rsid w:val="002D258D"/>
    <w:rsid w:val="002D2FD4"/>
    <w:rsid w:val="002D4866"/>
    <w:rsid w:val="002D5973"/>
    <w:rsid w:val="002D6D18"/>
    <w:rsid w:val="002E0E1B"/>
    <w:rsid w:val="002E3EBD"/>
    <w:rsid w:val="002E3F88"/>
    <w:rsid w:val="002E4E50"/>
    <w:rsid w:val="002E5834"/>
    <w:rsid w:val="002E66FA"/>
    <w:rsid w:val="002F02D7"/>
    <w:rsid w:val="002F5161"/>
    <w:rsid w:val="002F6C71"/>
    <w:rsid w:val="002F70DB"/>
    <w:rsid w:val="0030070C"/>
    <w:rsid w:val="00301B19"/>
    <w:rsid w:val="00301BBE"/>
    <w:rsid w:val="003031B0"/>
    <w:rsid w:val="00303547"/>
    <w:rsid w:val="00303748"/>
    <w:rsid w:val="003120A4"/>
    <w:rsid w:val="003165FE"/>
    <w:rsid w:val="00317F96"/>
    <w:rsid w:val="0032027E"/>
    <w:rsid w:val="00320C82"/>
    <w:rsid w:val="003210A5"/>
    <w:rsid w:val="00323AE7"/>
    <w:rsid w:val="00324829"/>
    <w:rsid w:val="00324FDA"/>
    <w:rsid w:val="00325728"/>
    <w:rsid w:val="0033057B"/>
    <w:rsid w:val="0033105E"/>
    <w:rsid w:val="00331272"/>
    <w:rsid w:val="00334174"/>
    <w:rsid w:val="00334457"/>
    <w:rsid w:val="00335B5B"/>
    <w:rsid w:val="00336FA0"/>
    <w:rsid w:val="0034033E"/>
    <w:rsid w:val="00341613"/>
    <w:rsid w:val="00341B0A"/>
    <w:rsid w:val="003457DA"/>
    <w:rsid w:val="00345BC0"/>
    <w:rsid w:val="00346648"/>
    <w:rsid w:val="00346F6F"/>
    <w:rsid w:val="003470E2"/>
    <w:rsid w:val="00347A25"/>
    <w:rsid w:val="00350725"/>
    <w:rsid w:val="00350A61"/>
    <w:rsid w:val="00350AAB"/>
    <w:rsid w:val="00351C6D"/>
    <w:rsid w:val="00351E7B"/>
    <w:rsid w:val="00352EF3"/>
    <w:rsid w:val="00353246"/>
    <w:rsid w:val="00355217"/>
    <w:rsid w:val="0035571F"/>
    <w:rsid w:val="00357630"/>
    <w:rsid w:val="003578FD"/>
    <w:rsid w:val="00360538"/>
    <w:rsid w:val="00360BA2"/>
    <w:rsid w:val="003616C9"/>
    <w:rsid w:val="003636F0"/>
    <w:rsid w:val="00363CDA"/>
    <w:rsid w:val="00364870"/>
    <w:rsid w:val="003650CD"/>
    <w:rsid w:val="00366F71"/>
    <w:rsid w:val="003705E9"/>
    <w:rsid w:val="00370EE8"/>
    <w:rsid w:val="003723B5"/>
    <w:rsid w:val="00373A32"/>
    <w:rsid w:val="00374AD8"/>
    <w:rsid w:val="00374C59"/>
    <w:rsid w:val="00375587"/>
    <w:rsid w:val="003776CF"/>
    <w:rsid w:val="00377B4E"/>
    <w:rsid w:val="00380652"/>
    <w:rsid w:val="0038088B"/>
    <w:rsid w:val="00381A8A"/>
    <w:rsid w:val="00381C96"/>
    <w:rsid w:val="003820E2"/>
    <w:rsid w:val="00382524"/>
    <w:rsid w:val="003831D8"/>
    <w:rsid w:val="003839C0"/>
    <w:rsid w:val="00383C30"/>
    <w:rsid w:val="00384046"/>
    <w:rsid w:val="00384EA5"/>
    <w:rsid w:val="00391132"/>
    <w:rsid w:val="00391C38"/>
    <w:rsid w:val="003921AF"/>
    <w:rsid w:val="003921B6"/>
    <w:rsid w:val="00392B69"/>
    <w:rsid w:val="003935E1"/>
    <w:rsid w:val="00395A1B"/>
    <w:rsid w:val="0039645C"/>
    <w:rsid w:val="003966E0"/>
    <w:rsid w:val="0039688E"/>
    <w:rsid w:val="00396FD0"/>
    <w:rsid w:val="00397419"/>
    <w:rsid w:val="00397765"/>
    <w:rsid w:val="003A00E9"/>
    <w:rsid w:val="003A1851"/>
    <w:rsid w:val="003A2251"/>
    <w:rsid w:val="003A230B"/>
    <w:rsid w:val="003A242F"/>
    <w:rsid w:val="003A3BAC"/>
    <w:rsid w:val="003A4629"/>
    <w:rsid w:val="003A557D"/>
    <w:rsid w:val="003A627C"/>
    <w:rsid w:val="003A6B8D"/>
    <w:rsid w:val="003A6E10"/>
    <w:rsid w:val="003A776F"/>
    <w:rsid w:val="003B0371"/>
    <w:rsid w:val="003B176B"/>
    <w:rsid w:val="003B4658"/>
    <w:rsid w:val="003B54D7"/>
    <w:rsid w:val="003B67B2"/>
    <w:rsid w:val="003B7E18"/>
    <w:rsid w:val="003C122D"/>
    <w:rsid w:val="003C14AE"/>
    <w:rsid w:val="003C2574"/>
    <w:rsid w:val="003C3D6D"/>
    <w:rsid w:val="003C3FA4"/>
    <w:rsid w:val="003C4F2D"/>
    <w:rsid w:val="003C5F89"/>
    <w:rsid w:val="003C6608"/>
    <w:rsid w:val="003C6D9D"/>
    <w:rsid w:val="003D2348"/>
    <w:rsid w:val="003D2B45"/>
    <w:rsid w:val="003D36FA"/>
    <w:rsid w:val="003D3857"/>
    <w:rsid w:val="003D4B51"/>
    <w:rsid w:val="003D5143"/>
    <w:rsid w:val="003D5C29"/>
    <w:rsid w:val="003D606E"/>
    <w:rsid w:val="003D60AB"/>
    <w:rsid w:val="003D7257"/>
    <w:rsid w:val="003D7518"/>
    <w:rsid w:val="003E01E5"/>
    <w:rsid w:val="003E0602"/>
    <w:rsid w:val="003E1B01"/>
    <w:rsid w:val="003E31B2"/>
    <w:rsid w:val="003E503D"/>
    <w:rsid w:val="003E5267"/>
    <w:rsid w:val="003E6178"/>
    <w:rsid w:val="003E6BAE"/>
    <w:rsid w:val="003F06A5"/>
    <w:rsid w:val="003F13DC"/>
    <w:rsid w:val="003F22CC"/>
    <w:rsid w:val="003F2A86"/>
    <w:rsid w:val="003F3510"/>
    <w:rsid w:val="00401404"/>
    <w:rsid w:val="00401F4E"/>
    <w:rsid w:val="00403074"/>
    <w:rsid w:val="00403204"/>
    <w:rsid w:val="004033DD"/>
    <w:rsid w:val="0040463D"/>
    <w:rsid w:val="00405589"/>
    <w:rsid w:val="00406A14"/>
    <w:rsid w:val="00407466"/>
    <w:rsid w:val="00410453"/>
    <w:rsid w:val="00410B8C"/>
    <w:rsid w:val="00411C33"/>
    <w:rsid w:val="004131F3"/>
    <w:rsid w:val="00414BF3"/>
    <w:rsid w:val="00417385"/>
    <w:rsid w:val="004178E2"/>
    <w:rsid w:val="00417EDF"/>
    <w:rsid w:val="004208B3"/>
    <w:rsid w:val="004227EC"/>
    <w:rsid w:val="004231CE"/>
    <w:rsid w:val="00424654"/>
    <w:rsid w:val="00426417"/>
    <w:rsid w:val="0042660D"/>
    <w:rsid w:val="0042748E"/>
    <w:rsid w:val="00430899"/>
    <w:rsid w:val="00431306"/>
    <w:rsid w:val="004314C4"/>
    <w:rsid w:val="00432203"/>
    <w:rsid w:val="00432C22"/>
    <w:rsid w:val="00437493"/>
    <w:rsid w:val="00437D18"/>
    <w:rsid w:val="00440106"/>
    <w:rsid w:val="00440854"/>
    <w:rsid w:val="00441BD1"/>
    <w:rsid w:val="00442034"/>
    <w:rsid w:val="004430C1"/>
    <w:rsid w:val="00443237"/>
    <w:rsid w:val="004435AF"/>
    <w:rsid w:val="004443BD"/>
    <w:rsid w:val="00444A67"/>
    <w:rsid w:val="00444ADF"/>
    <w:rsid w:val="00444D3D"/>
    <w:rsid w:val="00445D8D"/>
    <w:rsid w:val="00446003"/>
    <w:rsid w:val="00446985"/>
    <w:rsid w:val="004522AE"/>
    <w:rsid w:val="0045246F"/>
    <w:rsid w:val="00454894"/>
    <w:rsid w:val="004563C1"/>
    <w:rsid w:val="00460308"/>
    <w:rsid w:val="00460A7F"/>
    <w:rsid w:val="0046263B"/>
    <w:rsid w:val="00462E51"/>
    <w:rsid w:val="00463058"/>
    <w:rsid w:val="004634E3"/>
    <w:rsid w:val="00464C1A"/>
    <w:rsid w:val="00464CAE"/>
    <w:rsid w:val="00464E16"/>
    <w:rsid w:val="00464FC4"/>
    <w:rsid w:val="00471303"/>
    <w:rsid w:val="00471663"/>
    <w:rsid w:val="004725D0"/>
    <w:rsid w:val="00473ED6"/>
    <w:rsid w:val="0047711B"/>
    <w:rsid w:val="004779D7"/>
    <w:rsid w:val="00480108"/>
    <w:rsid w:val="004818BF"/>
    <w:rsid w:val="00483386"/>
    <w:rsid w:val="00483AF5"/>
    <w:rsid w:val="00484533"/>
    <w:rsid w:val="00485C26"/>
    <w:rsid w:val="004902FF"/>
    <w:rsid w:val="00491BAC"/>
    <w:rsid w:val="0049225E"/>
    <w:rsid w:val="00493860"/>
    <w:rsid w:val="00493F0E"/>
    <w:rsid w:val="00494110"/>
    <w:rsid w:val="0049512E"/>
    <w:rsid w:val="004959BA"/>
    <w:rsid w:val="004976A4"/>
    <w:rsid w:val="00497E37"/>
    <w:rsid w:val="00497E89"/>
    <w:rsid w:val="004A0828"/>
    <w:rsid w:val="004A0FFB"/>
    <w:rsid w:val="004A17A0"/>
    <w:rsid w:val="004A32A5"/>
    <w:rsid w:val="004A49F8"/>
    <w:rsid w:val="004A4C35"/>
    <w:rsid w:val="004A765D"/>
    <w:rsid w:val="004B0D04"/>
    <w:rsid w:val="004B1133"/>
    <w:rsid w:val="004B11E7"/>
    <w:rsid w:val="004B17CB"/>
    <w:rsid w:val="004B48F4"/>
    <w:rsid w:val="004B4E96"/>
    <w:rsid w:val="004B5372"/>
    <w:rsid w:val="004B597C"/>
    <w:rsid w:val="004B5B7B"/>
    <w:rsid w:val="004B6106"/>
    <w:rsid w:val="004B6165"/>
    <w:rsid w:val="004B7D8F"/>
    <w:rsid w:val="004C07EC"/>
    <w:rsid w:val="004C0B12"/>
    <w:rsid w:val="004C0B24"/>
    <w:rsid w:val="004C1617"/>
    <w:rsid w:val="004C30F9"/>
    <w:rsid w:val="004C35E3"/>
    <w:rsid w:val="004C6CC1"/>
    <w:rsid w:val="004C70F3"/>
    <w:rsid w:val="004D0245"/>
    <w:rsid w:val="004D04A9"/>
    <w:rsid w:val="004D2A35"/>
    <w:rsid w:val="004D2C52"/>
    <w:rsid w:val="004D45EE"/>
    <w:rsid w:val="004D4E7D"/>
    <w:rsid w:val="004D5F82"/>
    <w:rsid w:val="004D7928"/>
    <w:rsid w:val="004E009E"/>
    <w:rsid w:val="004E090E"/>
    <w:rsid w:val="004E0C94"/>
    <w:rsid w:val="004E0F72"/>
    <w:rsid w:val="004E350F"/>
    <w:rsid w:val="004E439E"/>
    <w:rsid w:val="004E5493"/>
    <w:rsid w:val="004E5BC0"/>
    <w:rsid w:val="004E5DEA"/>
    <w:rsid w:val="004E63E6"/>
    <w:rsid w:val="004F0A7A"/>
    <w:rsid w:val="004F0AEB"/>
    <w:rsid w:val="004F1301"/>
    <w:rsid w:val="004F22EB"/>
    <w:rsid w:val="004F35F7"/>
    <w:rsid w:val="004F3E9F"/>
    <w:rsid w:val="004F4A3E"/>
    <w:rsid w:val="004F4FD1"/>
    <w:rsid w:val="004F6E9D"/>
    <w:rsid w:val="00503394"/>
    <w:rsid w:val="005041DE"/>
    <w:rsid w:val="005070DA"/>
    <w:rsid w:val="00507B6C"/>
    <w:rsid w:val="005110A0"/>
    <w:rsid w:val="0051140C"/>
    <w:rsid w:val="00513BC2"/>
    <w:rsid w:val="00514CDB"/>
    <w:rsid w:val="00516A62"/>
    <w:rsid w:val="00516F91"/>
    <w:rsid w:val="00517227"/>
    <w:rsid w:val="0051737D"/>
    <w:rsid w:val="005211CE"/>
    <w:rsid w:val="00521359"/>
    <w:rsid w:val="00522E85"/>
    <w:rsid w:val="00523C1D"/>
    <w:rsid w:val="00527AE2"/>
    <w:rsid w:val="00530B96"/>
    <w:rsid w:val="005310B5"/>
    <w:rsid w:val="00531948"/>
    <w:rsid w:val="00532CD6"/>
    <w:rsid w:val="0053302A"/>
    <w:rsid w:val="005334DD"/>
    <w:rsid w:val="00533B96"/>
    <w:rsid w:val="00533BC3"/>
    <w:rsid w:val="00534852"/>
    <w:rsid w:val="00534907"/>
    <w:rsid w:val="00534DEC"/>
    <w:rsid w:val="005363CA"/>
    <w:rsid w:val="00536428"/>
    <w:rsid w:val="00536659"/>
    <w:rsid w:val="0054010F"/>
    <w:rsid w:val="00540155"/>
    <w:rsid w:val="005402E3"/>
    <w:rsid w:val="0054180A"/>
    <w:rsid w:val="005420D4"/>
    <w:rsid w:val="00542335"/>
    <w:rsid w:val="005428A3"/>
    <w:rsid w:val="005430A7"/>
    <w:rsid w:val="00544A60"/>
    <w:rsid w:val="005464DA"/>
    <w:rsid w:val="005503DF"/>
    <w:rsid w:val="005504E3"/>
    <w:rsid w:val="00550D96"/>
    <w:rsid w:val="005516DD"/>
    <w:rsid w:val="00554B07"/>
    <w:rsid w:val="00555844"/>
    <w:rsid w:val="005564F6"/>
    <w:rsid w:val="00557E04"/>
    <w:rsid w:val="00560119"/>
    <w:rsid w:val="005615BF"/>
    <w:rsid w:val="00562933"/>
    <w:rsid w:val="00564FDD"/>
    <w:rsid w:val="00570265"/>
    <w:rsid w:val="0057174F"/>
    <w:rsid w:val="00571A60"/>
    <w:rsid w:val="005724D0"/>
    <w:rsid w:val="00572DD4"/>
    <w:rsid w:val="005731B0"/>
    <w:rsid w:val="005732EB"/>
    <w:rsid w:val="00573C37"/>
    <w:rsid w:val="00575412"/>
    <w:rsid w:val="00576197"/>
    <w:rsid w:val="00580ED3"/>
    <w:rsid w:val="00581405"/>
    <w:rsid w:val="0058195E"/>
    <w:rsid w:val="005825B6"/>
    <w:rsid w:val="00584B73"/>
    <w:rsid w:val="00590D87"/>
    <w:rsid w:val="00591951"/>
    <w:rsid w:val="005935A7"/>
    <w:rsid w:val="005948AA"/>
    <w:rsid w:val="00597CFC"/>
    <w:rsid w:val="005A04DC"/>
    <w:rsid w:val="005A115F"/>
    <w:rsid w:val="005A2F55"/>
    <w:rsid w:val="005A2FF5"/>
    <w:rsid w:val="005A41E3"/>
    <w:rsid w:val="005A41ED"/>
    <w:rsid w:val="005A5915"/>
    <w:rsid w:val="005A626A"/>
    <w:rsid w:val="005A6BCD"/>
    <w:rsid w:val="005B12B5"/>
    <w:rsid w:val="005B1415"/>
    <w:rsid w:val="005B20FC"/>
    <w:rsid w:val="005B352D"/>
    <w:rsid w:val="005B39E3"/>
    <w:rsid w:val="005B4773"/>
    <w:rsid w:val="005B6EAA"/>
    <w:rsid w:val="005B72F2"/>
    <w:rsid w:val="005C045F"/>
    <w:rsid w:val="005C2131"/>
    <w:rsid w:val="005C2704"/>
    <w:rsid w:val="005C4948"/>
    <w:rsid w:val="005C4F15"/>
    <w:rsid w:val="005D0576"/>
    <w:rsid w:val="005D0B71"/>
    <w:rsid w:val="005D0CD8"/>
    <w:rsid w:val="005D0CDC"/>
    <w:rsid w:val="005D10AB"/>
    <w:rsid w:val="005D24DE"/>
    <w:rsid w:val="005D254B"/>
    <w:rsid w:val="005D26AB"/>
    <w:rsid w:val="005D6C57"/>
    <w:rsid w:val="005E1FCA"/>
    <w:rsid w:val="005E24A2"/>
    <w:rsid w:val="005E2819"/>
    <w:rsid w:val="005E329A"/>
    <w:rsid w:val="005E4332"/>
    <w:rsid w:val="005E4D56"/>
    <w:rsid w:val="005E6219"/>
    <w:rsid w:val="005E6391"/>
    <w:rsid w:val="005E7353"/>
    <w:rsid w:val="005F3E2C"/>
    <w:rsid w:val="005F3E6E"/>
    <w:rsid w:val="005F4A4D"/>
    <w:rsid w:val="005F56F3"/>
    <w:rsid w:val="005F7B8C"/>
    <w:rsid w:val="00600FF6"/>
    <w:rsid w:val="00603170"/>
    <w:rsid w:val="00603AE5"/>
    <w:rsid w:val="00603BAA"/>
    <w:rsid w:val="00603BE9"/>
    <w:rsid w:val="00604A2A"/>
    <w:rsid w:val="00604DA6"/>
    <w:rsid w:val="00605297"/>
    <w:rsid w:val="00605CFA"/>
    <w:rsid w:val="00607CC3"/>
    <w:rsid w:val="006127D3"/>
    <w:rsid w:val="00614128"/>
    <w:rsid w:val="0061661D"/>
    <w:rsid w:val="00617036"/>
    <w:rsid w:val="0062172B"/>
    <w:rsid w:val="00621EE5"/>
    <w:rsid w:val="00621F09"/>
    <w:rsid w:val="00622BCA"/>
    <w:rsid w:val="00623524"/>
    <w:rsid w:val="0062500D"/>
    <w:rsid w:val="0062590D"/>
    <w:rsid w:val="00626540"/>
    <w:rsid w:val="006265BC"/>
    <w:rsid w:val="00627463"/>
    <w:rsid w:val="0063040C"/>
    <w:rsid w:val="006308BC"/>
    <w:rsid w:val="00631F7F"/>
    <w:rsid w:val="0063303D"/>
    <w:rsid w:val="00633A54"/>
    <w:rsid w:val="00635BE2"/>
    <w:rsid w:val="00637119"/>
    <w:rsid w:val="00637432"/>
    <w:rsid w:val="00637516"/>
    <w:rsid w:val="00642D2A"/>
    <w:rsid w:val="00643984"/>
    <w:rsid w:val="0064407C"/>
    <w:rsid w:val="0064598C"/>
    <w:rsid w:val="006474AF"/>
    <w:rsid w:val="0065180C"/>
    <w:rsid w:val="00651953"/>
    <w:rsid w:val="00651B20"/>
    <w:rsid w:val="006523E3"/>
    <w:rsid w:val="0065259D"/>
    <w:rsid w:val="00652F23"/>
    <w:rsid w:val="0065348E"/>
    <w:rsid w:val="00653F6F"/>
    <w:rsid w:val="006542D2"/>
    <w:rsid w:val="00654670"/>
    <w:rsid w:val="0065519F"/>
    <w:rsid w:val="00655F45"/>
    <w:rsid w:val="0065776D"/>
    <w:rsid w:val="00660A71"/>
    <w:rsid w:val="0066163A"/>
    <w:rsid w:val="006619EB"/>
    <w:rsid w:val="00662EEA"/>
    <w:rsid w:val="00663E0D"/>
    <w:rsid w:val="006641F5"/>
    <w:rsid w:val="00664218"/>
    <w:rsid w:val="00664BFB"/>
    <w:rsid w:val="006653BA"/>
    <w:rsid w:val="00665C62"/>
    <w:rsid w:val="0066627C"/>
    <w:rsid w:val="00666CD3"/>
    <w:rsid w:val="006676D9"/>
    <w:rsid w:val="00667D47"/>
    <w:rsid w:val="00671116"/>
    <w:rsid w:val="006744AE"/>
    <w:rsid w:val="00674C6F"/>
    <w:rsid w:val="006750EF"/>
    <w:rsid w:val="00675818"/>
    <w:rsid w:val="006758AB"/>
    <w:rsid w:val="00675990"/>
    <w:rsid w:val="00677B87"/>
    <w:rsid w:val="00677DD0"/>
    <w:rsid w:val="006808B1"/>
    <w:rsid w:val="00680ABE"/>
    <w:rsid w:val="006811E9"/>
    <w:rsid w:val="0068132B"/>
    <w:rsid w:val="00681C1D"/>
    <w:rsid w:val="00681DBF"/>
    <w:rsid w:val="006842AE"/>
    <w:rsid w:val="00685C8F"/>
    <w:rsid w:val="00686577"/>
    <w:rsid w:val="00687383"/>
    <w:rsid w:val="00690C22"/>
    <w:rsid w:val="00691AB2"/>
    <w:rsid w:val="00692413"/>
    <w:rsid w:val="006926ED"/>
    <w:rsid w:val="006934B7"/>
    <w:rsid w:val="00695644"/>
    <w:rsid w:val="00695F36"/>
    <w:rsid w:val="0069663D"/>
    <w:rsid w:val="00696AF8"/>
    <w:rsid w:val="006A132E"/>
    <w:rsid w:val="006A1389"/>
    <w:rsid w:val="006A14AE"/>
    <w:rsid w:val="006A1701"/>
    <w:rsid w:val="006A2E70"/>
    <w:rsid w:val="006A3D61"/>
    <w:rsid w:val="006A480F"/>
    <w:rsid w:val="006A5ABE"/>
    <w:rsid w:val="006A6515"/>
    <w:rsid w:val="006A799A"/>
    <w:rsid w:val="006A7F1F"/>
    <w:rsid w:val="006B18A8"/>
    <w:rsid w:val="006B2E01"/>
    <w:rsid w:val="006B4072"/>
    <w:rsid w:val="006B45F2"/>
    <w:rsid w:val="006B6206"/>
    <w:rsid w:val="006B6DB7"/>
    <w:rsid w:val="006B7B6F"/>
    <w:rsid w:val="006B7E68"/>
    <w:rsid w:val="006C0297"/>
    <w:rsid w:val="006C1F30"/>
    <w:rsid w:val="006C38BC"/>
    <w:rsid w:val="006C475D"/>
    <w:rsid w:val="006C5226"/>
    <w:rsid w:val="006C5861"/>
    <w:rsid w:val="006C6243"/>
    <w:rsid w:val="006C653E"/>
    <w:rsid w:val="006C70E7"/>
    <w:rsid w:val="006C72B1"/>
    <w:rsid w:val="006D0FAF"/>
    <w:rsid w:val="006D1474"/>
    <w:rsid w:val="006D1AEF"/>
    <w:rsid w:val="006D3423"/>
    <w:rsid w:val="006D768E"/>
    <w:rsid w:val="006D78E4"/>
    <w:rsid w:val="006D7B20"/>
    <w:rsid w:val="006E01ED"/>
    <w:rsid w:val="006E06AE"/>
    <w:rsid w:val="006E151A"/>
    <w:rsid w:val="006E1587"/>
    <w:rsid w:val="006E23C6"/>
    <w:rsid w:val="006E2B9F"/>
    <w:rsid w:val="006E2C00"/>
    <w:rsid w:val="006E2F60"/>
    <w:rsid w:val="006E40B9"/>
    <w:rsid w:val="006E4195"/>
    <w:rsid w:val="006E44FC"/>
    <w:rsid w:val="006E4CC4"/>
    <w:rsid w:val="006E4E2F"/>
    <w:rsid w:val="006E4EFD"/>
    <w:rsid w:val="006E5BFA"/>
    <w:rsid w:val="006E7914"/>
    <w:rsid w:val="006F05D8"/>
    <w:rsid w:val="006F13E6"/>
    <w:rsid w:val="006F1898"/>
    <w:rsid w:val="006F233C"/>
    <w:rsid w:val="006F28D2"/>
    <w:rsid w:val="006F29BC"/>
    <w:rsid w:val="006F381E"/>
    <w:rsid w:val="006F564D"/>
    <w:rsid w:val="006F609D"/>
    <w:rsid w:val="006F66BD"/>
    <w:rsid w:val="006F706B"/>
    <w:rsid w:val="007011C1"/>
    <w:rsid w:val="00701AC1"/>
    <w:rsid w:val="007020CB"/>
    <w:rsid w:val="007059AA"/>
    <w:rsid w:val="00706FE4"/>
    <w:rsid w:val="007115BA"/>
    <w:rsid w:val="00713858"/>
    <w:rsid w:val="00713BFE"/>
    <w:rsid w:val="00714A23"/>
    <w:rsid w:val="00721DEA"/>
    <w:rsid w:val="00723CB6"/>
    <w:rsid w:val="007240A5"/>
    <w:rsid w:val="00725326"/>
    <w:rsid w:val="007254DB"/>
    <w:rsid w:val="007263AE"/>
    <w:rsid w:val="00726AB6"/>
    <w:rsid w:val="00727B98"/>
    <w:rsid w:val="007324ED"/>
    <w:rsid w:val="00732DAA"/>
    <w:rsid w:val="0073359E"/>
    <w:rsid w:val="00733D05"/>
    <w:rsid w:val="007342C7"/>
    <w:rsid w:val="00734DDA"/>
    <w:rsid w:val="007350FA"/>
    <w:rsid w:val="00736454"/>
    <w:rsid w:val="00737375"/>
    <w:rsid w:val="007375B8"/>
    <w:rsid w:val="00740351"/>
    <w:rsid w:val="0074104B"/>
    <w:rsid w:val="0074229E"/>
    <w:rsid w:val="007434DB"/>
    <w:rsid w:val="00743549"/>
    <w:rsid w:val="00744D7E"/>
    <w:rsid w:val="00744EA4"/>
    <w:rsid w:val="007452FA"/>
    <w:rsid w:val="00746B89"/>
    <w:rsid w:val="00746FDD"/>
    <w:rsid w:val="00747822"/>
    <w:rsid w:val="0075080D"/>
    <w:rsid w:val="00750AA9"/>
    <w:rsid w:val="00750EA9"/>
    <w:rsid w:val="00750FD8"/>
    <w:rsid w:val="00751521"/>
    <w:rsid w:val="0075187B"/>
    <w:rsid w:val="00751B11"/>
    <w:rsid w:val="00751C66"/>
    <w:rsid w:val="00752350"/>
    <w:rsid w:val="00752668"/>
    <w:rsid w:val="00753BA8"/>
    <w:rsid w:val="00753EBC"/>
    <w:rsid w:val="0075492B"/>
    <w:rsid w:val="00754A18"/>
    <w:rsid w:val="00754B31"/>
    <w:rsid w:val="007564EA"/>
    <w:rsid w:val="00757074"/>
    <w:rsid w:val="007574BE"/>
    <w:rsid w:val="00757DE6"/>
    <w:rsid w:val="00761F17"/>
    <w:rsid w:val="00763320"/>
    <w:rsid w:val="007636DB"/>
    <w:rsid w:val="0076437C"/>
    <w:rsid w:val="00766616"/>
    <w:rsid w:val="00771259"/>
    <w:rsid w:val="0077150C"/>
    <w:rsid w:val="00771A03"/>
    <w:rsid w:val="0077233D"/>
    <w:rsid w:val="007723C9"/>
    <w:rsid w:val="00772987"/>
    <w:rsid w:val="00773F61"/>
    <w:rsid w:val="00774F65"/>
    <w:rsid w:val="007751F5"/>
    <w:rsid w:val="00775DA7"/>
    <w:rsid w:val="00776BAA"/>
    <w:rsid w:val="00776EE7"/>
    <w:rsid w:val="00780C72"/>
    <w:rsid w:val="007811FE"/>
    <w:rsid w:val="00781490"/>
    <w:rsid w:val="007822D4"/>
    <w:rsid w:val="0078440F"/>
    <w:rsid w:val="00787046"/>
    <w:rsid w:val="00787DCF"/>
    <w:rsid w:val="007900F2"/>
    <w:rsid w:val="00790BE6"/>
    <w:rsid w:val="0079102B"/>
    <w:rsid w:val="00791BC9"/>
    <w:rsid w:val="00792C3A"/>
    <w:rsid w:val="00794138"/>
    <w:rsid w:val="007944E6"/>
    <w:rsid w:val="007947D0"/>
    <w:rsid w:val="007953DD"/>
    <w:rsid w:val="00795837"/>
    <w:rsid w:val="0079759A"/>
    <w:rsid w:val="007A1387"/>
    <w:rsid w:val="007A19E3"/>
    <w:rsid w:val="007A1A94"/>
    <w:rsid w:val="007A20AE"/>
    <w:rsid w:val="007A2309"/>
    <w:rsid w:val="007A4A23"/>
    <w:rsid w:val="007A5B3D"/>
    <w:rsid w:val="007A6988"/>
    <w:rsid w:val="007B07DE"/>
    <w:rsid w:val="007B0992"/>
    <w:rsid w:val="007B1066"/>
    <w:rsid w:val="007B1A37"/>
    <w:rsid w:val="007B6092"/>
    <w:rsid w:val="007C0511"/>
    <w:rsid w:val="007C089F"/>
    <w:rsid w:val="007C1E9C"/>
    <w:rsid w:val="007C56E8"/>
    <w:rsid w:val="007C591A"/>
    <w:rsid w:val="007C5C33"/>
    <w:rsid w:val="007C7DD2"/>
    <w:rsid w:val="007D07DD"/>
    <w:rsid w:val="007D101C"/>
    <w:rsid w:val="007D2721"/>
    <w:rsid w:val="007D2B0C"/>
    <w:rsid w:val="007D5911"/>
    <w:rsid w:val="007D6210"/>
    <w:rsid w:val="007E0BE8"/>
    <w:rsid w:val="007E124E"/>
    <w:rsid w:val="007E15DB"/>
    <w:rsid w:val="007E1933"/>
    <w:rsid w:val="007E1C1A"/>
    <w:rsid w:val="007E22E2"/>
    <w:rsid w:val="007E4F13"/>
    <w:rsid w:val="007E4F79"/>
    <w:rsid w:val="007F027B"/>
    <w:rsid w:val="007F154E"/>
    <w:rsid w:val="007F65BD"/>
    <w:rsid w:val="007F69AD"/>
    <w:rsid w:val="007F6F92"/>
    <w:rsid w:val="007F79BA"/>
    <w:rsid w:val="007F7FAF"/>
    <w:rsid w:val="008013F4"/>
    <w:rsid w:val="00802618"/>
    <w:rsid w:val="008031CA"/>
    <w:rsid w:val="00803B8F"/>
    <w:rsid w:val="00803C3F"/>
    <w:rsid w:val="00806585"/>
    <w:rsid w:val="00806B6E"/>
    <w:rsid w:val="00807B26"/>
    <w:rsid w:val="0081039E"/>
    <w:rsid w:val="0081064C"/>
    <w:rsid w:val="00811243"/>
    <w:rsid w:val="0081142A"/>
    <w:rsid w:val="0081176B"/>
    <w:rsid w:val="00812E0C"/>
    <w:rsid w:val="00813404"/>
    <w:rsid w:val="008145F5"/>
    <w:rsid w:val="0081529F"/>
    <w:rsid w:val="00815C8E"/>
    <w:rsid w:val="008178A6"/>
    <w:rsid w:val="0082059B"/>
    <w:rsid w:val="00820868"/>
    <w:rsid w:val="008211E7"/>
    <w:rsid w:val="00822DC5"/>
    <w:rsid w:val="00823A59"/>
    <w:rsid w:val="00823DDC"/>
    <w:rsid w:val="008273DC"/>
    <w:rsid w:val="008316B7"/>
    <w:rsid w:val="00833F6B"/>
    <w:rsid w:val="00834733"/>
    <w:rsid w:val="0083779C"/>
    <w:rsid w:val="008379BD"/>
    <w:rsid w:val="00841BF3"/>
    <w:rsid w:val="00841D9F"/>
    <w:rsid w:val="00841F16"/>
    <w:rsid w:val="008423BC"/>
    <w:rsid w:val="00842E07"/>
    <w:rsid w:val="00843442"/>
    <w:rsid w:val="00844F2A"/>
    <w:rsid w:val="008456D5"/>
    <w:rsid w:val="00845CA2"/>
    <w:rsid w:val="00845FD3"/>
    <w:rsid w:val="00846371"/>
    <w:rsid w:val="008473DB"/>
    <w:rsid w:val="008515FB"/>
    <w:rsid w:val="008524D7"/>
    <w:rsid w:val="00854016"/>
    <w:rsid w:val="00856246"/>
    <w:rsid w:val="00861366"/>
    <w:rsid w:val="0086235B"/>
    <w:rsid w:val="00862D91"/>
    <w:rsid w:val="008631EF"/>
    <w:rsid w:val="0086329A"/>
    <w:rsid w:val="00863351"/>
    <w:rsid w:val="0086369E"/>
    <w:rsid w:val="008637A9"/>
    <w:rsid w:val="0086406C"/>
    <w:rsid w:val="00864776"/>
    <w:rsid w:val="0086700C"/>
    <w:rsid w:val="00871B10"/>
    <w:rsid w:val="0087231D"/>
    <w:rsid w:val="0087264D"/>
    <w:rsid w:val="00872E1C"/>
    <w:rsid w:val="00874BD0"/>
    <w:rsid w:val="00874CBF"/>
    <w:rsid w:val="00875E1A"/>
    <w:rsid w:val="00875FF0"/>
    <w:rsid w:val="0087684F"/>
    <w:rsid w:val="00876FDA"/>
    <w:rsid w:val="008803E2"/>
    <w:rsid w:val="00881908"/>
    <w:rsid w:val="00882A5E"/>
    <w:rsid w:val="00883E52"/>
    <w:rsid w:val="00891173"/>
    <w:rsid w:val="00893D5F"/>
    <w:rsid w:val="008944E8"/>
    <w:rsid w:val="0089483E"/>
    <w:rsid w:val="008949F5"/>
    <w:rsid w:val="00894EAB"/>
    <w:rsid w:val="008950BE"/>
    <w:rsid w:val="008963CC"/>
    <w:rsid w:val="008975CF"/>
    <w:rsid w:val="008A0568"/>
    <w:rsid w:val="008A1CA3"/>
    <w:rsid w:val="008A1E52"/>
    <w:rsid w:val="008A2154"/>
    <w:rsid w:val="008A2544"/>
    <w:rsid w:val="008A2ED9"/>
    <w:rsid w:val="008A5715"/>
    <w:rsid w:val="008A61B6"/>
    <w:rsid w:val="008A7976"/>
    <w:rsid w:val="008B160D"/>
    <w:rsid w:val="008B1731"/>
    <w:rsid w:val="008B1B06"/>
    <w:rsid w:val="008B23B1"/>
    <w:rsid w:val="008B2F91"/>
    <w:rsid w:val="008B4926"/>
    <w:rsid w:val="008B5B85"/>
    <w:rsid w:val="008B77E1"/>
    <w:rsid w:val="008C0932"/>
    <w:rsid w:val="008C0DF4"/>
    <w:rsid w:val="008C12AC"/>
    <w:rsid w:val="008C2145"/>
    <w:rsid w:val="008C225E"/>
    <w:rsid w:val="008C25A7"/>
    <w:rsid w:val="008C26DC"/>
    <w:rsid w:val="008C2A00"/>
    <w:rsid w:val="008C6B96"/>
    <w:rsid w:val="008C6D35"/>
    <w:rsid w:val="008C727A"/>
    <w:rsid w:val="008C75DB"/>
    <w:rsid w:val="008C7B4E"/>
    <w:rsid w:val="008C7E37"/>
    <w:rsid w:val="008D2574"/>
    <w:rsid w:val="008D25AA"/>
    <w:rsid w:val="008D273A"/>
    <w:rsid w:val="008D2DEE"/>
    <w:rsid w:val="008D3464"/>
    <w:rsid w:val="008D3AD6"/>
    <w:rsid w:val="008D7D85"/>
    <w:rsid w:val="008E0015"/>
    <w:rsid w:val="008E1107"/>
    <w:rsid w:val="008E3499"/>
    <w:rsid w:val="008E3A08"/>
    <w:rsid w:val="008E3DA1"/>
    <w:rsid w:val="008E4408"/>
    <w:rsid w:val="008E4DD9"/>
    <w:rsid w:val="008E574F"/>
    <w:rsid w:val="008E6788"/>
    <w:rsid w:val="008E703D"/>
    <w:rsid w:val="008F08A8"/>
    <w:rsid w:val="008F2BE4"/>
    <w:rsid w:val="008F2DB1"/>
    <w:rsid w:val="008F5DA2"/>
    <w:rsid w:val="008F6483"/>
    <w:rsid w:val="008F70EC"/>
    <w:rsid w:val="008F74E3"/>
    <w:rsid w:val="00900287"/>
    <w:rsid w:val="009009BD"/>
    <w:rsid w:val="009013D8"/>
    <w:rsid w:val="0090236B"/>
    <w:rsid w:val="00902AE0"/>
    <w:rsid w:val="0090362A"/>
    <w:rsid w:val="00904257"/>
    <w:rsid w:val="0090447B"/>
    <w:rsid w:val="00905060"/>
    <w:rsid w:val="0090672E"/>
    <w:rsid w:val="00906D46"/>
    <w:rsid w:val="00906E68"/>
    <w:rsid w:val="00907D5D"/>
    <w:rsid w:val="00912942"/>
    <w:rsid w:val="00915922"/>
    <w:rsid w:val="0091594F"/>
    <w:rsid w:val="00915FCE"/>
    <w:rsid w:val="009165D7"/>
    <w:rsid w:val="0091729F"/>
    <w:rsid w:val="00920546"/>
    <w:rsid w:val="009212EA"/>
    <w:rsid w:val="00921353"/>
    <w:rsid w:val="00922C44"/>
    <w:rsid w:val="00924132"/>
    <w:rsid w:val="00924C7A"/>
    <w:rsid w:val="00925F12"/>
    <w:rsid w:val="00926479"/>
    <w:rsid w:val="0092684A"/>
    <w:rsid w:val="00926B1D"/>
    <w:rsid w:val="00927C10"/>
    <w:rsid w:val="00930DFB"/>
    <w:rsid w:val="00931F94"/>
    <w:rsid w:val="009323E5"/>
    <w:rsid w:val="0093259A"/>
    <w:rsid w:val="00932AB4"/>
    <w:rsid w:val="00932DDA"/>
    <w:rsid w:val="00933502"/>
    <w:rsid w:val="00933E73"/>
    <w:rsid w:val="00934EE3"/>
    <w:rsid w:val="0093582C"/>
    <w:rsid w:val="0094086B"/>
    <w:rsid w:val="0094127B"/>
    <w:rsid w:val="00943659"/>
    <w:rsid w:val="00943AFD"/>
    <w:rsid w:val="0094442C"/>
    <w:rsid w:val="00944435"/>
    <w:rsid w:val="0094449E"/>
    <w:rsid w:val="0094495C"/>
    <w:rsid w:val="00945F96"/>
    <w:rsid w:val="009478E8"/>
    <w:rsid w:val="0095035C"/>
    <w:rsid w:val="0095177B"/>
    <w:rsid w:val="009517F3"/>
    <w:rsid w:val="00951B65"/>
    <w:rsid w:val="00952354"/>
    <w:rsid w:val="00954E1F"/>
    <w:rsid w:val="009554DA"/>
    <w:rsid w:val="00960DB8"/>
    <w:rsid w:val="00962B0E"/>
    <w:rsid w:val="0096420A"/>
    <w:rsid w:val="0096460A"/>
    <w:rsid w:val="00965927"/>
    <w:rsid w:val="009662D9"/>
    <w:rsid w:val="00967747"/>
    <w:rsid w:val="00967D42"/>
    <w:rsid w:val="00967FE1"/>
    <w:rsid w:val="00970C9F"/>
    <w:rsid w:val="00971A1E"/>
    <w:rsid w:val="00971E28"/>
    <w:rsid w:val="00971F82"/>
    <w:rsid w:val="00972AFC"/>
    <w:rsid w:val="00972EB8"/>
    <w:rsid w:val="00977C99"/>
    <w:rsid w:val="0098034E"/>
    <w:rsid w:val="00983651"/>
    <w:rsid w:val="00983F79"/>
    <w:rsid w:val="0098435E"/>
    <w:rsid w:val="0099147A"/>
    <w:rsid w:val="00992317"/>
    <w:rsid w:val="00992668"/>
    <w:rsid w:val="00993B1E"/>
    <w:rsid w:val="009951FE"/>
    <w:rsid w:val="00996709"/>
    <w:rsid w:val="009972E2"/>
    <w:rsid w:val="009A0726"/>
    <w:rsid w:val="009A31CF"/>
    <w:rsid w:val="009A3745"/>
    <w:rsid w:val="009A3E3B"/>
    <w:rsid w:val="009A4FD0"/>
    <w:rsid w:val="009A679C"/>
    <w:rsid w:val="009B1063"/>
    <w:rsid w:val="009B2CA2"/>
    <w:rsid w:val="009B2ECF"/>
    <w:rsid w:val="009B424D"/>
    <w:rsid w:val="009B4BE5"/>
    <w:rsid w:val="009B5293"/>
    <w:rsid w:val="009B59F0"/>
    <w:rsid w:val="009B6640"/>
    <w:rsid w:val="009B683C"/>
    <w:rsid w:val="009B7224"/>
    <w:rsid w:val="009B7B76"/>
    <w:rsid w:val="009C0B3E"/>
    <w:rsid w:val="009C1140"/>
    <w:rsid w:val="009C1228"/>
    <w:rsid w:val="009C286C"/>
    <w:rsid w:val="009C3620"/>
    <w:rsid w:val="009C597D"/>
    <w:rsid w:val="009C5F8C"/>
    <w:rsid w:val="009C72A7"/>
    <w:rsid w:val="009D1DA1"/>
    <w:rsid w:val="009D219D"/>
    <w:rsid w:val="009D2602"/>
    <w:rsid w:val="009D2608"/>
    <w:rsid w:val="009D354B"/>
    <w:rsid w:val="009D50EB"/>
    <w:rsid w:val="009D5ACF"/>
    <w:rsid w:val="009D772D"/>
    <w:rsid w:val="009D7971"/>
    <w:rsid w:val="009E0787"/>
    <w:rsid w:val="009E09A8"/>
    <w:rsid w:val="009E0B06"/>
    <w:rsid w:val="009E0EA8"/>
    <w:rsid w:val="009E0F26"/>
    <w:rsid w:val="009E1EC1"/>
    <w:rsid w:val="009E3F63"/>
    <w:rsid w:val="009E47F7"/>
    <w:rsid w:val="009E574C"/>
    <w:rsid w:val="009E5DBF"/>
    <w:rsid w:val="009E63BD"/>
    <w:rsid w:val="009E6BE2"/>
    <w:rsid w:val="009E7348"/>
    <w:rsid w:val="009E7BC7"/>
    <w:rsid w:val="009F4753"/>
    <w:rsid w:val="009F4FC3"/>
    <w:rsid w:val="009F5BCB"/>
    <w:rsid w:val="009F6B39"/>
    <w:rsid w:val="009F7C1B"/>
    <w:rsid w:val="00A011EC"/>
    <w:rsid w:val="00A01E5E"/>
    <w:rsid w:val="00A021C1"/>
    <w:rsid w:val="00A03D7B"/>
    <w:rsid w:val="00A04C6A"/>
    <w:rsid w:val="00A0537D"/>
    <w:rsid w:val="00A100DC"/>
    <w:rsid w:val="00A1021D"/>
    <w:rsid w:val="00A102F7"/>
    <w:rsid w:val="00A10423"/>
    <w:rsid w:val="00A106E4"/>
    <w:rsid w:val="00A12250"/>
    <w:rsid w:val="00A13912"/>
    <w:rsid w:val="00A14708"/>
    <w:rsid w:val="00A164CC"/>
    <w:rsid w:val="00A167E3"/>
    <w:rsid w:val="00A17760"/>
    <w:rsid w:val="00A21793"/>
    <w:rsid w:val="00A2187D"/>
    <w:rsid w:val="00A221E1"/>
    <w:rsid w:val="00A227DB"/>
    <w:rsid w:val="00A23431"/>
    <w:rsid w:val="00A243D1"/>
    <w:rsid w:val="00A24BB9"/>
    <w:rsid w:val="00A24E62"/>
    <w:rsid w:val="00A252CC"/>
    <w:rsid w:val="00A254C2"/>
    <w:rsid w:val="00A2755A"/>
    <w:rsid w:val="00A30BE7"/>
    <w:rsid w:val="00A32277"/>
    <w:rsid w:val="00A33402"/>
    <w:rsid w:val="00A3357D"/>
    <w:rsid w:val="00A33851"/>
    <w:rsid w:val="00A3467D"/>
    <w:rsid w:val="00A34C01"/>
    <w:rsid w:val="00A41EB5"/>
    <w:rsid w:val="00A44BE0"/>
    <w:rsid w:val="00A46BE7"/>
    <w:rsid w:val="00A46D3F"/>
    <w:rsid w:val="00A50A07"/>
    <w:rsid w:val="00A514B1"/>
    <w:rsid w:val="00A518FA"/>
    <w:rsid w:val="00A53A7A"/>
    <w:rsid w:val="00A54214"/>
    <w:rsid w:val="00A54382"/>
    <w:rsid w:val="00A550C1"/>
    <w:rsid w:val="00A55434"/>
    <w:rsid w:val="00A55E58"/>
    <w:rsid w:val="00A56406"/>
    <w:rsid w:val="00A57DF5"/>
    <w:rsid w:val="00A618BC"/>
    <w:rsid w:val="00A61A94"/>
    <w:rsid w:val="00A62A93"/>
    <w:rsid w:val="00A6378B"/>
    <w:rsid w:val="00A65E99"/>
    <w:rsid w:val="00A66154"/>
    <w:rsid w:val="00A66937"/>
    <w:rsid w:val="00A70639"/>
    <w:rsid w:val="00A70718"/>
    <w:rsid w:val="00A71861"/>
    <w:rsid w:val="00A71942"/>
    <w:rsid w:val="00A72757"/>
    <w:rsid w:val="00A72F6A"/>
    <w:rsid w:val="00A73F3E"/>
    <w:rsid w:val="00A7468B"/>
    <w:rsid w:val="00A74FCB"/>
    <w:rsid w:val="00A75FCE"/>
    <w:rsid w:val="00A761E6"/>
    <w:rsid w:val="00A763CC"/>
    <w:rsid w:val="00A76738"/>
    <w:rsid w:val="00A76C5B"/>
    <w:rsid w:val="00A824E2"/>
    <w:rsid w:val="00A8436B"/>
    <w:rsid w:val="00A8582B"/>
    <w:rsid w:val="00A85D1D"/>
    <w:rsid w:val="00A865F9"/>
    <w:rsid w:val="00A86CAF"/>
    <w:rsid w:val="00A86DA7"/>
    <w:rsid w:val="00A874FA"/>
    <w:rsid w:val="00A90803"/>
    <w:rsid w:val="00A90C45"/>
    <w:rsid w:val="00A91F60"/>
    <w:rsid w:val="00A927EC"/>
    <w:rsid w:val="00A93E31"/>
    <w:rsid w:val="00A95611"/>
    <w:rsid w:val="00A96965"/>
    <w:rsid w:val="00A96B10"/>
    <w:rsid w:val="00A97B85"/>
    <w:rsid w:val="00AA036E"/>
    <w:rsid w:val="00AA23F3"/>
    <w:rsid w:val="00AA4A8A"/>
    <w:rsid w:val="00AA5331"/>
    <w:rsid w:val="00AA5A06"/>
    <w:rsid w:val="00AA69CA"/>
    <w:rsid w:val="00AA6B9F"/>
    <w:rsid w:val="00AA6DAC"/>
    <w:rsid w:val="00AB0246"/>
    <w:rsid w:val="00AB406D"/>
    <w:rsid w:val="00AB4E5A"/>
    <w:rsid w:val="00AB567D"/>
    <w:rsid w:val="00AB5D2C"/>
    <w:rsid w:val="00AB5EE4"/>
    <w:rsid w:val="00AB689B"/>
    <w:rsid w:val="00AC199E"/>
    <w:rsid w:val="00AC1B14"/>
    <w:rsid w:val="00AC1E40"/>
    <w:rsid w:val="00AC324D"/>
    <w:rsid w:val="00AC4262"/>
    <w:rsid w:val="00AC4269"/>
    <w:rsid w:val="00AC4967"/>
    <w:rsid w:val="00AC4EA4"/>
    <w:rsid w:val="00AC5086"/>
    <w:rsid w:val="00AC5566"/>
    <w:rsid w:val="00AD03A0"/>
    <w:rsid w:val="00AD135D"/>
    <w:rsid w:val="00AD1A3C"/>
    <w:rsid w:val="00AD1F8E"/>
    <w:rsid w:val="00AD3283"/>
    <w:rsid w:val="00AD73FB"/>
    <w:rsid w:val="00AD75B6"/>
    <w:rsid w:val="00AD7AA4"/>
    <w:rsid w:val="00AE0051"/>
    <w:rsid w:val="00AE1FA2"/>
    <w:rsid w:val="00AE3BE2"/>
    <w:rsid w:val="00AE3F8C"/>
    <w:rsid w:val="00AE4149"/>
    <w:rsid w:val="00AE42FF"/>
    <w:rsid w:val="00AE48FE"/>
    <w:rsid w:val="00AE6C97"/>
    <w:rsid w:val="00AE7022"/>
    <w:rsid w:val="00AE7737"/>
    <w:rsid w:val="00AE7E5E"/>
    <w:rsid w:val="00AF3C6C"/>
    <w:rsid w:val="00AF4B9C"/>
    <w:rsid w:val="00AF5DB1"/>
    <w:rsid w:val="00AF6426"/>
    <w:rsid w:val="00AF714D"/>
    <w:rsid w:val="00B01768"/>
    <w:rsid w:val="00B01D5C"/>
    <w:rsid w:val="00B0254B"/>
    <w:rsid w:val="00B02877"/>
    <w:rsid w:val="00B0299C"/>
    <w:rsid w:val="00B02CAE"/>
    <w:rsid w:val="00B035E5"/>
    <w:rsid w:val="00B03709"/>
    <w:rsid w:val="00B037B3"/>
    <w:rsid w:val="00B038C4"/>
    <w:rsid w:val="00B03C0C"/>
    <w:rsid w:val="00B04CBD"/>
    <w:rsid w:val="00B0551E"/>
    <w:rsid w:val="00B05C38"/>
    <w:rsid w:val="00B05F1A"/>
    <w:rsid w:val="00B060F5"/>
    <w:rsid w:val="00B06BE9"/>
    <w:rsid w:val="00B0715E"/>
    <w:rsid w:val="00B073E6"/>
    <w:rsid w:val="00B07AF0"/>
    <w:rsid w:val="00B11659"/>
    <w:rsid w:val="00B12693"/>
    <w:rsid w:val="00B13568"/>
    <w:rsid w:val="00B146CC"/>
    <w:rsid w:val="00B157C4"/>
    <w:rsid w:val="00B16B41"/>
    <w:rsid w:val="00B170D7"/>
    <w:rsid w:val="00B22033"/>
    <w:rsid w:val="00B220F6"/>
    <w:rsid w:val="00B23B61"/>
    <w:rsid w:val="00B25722"/>
    <w:rsid w:val="00B30010"/>
    <w:rsid w:val="00B30EFE"/>
    <w:rsid w:val="00B30F1F"/>
    <w:rsid w:val="00B31F23"/>
    <w:rsid w:val="00B335EC"/>
    <w:rsid w:val="00B37BBB"/>
    <w:rsid w:val="00B408E3"/>
    <w:rsid w:val="00B40DDB"/>
    <w:rsid w:val="00B42007"/>
    <w:rsid w:val="00B47174"/>
    <w:rsid w:val="00B473EF"/>
    <w:rsid w:val="00B4796B"/>
    <w:rsid w:val="00B52619"/>
    <w:rsid w:val="00B52E3C"/>
    <w:rsid w:val="00B548F9"/>
    <w:rsid w:val="00B54BCE"/>
    <w:rsid w:val="00B55BCC"/>
    <w:rsid w:val="00B56159"/>
    <w:rsid w:val="00B56BCE"/>
    <w:rsid w:val="00B56D1E"/>
    <w:rsid w:val="00B5743A"/>
    <w:rsid w:val="00B60540"/>
    <w:rsid w:val="00B610FE"/>
    <w:rsid w:val="00B6475D"/>
    <w:rsid w:val="00B65AE6"/>
    <w:rsid w:val="00B664BE"/>
    <w:rsid w:val="00B66850"/>
    <w:rsid w:val="00B66F24"/>
    <w:rsid w:val="00B71073"/>
    <w:rsid w:val="00B73779"/>
    <w:rsid w:val="00B737D2"/>
    <w:rsid w:val="00B743BB"/>
    <w:rsid w:val="00B743C0"/>
    <w:rsid w:val="00B74FA9"/>
    <w:rsid w:val="00B762BB"/>
    <w:rsid w:val="00B77999"/>
    <w:rsid w:val="00B77E7F"/>
    <w:rsid w:val="00B815C1"/>
    <w:rsid w:val="00B828F2"/>
    <w:rsid w:val="00B829AF"/>
    <w:rsid w:val="00B83748"/>
    <w:rsid w:val="00B8505F"/>
    <w:rsid w:val="00B857B0"/>
    <w:rsid w:val="00B87CCA"/>
    <w:rsid w:val="00B903FF"/>
    <w:rsid w:val="00B911A8"/>
    <w:rsid w:val="00B9181B"/>
    <w:rsid w:val="00B92248"/>
    <w:rsid w:val="00B92B20"/>
    <w:rsid w:val="00B937E9"/>
    <w:rsid w:val="00B93D32"/>
    <w:rsid w:val="00B94B2B"/>
    <w:rsid w:val="00B95125"/>
    <w:rsid w:val="00B95ADA"/>
    <w:rsid w:val="00B96DA6"/>
    <w:rsid w:val="00B97A66"/>
    <w:rsid w:val="00BA0873"/>
    <w:rsid w:val="00BA2B01"/>
    <w:rsid w:val="00BA2BC8"/>
    <w:rsid w:val="00BA3939"/>
    <w:rsid w:val="00BA45D9"/>
    <w:rsid w:val="00BA5695"/>
    <w:rsid w:val="00BA5F20"/>
    <w:rsid w:val="00BA6094"/>
    <w:rsid w:val="00BA7F02"/>
    <w:rsid w:val="00BB3186"/>
    <w:rsid w:val="00BB55A2"/>
    <w:rsid w:val="00BB5E0E"/>
    <w:rsid w:val="00BB7092"/>
    <w:rsid w:val="00BB7237"/>
    <w:rsid w:val="00BB750B"/>
    <w:rsid w:val="00BC0380"/>
    <w:rsid w:val="00BC2A2A"/>
    <w:rsid w:val="00BC2B14"/>
    <w:rsid w:val="00BC4C78"/>
    <w:rsid w:val="00BC5826"/>
    <w:rsid w:val="00BC64E4"/>
    <w:rsid w:val="00BC6F65"/>
    <w:rsid w:val="00BC76CD"/>
    <w:rsid w:val="00BC7883"/>
    <w:rsid w:val="00BC7FAD"/>
    <w:rsid w:val="00BD0007"/>
    <w:rsid w:val="00BD12F3"/>
    <w:rsid w:val="00BD1410"/>
    <w:rsid w:val="00BD18B2"/>
    <w:rsid w:val="00BD1A21"/>
    <w:rsid w:val="00BD1D1C"/>
    <w:rsid w:val="00BD22FB"/>
    <w:rsid w:val="00BD2453"/>
    <w:rsid w:val="00BD2A7D"/>
    <w:rsid w:val="00BD2D3D"/>
    <w:rsid w:val="00BD3A2F"/>
    <w:rsid w:val="00BD554C"/>
    <w:rsid w:val="00BD7A45"/>
    <w:rsid w:val="00BD7F5E"/>
    <w:rsid w:val="00BE13F3"/>
    <w:rsid w:val="00BE2CE8"/>
    <w:rsid w:val="00BE3758"/>
    <w:rsid w:val="00BE3943"/>
    <w:rsid w:val="00BE47E1"/>
    <w:rsid w:val="00BE482A"/>
    <w:rsid w:val="00BE5829"/>
    <w:rsid w:val="00BE7466"/>
    <w:rsid w:val="00BF053F"/>
    <w:rsid w:val="00BF1BBF"/>
    <w:rsid w:val="00BF25F8"/>
    <w:rsid w:val="00BF2F43"/>
    <w:rsid w:val="00BF304A"/>
    <w:rsid w:val="00BF3199"/>
    <w:rsid w:val="00BF49E3"/>
    <w:rsid w:val="00BF4B9B"/>
    <w:rsid w:val="00BF5B16"/>
    <w:rsid w:val="00BF665E"/>
    <w:rsid w:val="00BF7D7D"/>
    <w:rsid w:val="00C01246"/>
    <w:rsid w:val="00C035AC"/>
    <w:rsid w:val="00C03A80"/>
    <w:rsid w:val="00C058CE"/>
    <w:rsid w:val="00C05E77"/>
    <w:rsid w:val="00C11CB7"/>
    <w:rsid w:val="00C1227D"/>
    <w:rsid w:val="00C12AA5"/>
    <w:rsid w:val="00C138CD"/>
    <w:rsid w:val="00C14B6A"/>
    <w:rsid w:val="00C14CA2"/>
    <w:rsid w:val="00C16390"/>
    <w:rsid w:val="00C17B5C"/>
    <w:rsid w:val="00C17CDC"/>
    <w:rsid w:val="00C2073A"/>
    <w:rsid w:val="00C214AE"/>
    <w:rsid w:val="00C21676"/>
    <w:rsid w:val="00C22441"/>
    <w:rsid w:val="00C24A2C"/>
    <w:rsid w:val="00C26634"/>
    <w:rsid w:val="00C26B00"/>
    <w:rsid w:val="00C27CA0"/>
    <w:rsid w:val="00C30E75"/>
    <w:rsid w:val="00C31166"/>
    <w:rsid w:val="00C330FB"/>
    <w:rsid w:val="00C332F2"/>
    <w:rsid w:val="00C34D57"/>
    <w:rsid w:val="00C362ED"/>
    <w:rsid w:val="00C3686F"/>
    <w:rsid w:val="00C36A94"/>
    <w:rsid w:val="00C37117"/>
    <w:rsid w:val="00C37979"/>
    <w:rsid w:val="00C37F4B"/>
    <w:rsid w:val="00C402C2"/>
    <w:rsid w:val="00C402EF"/>
    <w:rsid w:val="00C40CDD"/>
    <w:rsid w:val="00C41EC7"/>
    <w:rsid w:val="00C42908"/>
    <w:rsid w:val="00C42B64"/>
    <w:rsid w:val="00C4433F"/>
    <w:rsid w:val="00C44873"/>
    <w:rsid w:val="00C46D15"/>
    <w:rsid w:val="00C46FCF"/>
    <w:rsid w:val="00C47FB0"/>
    <w:rsid w:val="00C50C86"/>
    <w:rsid w:val="00C50E40"/>
    <w:rsid w:val="00C51804"/>
    <w:rsid w:val="00C54E8A"/>
    <w:rsid w:val="00C572C5"/>
    <w:rsid w:val="00C57753"/>
    <w:rsid w:val="00C57B9E"/>
    <w:rsid w:val="00C604C6"/>
    <w:rsid w:val="00C6363D"/>
    <w:rsid w:val="00C6520D"/>
    <w:rsid w:val="00C65545"/>
    <w:rsid w:val="00C661B5"/>
    <w:rsid w:val="00C66B1B"/>
    <w:rsid w:val="00C67554"/>
    <w:rsid w:val="00C67B96"/>
    <w:rsid w:val="00C71608"/>
    <w:rsid w:val="00C71CBF"/>
    <w:rsid w:val="00C75907"/>
    <w:rsid w:val="00C75BBB"/>
    <w:rsid w:val="00C764B5"/>
    <w:rsid w:val="00C81C35"/>
    <w:rsid w:val="00C81D66"/>
    <w:rsid w:val="00C8221C"/>
    <w:rsid w:val="00C826CB"/>
    <w:rsid w:val="00C9169F"/>
    <w:rsid w:val="00C920AF"/>
    <w:rsid w:val="00C93D43"/>
    <w:rsid w:val="00C9576A"/>
    <w:rsid w:val="00C9630E"/>
    <w:rsid w:val="00C9719F"/>
    <w:rsid w:val="00C971F9"/>
    <w:rsid w:val="00CA13D8"/>
    <w:rsid w:val="00CA15D2"/>
    <w:rsid w:val="00CA1662"/>
    <w:rsid w:val="00CA172B"/>
    <w:rsid w:val="00CA1BB7"/>
    <w:rsid w:val="00CA2AB2"/>
    <w:rsid w:val="00CA2B39"/>
    <w:rsid w:val="00CA39A0"/>
    <w:rsid w:val="00CA4308"/>
    <w:rsid w:val="00CA51B5"/>
    <w:rsid w:val="00CA6B08"/>
    <w:rsid w:val="00CA764E"/>
    <w:rsid w:val="00CA7D98"/>
    <w:rsid w:val="00CB203D"/>
    <w:rsid w:val="00CB2525"/>
    <w:rsid w:val="00CB2D5D"/>
    <w:rsid w:val="00CB2D74"/>
    <w:rsid w:val="00CB490B"/>
    <w:rsid w:val="00CB4A8E"/>
    <w:rsid w:val="00CB4AAD"/>
    <w:rsid w:val="00CB5FD8"/>
    <w:rsid w:val="00CB630B"/>
    <w:rsid w:val="00CB65F7"/>
    <w:rsid w:val="00CB6C29"/>
    <w:rsid w:val="00CC04E2"/>
    <w:rsid w:val="00CC0E6A"/>
    <w:rsid w:val="00CC230D"/>
    <w:rsid w:val="00CC39CA"/>
    <w:rsid w:val="00CC3CC2"/>
    <w:rsid w:val="00CC55D9"/>
    <w:rsid w:val="00CC5F9E"/>
    <w:rsid w:val="00CC640C"/>
    <w:rsid w:val="00CC7943"/>
    <w:rsid w:val="00CC7DD3"/>
    <w:rsid w:val="00CD1846"/>
    <w:rsid w:val="00CD234A"/>
    <w:rsid w:val="00CD2C42"/>
    <w:rsid w:val="00CD2C88"/>
    <w:rsid w:val="00CD2E3B"/>
    <w:rsid w:val="00CD3F1F"/>
    <w:rsid w:val="00CD43B8"/>
    <w:rsid w:val="00CD4746"/>
    <w:rsid w:val="00CD68E5"/>
    <w:rsid w:val="00CE03DA"/>
    <w:rsid w:val="00CE0977"/>
    <w:rsid w:val="00CE0C18"/>
    <w:rsid w:val="00CE102D"/>
    <w:rsid w:val="00CE1EDA"/>
    <w:rsid w:val="00CE2392"/>
    <w:rsid w:val="00CE33C6"/>
    <w:rsid w:val="00CE39F9"/>
    <w:rsid w:val="00CE3DE7"/>
    <w:rsid w:val="00CE4196"/>
    <w:rsid w:val="00CE70F8"/>
    <w:rsid w:val="00CF0332"/>
    <w:rsid w:val="00CF1203"/>
    <w:rsid w:val="00CF1A51"/>
    <w:rsid w:val="00CF2078"/>
    <w:rsid w:val="00CF297E"/>
    <w:rsid w:val="00CF3043"/>
    <w:rsid w:val="00CF5314"/>
    <w:rsid w:val="00CF5B95"/>
    <w:rsid w:val="00CF5C3D"/>
    <w:rsid w:val="00CF5DFD"/>
    <w:rsid w:val="00CF6515"/>
    <w:rsid w:val="00CF7667"/>
    <w:rsid w:val="00CF7F82"/>
    <w:rsid w:val="00D005A2"/>
    <w:rsid w:val="00D00AC2"/>
    <w:rsid w:val="00D077F6"/>
    <w:rsid w:val="00D07B8C"/>
    <w:rsid w:val="00D07CF7"/>
    <w:rsid w:val="00D07F60"/>
    <w:rsid w:val="00D10781"/>
    <w:rsid w:val="00D10B90"/>
    <w:rsid w:val="00D10C80"/>
    <w:rsid w:val="00D12326"/>
    <w:rsid w:val="00D12D83"/>
    <w:rsid w:val="00D13927"/>
    <w:rsid w:val="00D13F7D"/>
    <w:rsid w:val="00D144A9"/>
    <w:rsid w:val="00D17B86"/>
    <w:rsid w:val="00D21341"/>
    <w:rsid w:val="00D239CA"/>
    <w:rsid w:val="00D23FFD"/>
    <w:rsid w:val="00D24A0E"/>
    <w:rsid w:val="00D267CD"/>
    <w:rsid w:val="00D26891"/>
    <w:rsid w:val="00D26D81"/>
    <w:rsid w:val="00D27231"/>
    <w:rsid w:val="00D32D47"/>
    <w:rsid w:val="00D336CD"/>
    <w:rsid w:val="00D34811"/>
    <w:rsid w:val="00D3717E"/>
    <w:rsid w:val="00D3751C"/>
    <w:rsid w:val="00D422AD"/>
    <w:rsid w:val="00D43AD0"/>
    <w:rsid w:val="00D4460B"/>
    <w:rsid w:val="00D45310"/>
    <w:rsid w:val="00D455F0"/>
    <w:rsid w:val="00D47032"/>
    <w:rsid w:val="00D47DA7"/>
    <w:rsid w:val="00D51747"/>
    <w:rsid w:val="00D532CF"/>
    <w:rsid w:val="00D53934"/>
    <w:rsid w:val="00D53C98"/>
    <w:rsid w:val="00D53EE7"/>
    <w:rsid w:val="00D543F0"/>
    <w:rsid w:val="00D54653"/>
    <w:rsid w:val="00D54EA1"/>
    <w:rsid w:val="00D54FAD"/>
    <w:rsid w:val="00D5785B"/>
    <w:rsid w:val="00D60CAC"/>
    <w:rsid w:val="00D60E47"/>
    <w:rsid w:val="00D61953"/>
    <w:rsid w:val="00D61BFE"/>
    <w:rsid w:val="00D6218D"/>
    <w:rsid w:val="00D6282B"/>
    <w:rsid w:val="00D62D74"/>
    <w:rsid w:val="00D63FC7"/>
    <w:rsid w:val="00D64341"/>
    <w:rsid w:val="00D66C53"/>
    <w:rsid w:val="00D66DD6"/>
    <w:rsid w:val="00D67950"/>
    <w:rsid w:val="00D70015"/>
    <w:rsid w:val="00D70799"/>
    <w:rsid w:val="00D713FD"/>
    <w:rsid w:val="00D71918"/>
    <w:rsid w:val="00D71C9F"/>
    <w:rsid w:val="00D720A6"/>
    <w:rsid w:val="00D72FCD"/>
    <w:rsid w:val="00D736A3"/>
    <w:rsid w:val="00D74A9C"/>
    <w:rsid w:val="00D766CA"/>
    <w:rsid w:val="00D76FCE"/>
    <w:rsid w:val="00D823B9"/>
    <w:rsid w:val="00D82609"/>
    <w:rsid w:val="00D82EB7"/>
    <w:rsid w:val="00D8476F"/>
    <w:rsid w:val="00D853C6"/>
    <w:rsid w:val="00D86CC6"/>
    <w:rsid w:val="00D86EAC"/>
    <w:rsid w:val="00D90359"/>
    <w:rsid w:val="00D9044A"/>
    <w:rsid w:val="00D9068D"/>
    <w:rsid w:val="00D9191B"/>
    <w:rsid w:val="00D91AE1"/>
    <w:rsid w:val="00D93C0A"/>
    <w:rsid w:val="00D949D9"/>
    <w:rsid w:val="00D95629"/>
    <w:rsid w:val="00D96013"/>
    <w:rsid w:val="00D964B2"/>
    <w:rsid w:val="00D97EC1"/>
    <w:rsid w:val="00DA0852"/>
    <w:rsid w:val="00DA4450"/>
    <w:rsid w:val="00DA68C7"/>
    <w:rsid w:val="00DA78A0"/>
    <w:rsid w:val="00DB24EF"/>
    <w:rsid w:val="00DB26D0"/>
    <w:rsid w:val="00DB3D73"/>
    <w:rsid w:val="00DB3F84"/>
    <w:rsid w:val="00DB6026"/>
    <w:rsid w:val="00DB6328"/>
    <w:rsid w:val="00DC105E"/>
    <w:rsid w:val="00DC1FFE"/>
    <w:rsid w:val="00DC4557"/>
    <w:rsid w:val="00DC5064"/>
    <w:rsid w:val="00DC603D"/>
    <w:rsid w:val="00DC6288"/>
    <w:rsid w:val="00DC7A13"/>
    <w:rsid w:val="00DD0758"/>
    <w:rsid w:val="00DD0E94"/>
    <w:rsid w:val="00DD14D5"/>
    <w:rsid w:val="00DD19E4"/>
    <w:rsid w:val="00DD30F4"/>
    <w:rsid w:val="00DD40B3"/>
    <w:rsid w:val="00DD434B"/>
    <w:rsid w:val="00DD4E47"/>
    <w:rsid w:val="00DD6785"/>
    <w:rsid w:val="00DD6A21"/>
    <w:rsid w:val="00DE189D"/>
    <w:rsid w:val="00DE2732"/>
    <w:rsid w:val="00DE3A49"/>
    <w:rsid w:val="00DE3CBD"/>
    <w:rsid w:val="00DE5AC7"/>
    <w:rsid w:val="00DE5F94"/>
    <w:rsid w:val="00DE6515"/>
    <w:rsid w:val="00DE6A18"/>
    <w:rsid w:val="00DF00EA"/>
    <w:rsid w:val="00DF1934"/>
    <w:rsid w:val="00DF51ED"/>
    <w:rsid w:val="00DF5F68"/>
    <w:rsid w:val="00DF7648"/>
    <w:rsid w:val="00DF78B4"/>
    <w:rsid w:val="00E00F42"/>
    <w:rsid w:val="00E016F7"/>
    <w:rsid w:val="00E01D14"/>
    <w:rsid w:val="00E02210"/>
    <w:rsid w:val="00E02968"/>
    <w:rsid w:val="00E02AFD"/>
    <w:rsid w:val="00E03AB1"/>
    <w:rsid w:val="00E0578B"/>
    <w:rsid w:val="00E058DD"/>
    <w:rsid w:val="00E05CFD"/>
    <w:rsid w:val="00E05F43"/>
    <w:rsid w:val="00E075B0"/>
    <w:rsid w:val="00E07C4B"/>
    <w:rsid w:val="00E07D72"/>
    <w:rsid w:val="00E07FC9"/>
    <w:rsid w:val="00E1038B"/>
    <w:rsid w:val="00E107DF"/>
    <w:rsid w:val="00E120B3"/>
    <w:rsid w:val="00E12916"/>
    <w:rsid w:val="00E130FA"/>
    <w:rsid w:val="00E13B87"/>
    <w:rsid w:val="00E14477"/>
    <w:rsid w:val="00E14B12"/>
    <w:rsid w:val="00E14C1E"/>
    <w:rsid w:val="00E15089"/>
    <w:rsid w:val="00E15BEB"/>
    <w:rsid w:val="00E16462"/>
    <w:rsid w:val="00E2076C"/>
    <w:rsid w:val="00E20A9B"/>
    <w:rsid w:val="00E21332"/>
    <w:rsid w:val="00E21612"/>
    <w:rsid w:val="00E2164F"/>
    <w:rsid w:val="00E21884"/>
    <w:rsid w:val="00E220EA"/>
    <w:rsid w:val="00E24D12"/>
    <w:rsid w:val="00E24DD4"/>
    <w:rsid w:val="00E26786"/>
    <w:rsid w:val="00E30749"/>
    <w:rsid w:val="00E30C61"/>
    <w:rsid w:val="00E316D9"/>
    <w:rsid w:val="00E31F75"/>
    <w:rsid w:val="00E3460D"/>
    <w:rsid w:val="00E34838"/>
    <w:rsid w:val="00E34BFC"/>
    <w:rsid w:val="00E37D96"/>
    <w:rsid w:val="00E37FDE"/>
    <w:rsid w:val="00E4006F"/>
    <w:rsid w:val="00E40543"/>
    <w:rsid w:val="00E40C30"/>
    <w:rsid w:val="00E40EF6"/>
    <w:rsid w:val="00E41350"/>
    <w:rsid w:val="00E42312"/>
    <w:rsid w:val="00E44174"/>
    <w:rsid w:val="00E46B44"/>
    <w:rsid w:val="00E504C8"/>
    <w:rsid w:val="00E52691"/>
    <w:rsid w:val="00E52BF3"/>
    <w:rsid w:val="00E5365C"/>
    <w:rsid w:val="00E53B63"/>
    <w:rsid w:val="00E5432A"/>
    <w:rsid w:val="00E54F37"/>
    <w:rsid w:val="00E56EC0"/>
    <w:rsid w:val="00E57A40"/>
    <w:rsid w:val="00E57F6F"/>
    <w:rsid w:val="00E601AC"/>
    <w:rsid w:val="00E6021C"/>
    <w:rsid w:val="00E604DA"/>
    <w:rsid w:val="00E62287"/>
    <w:rsid w:val="00E627E1"/>
    <w:rsid w:val="00E63423"/>
    <w:rsid w:val="00E639B7"/>
    <w:rsid w:val="00E64306"/>
    <w:rsid w:val="00E64945"/>
    <w:rsid w:val="00E65CAC"/>
    <w:rsid w:val="00E66105"/>
    <w:rsid w:val="00E66761"/>
    <w:rsid w:val="00E708FD"/>
    <w:rsid w:val="00E7104D"/>
    <w:rsid w:val="00E712D2"/>
    <w:rsid w:val="00E71962"/>
    <w:rsid w:val="00E72146"/>
    <w:rsid w:val="00E723E7"/>
    <w:rsid w:val="00E7364E"/>
    <w:rsid w:val="00E73803"/>
    <w:rsid w:val="00E73F37"/>
    <w:rsid w:val="00E75731"/>
    <w:rsid w:val="00E759C0"/>
    <w:rsid w:val="00E75CB2"/>
    <w:rsid w:val="00E768DC"/>
    <w:rsid w:val="00E7779C"/>
    <w:rsid w:val="00E819FF"/>
    <w:rsid w:val="00E825AC"/>
    <w:rsid w:val="00E8268B"/>
    <w:rsid w:val="00E830D8"/>
    <w:rsid w:val="00E83120"/>
    <w:rsid w:val="00E83471"/>
    <w:rsid w:val="00E8406D"/>
    <w:rsid w:val="00E84241"/>
    <w:rsid w:val="00E84DEA"/>
    <w:rsid w:val="00E871AA"/>
    <w:rsid w:val="00E872D0"/>
    <w:rsid w:val="00E87762"/>
    <w:rsid w:val="00E93A9F"/>
    <w:rsid w:val="00E94369"/>
    <w:rsid w:val="00E964E5"/>
    <w:rsid w:val="00E96583"/>
    <w:rsid w:val="00E968B0"/>
    <w:rsid w:val="00E97665"/>
    <w:rsid w:val="00EA0ECB"/>
    <w:rsid w:val="00EA1477"/>
    <w:rsid w:val="00EA444A"/>
    <w:rsid w:val="00EA4FF1"/>
    <w:rsid w:val="00EA5170"/>
    <w:rsid w:val="00EA542A"/>
    <w:rsid w:val="00EA5E8F"/>
    <w:rsid w:val="00EB103F"/>
    <w:rsid w:val="00EB1169"/>
    <w:rsid w:val="00EB14AD"/>
    <w:rsid w:val="00EB23B0"/>
    <w:rsid w:val="00EB35AC"/>
    <w:rsid w:val="00EB4269"/>
    <w:rsid w:val="00EB543C"/>
    <w:rsid w:val="00EB5652"/>
    <w:rsid w:val="00EB5DDF"/>
    <w:rsid w:val="00EB65A0"/>
    <w:rsid w:val="00EB7CC6"/>
    <w:rsid w:val="00EC0A19"/>
    <w:rsid w:val="00EC0CCF"/>
    <w:rsid w:val="00EC1B8C"/>
    <w:rsid w:val="00EC24C2"/>
    <w:rsid w:val="00EC3880"/>
    <w:rsid w:val="00EC47E5"/>
    <w:rsid w:val="00EC59F7"/>
    <w:rsid w:val="00ED0C7A"/>
    <w:rsid w:val="00ED15A7"/>
    <w:rsid w:val="00ED347A"/>
    <w:rsid w:val="00ED3B9C"/>
    <w:rsid w:val="00ED3E18"/>
    <w:rsid w:val="00ED3FB9"/>
    <w:rsid w:val="00ED4E37"/>
    <w:rsid w:val="00ED4F1B"/>
    <w:rsid w:val="00ED6318"/>
    <w:rsid w:val="00EE1033"/>
    <w:rsid w:val="00EE13D1"/>
    <w:rsid w:val="00EE1996"/>
    <w:rsid w:val="00EE3161"/>
    <w:rsid w:val="00EE50C0"/>
    <w:rsid w:val="00EE5341"/>
    <w:rsid w:val="00EE6911"/>
    <w:rsid w:val="00EF0311"/>
    <w:rsid w:val="00EF095A"/>
    <w:rsid w:val="00EF0EDD"/>
    <w:rsid w:val="00EF2305"/>
    <w:rsid w:val="00EF33CE"/>
    <w:rsid w:val="00EF3CC0"/>
    <w:rsid w:val="00EF5855"/>
    <w:rsid w:val="00EF6C92"/>
    <w:rsid w:val="00EF6D2A"/>
    <w:rsid w:val="00F00466"/>
    <w:rsid w:val="00F00AA5"/>
    <w:rsid w:val="00F02300"/>
    <w:rsid w:val="00F02CFB"/>
    <w:rsid w:val="00F033AC"/>
    <w:rsid w:val="00F05731"/>
    <w:rsid w:val="00F05D69"/>
    <w:rsid w:val="00F06B52"/>
    <w:rsid w:val="00F07F68"/>
    <w:rsid w:val="00F147E8"/>
    <w:rsid w:val="00F14BB1"/>
    <w:rsid w:val="00F14EB0"/>
    <w:rsid w:val="00F156B4"/>
    <w:rsid w:val="00F15DEE"/>
    <w:rsid w:val="00F15ED8"/>
    <w:rsid w:val="00F204CA"/>
    <w:rsid w:val="00F21229"/>
    <w:rsid w:val="00F218FE"/>
    <w:rsid w:val="00F23529"/>
    <w:rsid w:val="00F31A5B"/>
    <w:rsid w:val="00F3380E"/>
    <w:rsid w:val="00F34F6B"/>
    <w:rsid w:val="00F36527"/>
    <w:rsid w:val="00F3700C"/>
    <w:rsid w:val="00F375E9"/>
    <w:rsid w:val="00F407DF"/>
    <w:rsid w:val="00F40BC1"/>
    <w:rsid w:val="00F41851"/>
    <w:rsid w:val="00F4195C"/>
    <w:rsid w:val="00F42246"/>
    <w:rsid w:val="00F43055"/>
    <w:rsid w:val="00F43137"/>
    <w:rsid w:val="00F438AF"/>
    <w:rsid w:val="00F444F9"/>
    <w:rsid w:val="00F44E2C"/>
    <w:rsid w:val="00F44FFB"/>
    <w:rsid w:val="00F45EAC"/>
    <w:rsid w:val="00F45F8F"/>
    <w:rsid w:val="00F47EB1"/>
    <w:rsid w:val="00F53196"/>
    <w:rsid w:val="00F5422D"/>
    <w:rsid w:val="00F5545D"/>
    <w:rsid w:val="00F555A4"/>
    <w:rsid w:val="00F56B2B"/>
    <w:rsid w:val="00F60815"/>
    <w:rsid w:val="00F61ACA"/>
    <w:rsid w:val="00F61D6F"/>
    <w:rsid w:val="00F62742"/>
    <w:rsid w:val="00F64723"/>
    <w:rsid w:val="00F64B3D"/>
    <w:rsid w:val="00F656A2"/>
    <w:rsid w:val="00F6788D"/>
    <w:rsid w:val="00F701BC"/>
    <w:rsid w:val="00F70DB6"/>
    <w:rsid w:val="00F73102"/>
    <w:rsid w:val="00F7475F"/>
    <w:rsid w:val="00F74904"/>
    <w:rsid w:val="00F7542B"/>
    <w:rsid w:val="00F765F7"/>
    <w:rsid w:val="00F76824"/>
    <w:rsid w:val="00F776EB"/>
    <w:rsid w:val="00F7772D"/>
    <w:rsid w:val="00F80A5E"/>
    <w:rsid w:val="00F81175"/>
    <w:rsid w:val="00F820BE"/>
    <w:rsid w:val="00F83ABE"/>
    <w:rsid w:val="00F83AE5"/>
    <w:rsid w:val="00F86171"/>
    <w:rsid w:val="00F86C27"/>
    <w:rsid w:val="00F90A0E"/>
    <w:rsid w:val="00F91E44"/>
    <w:rsid w:val="00F929BD"/>
    <w:rsid w:val="00F93A6C"/>
    <w:rsid w:val="00F93E35"/>
    <w:rsid w:val="00F943CE"/>
    <w:rsid w:val="00F94F50"/>
    <w:rsid w:val="00F95E43"/>
    <w:rsid w:val="00F964DE"/>
    <w:rsid w:val="00F970D6"/>
    <w:rsid w:val="00F9786C"/>
    <w:rsid w:val="00FA177F"/>
    <w:rsid w:val="00FA2626"/>
    <w:rsid w:val="00FA2865"/>
    <w:rsid w:val="00FA37A5"/>
    <w:rsid w:val="00FA4370"/>
    <w:rsid w:val="00FA440F"/>
    <w:rsid w:val="00FA4824"/>
    <w:rsid w:val="00FA53BD"/>
    <w:rsid w:val="00FA5950"/>
    <w:rsid w:val="00FA6108"/>
    <w:rsid w:val="00FA621B"/>
    <w:rsid w:val="00FB0A55"/>
    <w:rsid w:val="00FB0CCC"/>
    <w:rsid w:val="00FB0DA8"/>
    <w:rsid w:val="00FB1F57"/>
    <w:rsid w:val="00FB21D2"/>
    <w:rsid w:val="00FB25A4"/>
    <w:rsid w:val="00FB3EAA"/>
    <w:rsid w:val="00FB403C"/>
    <w:rsid w:val="00FB47B4"/>
    <w:rsid w:val="00FB7921"/>
    <w:rsid w:val="00FC042C"/>
    <w:rsid w:val="00FC0483"/>
    <w:rsid w:val="00FC0C2F"/>
    <w:rsid w:val="00FC3411"/>
    <w:rsid w:val="00FC3550"/>
    <w:rsid w:val="00FC443B"/>
    <w:rsid w:val="00FC466B"/>
    <w:rsid w:val="00FC485F"/>
    <w:rsid w:val="00FC6497"/>
    <w:rsid w:val="00FC6773"/>
    <w:rsid w:val="00FD0D4A"/>
    <w:rsid w:val="00FD148E"/>
    <w:rsid w:val="00FD2F94"/>
    <w:rsid w:val="00FD51CF"/>
    <w:rsid w:val="00FD61B4"/>
    <w:rsid w:val="00FD67B5"/>
    <w:rsid w:val="00FD745E"/>
    <w:rsid w:val="00FD797E"/>
    <w:rsid w:val="00FE14ED"/>
    <w:rsid w:val="00FE3484"/>
    <w:rsid w:val="00FE3CEB"/>
    <w:rsid w:val="00FE3F70"/>
    <w:rsid w:val="00FE44FC"/>
    <w:rsid w:val="00FE4553"/>
    <w:rsid w:val="00FE466C"/>
    <w:rsid w:val="00FE4E86"/>
    <w:rsid w:val="00FE5552"/>
    <w:rsid w:val="00FE717B"/>
    <w:rsid w:val="00FF020D"/>
    <w:rsid w:val="00FF0757"/>
    <w:rsid w:val="00FF17C6"/>
    <w:rsid w:val="00FF1FD4"/>
    <w:rsid w:val="00FF2938"/>
    <w:rsid w:val="00FF2C07"/>
    <w:rsid w:val="00FF3AF8"/>
    <w:rsid w:val="00FF3B40"/>
    <w:rsid w:val="00FF4FB4"/>
    <w:rsid w:val="00FF52DF"/>
    <w:rsid w:val="00FF6164"/>
    <w:rsid w:val="00FF74FC"/>
    <w:rsid w:val="00FF796C"/>
    <w:rsid w:val="00FF7E82"/>
    <w:rsid w:val="00FF7FE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53DD"/>
    <w:rPr>
      <w:sz w:val="24"/>
      <w:szCs w:val="24"/>
    </w:rPr>
  </w:style>
  <w:style w:type="paragraph" w:styleId="Heading2">
    <w:name w:val="heading 2"/>
    <w:basedOn w:val="Normal"/>
    <w:next w:val="Normal"/>
    <w:link w:val="Heading2Char"/>
    <w:semiHidden/>
    <w:unhideWhenUsed/>
    <w:qFormat/>
    <w:rsid w:val="0059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637A9"/>
    <w:pPr>
      <w:keepNext/>
      <w:jc w:val="center"/>
      <w:outlineLvl w:val="2"/>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7953DD"/>
    <w:pPr>
      <w:spacing w:before="75" w:after="75"/>
      <w:ind w:firstLine="375"/>
      <w:jc w:val="both"/>
    </w:pPr>
  </w:style>
  <w:style w:type="paragraph" w:customStyle="1" w:styleId="naisnod">
    <w:name w:val="naisnod"/>
    <w:basedOn w:val="Normal"/>
    <w:rsid w:val="007953DD"/>
    <w:pPr>
      <w:spacing w:before="150" w:after="150"/>
      <w:jc w:val="center"/>
    </w:pPr>
    <w:rPr>
      <w:b/>
      <w:bCs/>
    </w:rPr>
  </w:style>
  <w:style w:type="paragraph" w:customStyle="1" w:styleId="naislab">
    <w:name w:val="naislab"/>
    <w:basedOn w:val="Normal"/>
    <w:rsid w:val="007953DD"/>
    <w:pPr>
      <w:spacing w:before="75" w:after="75"/>
      <w:jc w:val="right"/>
    </w:pPr>
  </w:style>
  <w:style w:type="paragraph" w:customStyle="1" w:styleId="naiskr">
    <w:name w:val="naiskr"/>
    <w:basedOn w:val="Normal"/>
    <w:uiPriority w:val="99"/>
    <w:rsid w:val="007953DD"/>
    <w:pPr>
      <w:spacing w:before="75" w:after="75"/>
    </w:pPr>
  </w:style>
  <w:style w:type="paragraph" w:customStyle="1" w:styleId="naisc">
    <w:name w:val="naisc"/>
    <w:basedOn w:val="Normal"/>
    <w:rsid w:val="007953DD"/>
    <w:pPr>
      <w:spacing w:before="75" w:after="75"/>
      <w:jc w:val="center"/>
    </w:pPr>
  </w:style>
  <w:style w:type="character" w:styleId="Hyperlink">
    <w:name w:val="Hyperlink"/>
    <w:rsid w:val="007953DD"/>
    <w:rPr>
      <w:color w:val="0000FF"/>
      <w:u w:val="single"/>
    </w:rPr>
  </w:style>
  <w:style w:type="paragraph" w:styleId="Header">
    <w:name w:val="header"/>
    <w:basedOn w:val="Normal"/>
    <w:link w:val="HeaderChar"/>
    <w:uiPriority w:val="99"/>
    <w:rsid w:val="007953DD"/>
    <w:pPr>
      <w:tabs>
        <w:tab w:val="center" w:pos="4153"/>
        <w:tab w:val="right" w:pos="8306"/>
      </w:tabs>
    </w:pPr>
  </w:style>
  <w:style w:type="character" w:styleId="PageNumber">
    <w:name w:val="page number"/>
    <w:basedOn w:val="DefaultParagraphFont"/>
    <w:rsid w:val="007953DD"/>
  </w:style>
  <w:style w:type="paragraph" w:styleId="Footer">
    <w:name w:val="footer"/>
    <w:basedOn w:val="Normal"/>
    <w:rsid w:val="007953DD"/>
    <w:pPr>
      <w:tabs>
        <w:tab w:val="center" w:pos="4153"/>
        <w:tab w:val="right" w:pos="8306"/>
      </w:tabs>
    </w:pPr>
  </w:style>
  <w:style w:type="paragraph" w:styleId="BodyTextIndent3">
    <w:name w:val="Body Text Indent 3"/>
    <w:basedOn w:val="Normal"/>
    <w:link w:val="BodyTextIndent3Char"/>
    <w:rsid w:val="007953DD"/>
    <w:pPr>
      <w:spacing w:after="120"/>
      <w:ind w:left="283"/>
    </w:pPr>
    <w:rPr>
      <w:sz w:val="16"/>
      <w:szCs w:val="16"/>
      <w:lang w:val="en-US" w:eastAsia="en-US"/>
    </w:rPr>
  </w:style>
  <w:style w:type="paragraph" w:styleId="BodyTextIndent">
    <w:name w:val="Body Text Indent"/>
    <w:basedOn w:val="Normal"/>
    <w:link w:val="BodyTextIndentChar"/>
    <w:rsid w:val="007953DD"/>
    <w:pPr>
      <w:spacing w:after="120"/>
      <w:ind w:left="283"/>
    </w:pPr>
  </w:style>
  <w:style w:type="character" w:customStyle="1" w:styleId="BodyTextIndentChar">
    <w:name w:val="Body Text Indent Char"/>
    <w:link w:val="BodyTextIndent"/>
    <w:semiHidden/>
    <w:locked/>
    <w:rsid w:val="007953DD"/>
    <w:rPr>
      <w:sz w:val="24"/>
      <w:szCs w:val="24"/>
      <w:lang w:val="lv-LV" w:eastAsia="lv-LV" w:bidi="ar-SA"/>
    </w:rPr>
  </w:style>
  <w:style w:type="character" w:customStyle="1" w:styleId="BodyTextIndent3Char">
    <w:name w:val="Body Text Indent 3 Char"/>
    <w:link w:val="BodyTextIndent3"/>
    <w:semiHidden/>
    <w:locked/>
    <w:rsid w:val="007953DD"/>
    <w:rPr>
      <w:sz w:val="16"/>
      <w:szCs w:val="16"/>
      <w:lang w:val="en-US" w:eastAsia="en-US" w:bidi="ar-SA"/>
    </w:rPr>
  </w:style>
  <w:style w:type="paragraph" w:styleId="ListParagraph">
    <w:name w:val="List Paragraph"/>
    <w:basedOn w:val="Normal"/>
    <w:qFormat/>
    <w:rsid w:val="00382524"/>
    <w:pPr>
      <w:ind w:left="720"/>
      <w:contextualSpacing/>
    </w:pPr>
  </w:style>
  <w:style w:type="paragraph" w:customStyle="1" w:styleId="Default">
    <w:name w:val="Default"/>
    <w:rsid w:val="00C34D57"/>
    <w:pPr>
      <w:autoSpaceDE w:val="0"/>
      <w:autoSpaceDN w:val="0"/>
      <w:adjustRightInd w:val="0"/>
    </w:pPr>
    <w:rPr>
      <w:rFonts w:ascii="EUAlbertina" w:hAnsi="EUAlbertina" w:cs="EUAlbertina"/>
      <w:color w:val="000000"/>
      <w:sz w:val="24"/>
      <w:szCs w:val="24"/>
    </w:rPr>
  </w:style>
  <w:style w:type="paragraph" w:styleId="NoSpacing">
    <w:name w:val="No Spacing"/>
    <w:uiPriority w:val="1"/>
    <w:qFormat/>
    <w:rsid w:val="00AF3C6C"/>
    <w:rPr>
      <w:sz w:val="24"/>
      <w:szCs w:val="24"/>
    </w:rPr>
  </w:style>
  <w:style w:type="character" w:styleId="Strong">
    <w:name w:val="Strong"/>
    <w:uiPriority w:val="22"/>
    <w:qFormat/>
    <w:rsid w:val="00041640"/>
    <w:rPr>
      <w:b/>
      <w:bCs/>
    </w:rPr>
  </w:style>
  <w:style w:type="paragraph" w:styleId="NormalWeb">
    <w:name w:val="Normal (Web)"/>
    <w:basedOn w:val="Normal"/>
    <w:unhideWhenUsed/>
    <w:rsid w:val="00DC5064"/>
    <w:pPr>
      <w:spacing w:before="100" w:beforeAutospacing="1" w:after="100" w:afterAutospacing="1"/>
    </w:pPr>
    <w:rPr>
      <w:sz w:val="18"/>
      <w:szCs w:val="18"/>
    </w:rPr>
  </w:style>
  <w:style w:type="character" w:styleId="Emphasis">
    <w:name w:val="Emphasis"/>
    <w:uiPriority w:val="20"/>
    <w:qFormat/>
    <w:rsid w:val="00DC5064"/>
    <w:rPr>
      <w:i/>
      <w:iCs/>
    </w:rPr>
  </w:style>
  <w:style w:type="paragraph" w:styleId="BalloonText">
    <w:name w:val="Balloon Text"/>
    <w:basedOn w:val="Normal"/>
    <w:rsid w:val="00580ED3"/>
    <w:rPr>
      <w:rFonts w:ascii="Tahoma" w:hAnsi="Tahoma" w:cs="Tahoma"/>
      <w:sz w:val="16"/>
      <w:szCs w:val="16"/>
    </w:rPr>
  </w:style>
  <w:style w:type="paragraph" w:customStyle="1" w:styleId="Pa6">
    <w:name w:val="Pa6"/>
    <w:basedOn w:val="Default"/>
    <w:next w:val="Default"/>
    <w:uiPriority w:val="99"/>
    <w:rsid w:val="00681DBF"/>
    <w:pPr>
      <w:spacing w:line="181" w:lineRule="atLeast"/>
    </w:pPr>
    <w:rPr>
      <w:rFonts w:ascii="Minion Pro" w:hAnsi="Minion Pro" w:cs="Times New Roman"/>
      <w:color w:val="auto"/>
    </w:rPr>
  </w:style>
  <w:style w:type="character" w:styleId="CommentReference">
    <w:name w:val="annotation reference"/>
    <w:semiHidden/>
    <w:rsid w:val="001F7DD9"/>
    <w:rPr>
      <w:sz w:val="16"/>
      <w:szCs w:val="16"/>
    </w:rPr>
  </w:style>
  <w:style w:type="paragraph" w:styleId="CommentText">
    <w:name w:val="annotation text"/>
    <w:basedOn w:val="Normal"/>
    <w:link w:val="CommentTextChar"/>
    <w:semiHidden/>
    <w:rsid w:val="001F7DD9"/>
    <w:rPr>
      <w:sz w:val="20"/>
      <w:szCs w:val="20"/>
    </w:rPr>
  </w:style>
  <w:style w:type="paragraph" w:styleId="CommentSubject">
    <w:name w:val="annotation subject"/>
    <w:basedOn w:val="CommentText"/>
    <w:next w:val="CommentText"/>
    <w:semiHidden/>
    <w:rsid w:val="001F7DD9"/>
    <w:rPr>
      <w:b/>
      <w:bCs/>
    </w:rPr>
  </w:style>
  <w:style w:type="character" w:customStyle="1" w:styleId="Heading3Char">
    <w:name w:val="Heading 3 Char"/>
    <w:link w:val="Heading3"/>
    <w:locked/>
    <w:rsid w:val="008637A9"/>
    <w:rPr>
      <w:sz w:val="28"/>
      <w:szCs w:val="24"/>
      <w:lang w:val="lv-LV" w:eastAsia="en-US" w:bidi="ar-SA"/>
    </w:rPr>
  </w:style>
  <w:style w:type="paragraph" w:customStyle="1" w:styleId="tvhtml">
    <w:name w:val="tv_html"/>
    <w:basedOn w:val="Normal"/>
    <w:rsid w:val="00094F42"/>
    <w:pPr>
      <w:spacing w:before="100" w:beforeAutospacing="1" w:after="100" w:afterAutospacing="1"/>
    </w:pPr>
    <w:rPr>
      <w:rFonts w:ascii="Verdana" w:hAnsi="Verdana"/>
      <w:sz w:val="13"/>
      <w:szCs w:val="13"/>
    </w:rPr>
  </w:style>
  <w:style w:type="table" w:styleId="TableGrid">
    <w:name w:val="Table Grid"/>
    <w:basedOn w:val="TableNormal"/>
    <w:rsid w:val="00FF0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ref2">
    <w:name w:val="docref2"/>
    <w:basedOn w:val="Normal"/>
    <w:rsid w:val="00057D34"/>
    <w:pPr>
      <w:spacing w:after="90"/>
    </w:pPr>
    <w:rPr>
      <w:rFonts w:ascii="Arial" w:hAnsi="Arial" w:cs="Arial"/>
      <w:i/>
      <w:iCs/>
      <w:color w:val="003082"/>
    </w:rPr>
  </w:style>
  <w:style w:type="paragraph" w:customStyle="1" w:styleId="TableContents">
    <w:name w:val="Table Contents"/>
    <w:basedOn w:val="Normal"/>
    <w:rsid w:val="00665C62"/>
    <w:pPr>
      <w:suppressLineNumbers/>
      <w:suppressAutoHyphens/>
    </w:pPr>
    <w:rPr>
      <w:sz w:val="28"/>
      <w:lang w:eastAsia="ar-SA"/>
    </w:rPr>
  </w:style>
  <w:style w:type="character" w:customStyle="1" w:styleId="WW8Num2z0">
    <w:name w:val="WW8Num2z0"/>
    <w:rsid w:val="00665C62"/>
    <w:rPr>
      <w:rFonts w:ascii="Symbol" w:hAnsi="Symbol"/>
      <w:sz w:val="20"/>
    </w:rPr>
  </w:style>
  <w:style w:type="paragraph" w:customStyle="1" w:styleId="Framecontents">
    <w:name w:val="Frame contents"/>
    <w:basedOn w:val="BodyText"/>
    <w:rsid w:val="00665C62"/>
  </w:style>
  <w:style w:type="paragraph" w:styleId="BodyText">
    <w:name w:val="Body Text"/>
    <w:basedOn w:val="Normal"/>
    <w:link w:val="BodyTextChar"/>
    <w:rsid w:val="00665C62"/>
    <w:pPr>
      <w:spacing w:after="120"/>
    </w:pPr>
  </w:style>
  <w:style w:type="character" w:customStyle="1" w:styleId="BodyTextChar">
    <w:name w:val="Body Text Char"/>
    <w:basedOn w:val="DefaultParagraphFont"/>
    <w:link w:val="BodyText"/>
    <w:rsid w:val="00665C62"/>
    <w:rPr>
      <w:sz w:val="24"/>
      <w:szCs w:val="24"/>
    </w:rPr>
  </w:style>
  <w:style w:type="paragraph" w:styleId="BodyText2">
    <w:name w:val="Body Text 2"/>
    <w:basedOn w:val="Normal"/>
    <w:link w:val="BodyText2Char"/>
    <w:rsid w:val="00665C62"/>
    <w:pPr>
      <w:suppressAutoHyphens/>
      <w:spacing w:after="120" w:line="480" w:lineRule="auto"/>
    </w:pPr>
    <w:rPr>
      <w:sz w:val="28"/>
      <w:lang w:eastAsia="ar-SA"/>
    </w:rPr>
  </w:style>
  <w:style w:type="character" w:customStyle="1" w:styleId="BodyText2Char">
    <w:name w:val="Body Text 2 Char"/>
    <w:basedOn w:val="DefaultParagraphFont"/>
    <w:link w:val="BodyText2"/>
    <w:rsid w:val="00665C62"/>
    <w:rPr>
      <w:sz w:val="28"/>
      <w:szCs w:val="24"/>
      <w:lang w:eastAsia="ar-SA"/>
    </w:rPr>
  </w:style>
  <w:style w:type="character" w:customStyle="1" w:styleId="st1">
    <w:name w:val="st1"/>
    <w:basedOn w:val="DefaultParagraphFont"/>
    <w:rsid w:val="00BC0380"/>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qFormat/>
    <w:rsid w:val="00BC0380"/>
    <w:pPr>
      <w:suppressAutoHyphens/>
    </w:pPr>
    <w:rPr>
      <w:sz w:val="20"/>
      <w:szCs w:val="20"/>
      <w:lang w:eastAsia="ar-SA"/>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1"/>
    <w:basedOn w:val="DefaultParagraphFont"/>
    <w:link w:val="FootnoteText"/>
    <w:rsid w:val="00BC0380"/>
    <w:rPr>
      <w:lang w:eastAsia="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rsid w:val="00BC0380"/>
    <w:rPr>
      <w:vertAlign w:val="superscript"/>
    </w:rPr>
  </w:style>
  <w:style w:type="character" w:customStyle="1" w:styleId="CommentTextChar">
    <w:name w:val="Comment Text Char"/>
    <w:basedOn w:val="DefaultParagraphFont"/>
    <w:link w:val="CommentText"/>
    <w:semiHidden/>
    <w:rsid w:val="003B0371"/>
  </w:style>
  <w:style w:type="character" w:customStyle="1" w:styleId="FootnoteTextChar1">
    <w:name w:val="Footnote Text Char1"/>
    <w:aliases w:val="Footnote Char1,Fußnote Char1,single space Char1,ft Rakstz. Rakstz. Char1,ft Rakstz. Char1,ft Char1,-E Fußnotentext Char1,Fußnotentext Ursprung Char1,Vēres teksts Char Char Char Char Char Char1,Vēres teksts Char Char Char Char"/>
    <w:uiPriority w:val="99"/>
    <w:semiHidden/>
    <w:locked/>
    <w:rsid w:val="008C25A7"/>
  </w:style>
  <w:style w:type="character" w:customStyle="1" w:styleId="Heading2Char">
    <w:name w:val="Heading 2 Char"/>
    <w:basedOn w:val="DefaultParagraphFont"/>
    <w:link w:val="Heading2"/>
    <w:semiHidden/>
    <w:rsid w:val="00597CFC"/>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uiPriority w:val="99"/>
    <w:rsid w:val="005B6EAA"/>
    <w:rPr>
      <w:sz w:val="24"/>
      <w:szCs w:val="24"/>
    </w:rPr>
  </w:style>
</w:styles>
</file>

<file path=word/webSettings.xml><?xml version="1.0" encoding="utf-8"?>
<w:webSettings xmlns:r="http://schemas.openxmlformats.org/officeDocument/2006/relationships" xmlns:w="http://schemas.openxmlformats.org/wordprocessingml/2006/main">
  <w:divs>
    <w:div w:id="48498698">
      <w:bodyDiv w:val="1"/>
      <w:marLeft w:val="0"/>
      <w:marRight w:val="0"/>
      <w:marTop w:val="0"/>
      <w:marBottom w:val="0"/>
      <w:divBdr>
        <w:top w:val="none" w:sz="0" w:space="0" w:color="auto"/>
        <w:left w:val="none" w:sz="0" w:space="0" w:color="auto"/>
        <w:bottom w:val="none" w:sz="0" w:space="0" w:color="auto"/>
        <w:right w:val="none" w:sz="0" w:space="0" w:color="auto"/>
      </w:divBdr>
    </w:div>
    <w:div w:id="129977830">
      <w:bodyDiv w:val="1"/>
      <w:marLeft w:val="0"/>
      <w:marRight w:val="0"/>
      <w:marTop w:val="0"/>
      <w:marBottom w:val="0"/>
      <w:divBdr>
        <w:top w:val="none" w:sz="0" w:space="0" w:color="auto"/>
        <w:left w:val="none" w:sz="0" w:space="0" w:color="auto"/>
        <w:bottom w:val="none" w:sz="0" w:space="0" w:color="auto"/>
        <w:right w:val="none" w:sz="0" w:space="0" w:color="auto"/>
      </w:divBdr>
    </w:div>
    <w:div w:id="173039019">
      <w:bodyDiv w:val="1"/>
      <w:marLeft w:val="32"/>
      <w:marRight w:val="32"/>
      <w:marTop w:val="64"/>
      <w:marBottom w:val="64"/>
      <w:divBdr>
        <w:top w:val="none" w:sz="0" w:space="0" w:color="auto"/>
        <w:left w:val="none" w:sz="0" w:space="0" w:color="auto"/>
        <w:bottom w:val="none" w:sz="0" w:space="0" w:color="auto"/>
        <w:right w:val="none" w:sz="0" w:space="0" w:color="auto"/>
      </w:divBdr>
      <w:divsChild>
        <w:div w:id="993027890">
          <w:marLeft w:val="0"/>
          <w:marRight w:val="0"/>
          <w:marTop w:val="240"/>
          <w:marBottom w:val="0"/>
          <w:divBdr>
            <w:top w:val="none" w:sz="0" w:space="0" w:color="auto"/>
            <w:left w:val="none" w:sz="0" w:space="0" w:color="auto"/>
            <w:bottom w:val="none" w:sz="0" w:space="0" w:color="auto"/>
            <w:right w:val="none" w:sz="0" w:space="0" w:color="auto"/>
          </w:divBdr>
        </w:div>
      </w:divsChild>
    </w:div>
    <w:div w:id="212427888">
      <w:bodyDiv w:val="1"/>
      <w:marLeft w:val="0"/>
      <w:marRight w:val="0"/>
      <w:marTop w:val="0"/>
      <w:marBottom w:val="0"/>
      <w:divBdr>
        <w:top w:val="none" w:sz="0" w:space="0" w:color="auto"/>
        <w:left w:val="none" w:sz="0" w:space="0" w:color="auto"/>
        <w:bottom w:val="none" w:sz="0" w:space="0" w:color="auto"/>
        <w:right w:val="none" w:sz="0" w:space="0" w:color="auto"/>
      </w:divBdr>
    </w:div>
    <w:div w:id="275522969">
      <w:bodyDiv w:val="1"/>
      <w:marLeft w:val="0"/>
      <w:marRight w:val="0"/>
      <w:marTop w:val="0"/>
      <w:marBottom w:val="0"/>
      <w:divBdr>
        <w:top w:val="none" w:sz="0" w:space="0" w:color="auto"/>
        <w:left w:val="none" w:sz="0" w:space="0" w:color="auto"/>
        <w:bottom w:val="none" w:sz="0" w:space="0" w:color="auto"/>
        <w:right w:val="none" w:sz="0" w:space="0" w:color="auto"/>
      </w:divBdr>
    </w:div>
    <w:div w:id="376584429">
      <w:bodyDiv w:val="1"/>
      <w:marLeft w:val="0"/>
      <w:marRight w:val="0"/>
      <w:marTop w:val="0"/>
      <w:marBottom w:val="0"/>
      <w:divBdr>
        <w:top w:val="none" w:sz="0" w:space="0" w:color="auto"/>
        <w:left w:val="none" w:sz="0" w:space="0" w:color="auto"/>
        <w:bottom w:val="none" w:sz="0" w:space="0" w:color="auto"/>
        <w:right w:val="none" w:sz="0" w:space="0" w:color="auto"/>
      </w:divBdr>
    </w:div>
    <w:div w:id="431513558">
      <w:bodyDiv w:val="1"/>
      <w:marLeft w:val="0"/>
      <w:marRight w:val="0"/>
      <w:marTop w:val="0"/>
      <w:marBottom w:val="0"/>
      <w:divBdr>
        <w:top w:val="none" w:sz="0" w:space="0" w:color="auto"/>
        <w:left w:val="none" w:sz="0" w:space="0" w:color="auto"/>
        <w:bottom w:val="none" w:sz="0" w:space="0" w:color="auto"/>
        <w:right w:val="none" w:sz="0" w:space="0" w:color="auto"/>
      </w:divBdr>
    </w:div>
    <w:div w:id="543179966">
      <w:bodyDiv w:val="1"/>
      <w:marLeft w:val="32"/>
      <w:marRight w:val="32"/>
      <w:marTop w:val="64"/>
      <w:marBottom w:val="64"/>
      <w:divBdr>
        <w:top w:val="none" w:sz="0" w:space="0" w:color="auto"/>
        <w:left w:val="none" w:sz="0" w:space="0" w:color="auto"/>
        <w:bottom w:val="none" w:sz="0" w:space="0" w:color="auto"/>
        <w:right w:val="none" w:sz="0" w:space="0" w:color="auto"/>
      </w:divBdr>
      <w:divsChild>
        <w:div w:id="853811583">
          <w:marLeft w:val="0"/>
          <w:marRight w:val="0"/>
          <w:marTop w:val="240"/>
          <w:marBottom w:val="0"/>
          <w:divBdr>
            <w:top w:val="none" w:sz="0" w:space="0" w:color="auto"/>
            <w:left w:val="none" w:sz="0" w:space="0" w:color="auto"/>
            <w:bottom w:val="none" w:sz="0" w:space="0" w:color="auto"/>
            <w:right w:val="none" w:sz="0" w:space="0" w:color="auto"/>
          </w:divBdr>
        </w:div>
      </w:divsChild>
    </w:div>
    <w:div w:id="568151191">
      <w:bodyDiv w:val="1"/>
      <w:marLeft w:val="0"/>
      <w:marRight w:val="0"/>
      <w:marTop w:val="0"/>
      <w:marBottom w:val="0"/>
      <w:divBdr>
        <w:top w:val="none" w:sz="0" w:space="0" w:color="auto"/>
        <w:left w:val="none" w:sz="0" w:space="0" w:color="auto"/>
        <w:bottom w:val="none" w:sz="0" w:space="0" w:color="auto"/>
        <w:right w:val="none" w:sz="0" w:space="0" w:color="auto"/>
      </w:divBdr>
    </w:div>
    <w:div w:id="576131628">
      <w:bodyDiv w:val="1"/>
      <w:marLeft w:val="0"/>
      <w:marRight w:val="0"/>
      <w:marTop w:val="0"/>
      <w:marBottom w:val="0"/>
      <w:divBdr>
        <w:top w:val="none" w:sz="0" w:space="0" w:color="auto"/>
        <w:left w:val="none" w:sz="0" w:space="0" w:color="auto"/>
        <w:bottom w:val="none" w:sz="0" w:space="0" w:color="auto"/>
        <w:right w:val="none" w:sz="0" w:space="0" w:color="auto"/>
      </w:divBdr>
    </w:div>
    <w:div w:id="650330840">
      <w:bodyDiv w:val="1"/>
      <w:marLeft w:val="32"/>
      <w:marRight w:val="32"/>
      <w:marTop w:val="64"/>
      <w:marBottom w:val="64"/>
      <w:divBdr>
        <w:top w:val="none" w:sz="0" w:space="0" w:color="auto"/>
        <w:left w:val="none" w:sz="0" w:space="0" w:color="auto"/>
        <w:bottom w:val="none" w:sz="0" w:space="0" w:color="auto"/>
        <w:right w:val="none" w:sz="0" w:space="0" w:color="auto"/>
      </w:divBdr>
      <w:divsChild>
        <w:div w:id="1207329026">
          <w:marLeft w:val="0"/>
          <w:marRight w:val="0"/>
          <w:marTop w:val="240"/>
          <w:marBottom w:val="0"/>
          <w:divBdr>
            <w:top w:val="none" w:sz="0" w:space="0" w:color="auto"/>
            <w:left w:val="none" w:sz="0" w:space="0" w:color="auto"/>
            <w:bottom w:val="none" w:sz="0" w:space="0" w:color="auto"/>
            <w:right w:val="none" w:sz="0" w:space="0" w:color="auto"/>
          </w:divBdr>
        </w:div>
      </w:divsChild>
    </w:div>
    <w:div w:id="683550990">
      <w:bodyDiv w:val="1"/>
      <w:marLeft w:val="0"/>
      <w:marRight w:val="0"/>
      <w:marTop w:val="0"/>
      <w:marBottom w:val="0"/>
      <w:divBdr>
        <w:top w:val="none" w:sz="0" w:space="0" w:color="auto"/>
        <w:left w:val="none" w:sz="0" w:space="0" w:color="auto"/>
        <w:bottom w:val="none" w:sz="0" w:space="0" w:color="auto"/>
        <w:right w:val="none" w:sz="0" w:space="0" w:color="auto"/>
      </w:divBdr>
      <w:divsChild>
        <w:div w:id="444809485">
          <w:marLeft w:val="0"/>
          <w:marRight w:val="0"/>
          <w:marTop w:val="0"/>
          <w:marBottom w:val="0"/>
          <w:divBdr>
            <w:top w:val="none" w:sz="0" w:space="0" w:color="auto"/>
            <w:left w:val="none" w:sz="0" w:space="0" w:color="auto"/>
            <w:bottom w:val="none" w:sz="0" w:space="0" w:color="auto"/>
            <w:right w:val="none" w:sz="0" w:space="0" w:color="auto"/>
          </w:divBdr>
        </w:div>
      </w:divsChild>
    </w:div>
    <w:div w:id="730418935">
      <w:bodyDiv w:val="1"/>
      <w:marLeft w:val="0"/>
      <w:marRight w:val="0"/>
      <w:marTop w:val="0"/>
      <w:marBottom w:val="0"/>
      <w:divBdr>
        <w:top w:val="none" w:sz="0" w:space="0" w:color="auto"/>
        <w:left w:val="none" w:sz="0" w:space="0" w:color="auto"/>
        <w:bottom w:val="none" w:sz="0" w:space="0" w:color="auto"/>
        <w:right w:val="none" w:sz="0" w:space="0" w:color="auto"/>
      </w:divBdr>
    </w:div>
    <w:div w:id="935673138">
      <w:bodyDiv w:val="1"/>
      <w:marLeft w:val="0"/>
      <w:marRight w:val="0"/>
      <w:marTop w:val="0"/>
      <w:marBottom w:val="0"/>
      <w:divBdr>
        <w:top w:val="none" w:sz="0" w:space="0" w:color="auto"/>
        <w:left w:val="none" w:sz="0" w:space="0" w:color="auto"/>
        <w:bottom w:val="none" w:sz="0" w:space="0" w:color="auto"/>
        <w:right w:val="none" w:sz="0" w:space="0" w:color="auto"/>
      </w:divBdr>
    </w:div>
    <w:div w:id="942345708">
      <w:bodyDiv w:val="1"/>
      <w:marLeft w:val="0"/>
      <w:marRight w:val="0"/>
      <w:marTop w:val="0"/>
      <w:marBottom w:val="0"/>
      <w:divBdr>
        <w:top w:val="none" w:sz="0" w:space="0" w:color="auto"/>
        <w:left w:val="none" w:sz="0" w:space="0" w:color="auto"/>
        <w:bottom w:val="none" w:sz="0" w:space="0" w:color="auto"/>
        <w:right w:val="none" w:sz="0" w:space="0" w:color="auto"/>
      </w:divBdr>
    </w:div>
    <w:div w:id="1026491731">
      <w:bodyDiv w:val="1"/>
      <w:marLeft w:val="0"/>
      <w:marRight w:val="0"/>
      <w:marTop w:val="0"/>
      <w:marBottom w:val="0"/>
      <w:divBdr>
        <w:top w:val="none" w:sz="0" w:space="0" w:color="auto"/>
        <w:left w:val="none" w:sz="0" w:space="0" w:color="auto"/>
        <w:bottom w:val="none" w:sz="0" w:space="0" w:color="auto"/>
        <w:right w:val="none" w:sz="0" w:space="0" w:color="auto"/>
      </w:divBdr>
    </w:div>
    <w:div w:id="1063483664">
      <w:bodyDiv w:val="1"/>
      <w:marLeft w:val="0"/>
      <w:marRight w:val="0"/>
      <w:marTop w:val="0"/>
      <w:marBottom w:val="0"/>
      <w:divBdr>
        <w:top w:val="none" w:sz="0" w:space="0" w:color="auto"/>
        <w:left w:val="none" w:sz="0" w:space="0" w:color="auto"/>
        <w:bottom w:val="none" w:sz="0" w:space="0" w:color="auto"/>
        <w:right w:val="none" w:sz="0" w:space="0" w:color="auto"/>
      </w:divBdr>
    </w:div>
    <w:div w:id="1147015515">
      <w:bodyDiv w:val="1"/>
      <w:marLeft w:val="0"/>
      <w:marRight w:val="0"/>
      <w:marTop w:val="0"/>
      <w:marBottom w:val="0"/>
      <w:divBdr>
        <w:top w:val="none" w:sz="0" w:space="0" w:color="auto"/>
        <w:left w:val="none" w:sz="0" w:space="0" w:color="auto"/>
        <w:bottom w:val="none" w:sz="0" w:space="0" w:color="auto"/>
        <w:right w:val="none" w:sz="0" w:space="0" w:color="auto"/>
      </w:divBdr>
    </w:div>
    <w:div w:id="1153183612">
      <w:bodyDiv w:val="1"/>
      <w:marLeft w:val="0"/>
      <w:marRight w:val="0"/>
      <w:marTop w:val="0"/>
      <w:marBottom w:val="0"/>
      <w:divBdr>
        <w:top w:val="none" w:sz="0" w:space="0" w:color="auto"/>
        <w:left w:val="none" w:sz="0" w:space="0" w:color="auto"/>
        <w:bottom w:val="none" w:sz="0" w:space="0" w:color="auto"/>
        <w:right w:val="none" w:sz="0" w:space="0" w:color="auto"/>
      </w:divBdr>
    </w:div>
    <w:div w:id="1302232574">
      <w:bodyDiv w:val="1"/>
      <w:marLeft w:val="0"/>
      <w:marRight w:val="0"/>
      <w:marTop w:val="0"/>
      <w:marBottom w:val="0"/>
      <w:divBdr>
        <w:top w:val="none" w:sz="0" w:space="0" w:color="auto"/>
        <w:left w:val="none" w:sz="0" w:space="0" w:color="auto"/>
        <w:bottom w:val="none" w:sz="0" w:space="0" w:color="auto"/>
        <w:right w:val="none" w:sz="0" w:space="0" w:color="auto"/>
      </w:divBdr>
    </w:div>
    <w:div w:id="1380787623">
      <w:bodyDiv w:val="1"/>
      <w:marLeft w:val="0"/>
      <w:marRight w:val="0"/>
      <w:marTop w:val="0"/>
      <w:marBottom w:val="0"/>
      <w:divBdr>
        <w:top w:val="none" w:sz="0" w:space="0" w:color="auto"/>
        <w:left w:val="none" w:sz="0" w:space="0" w:color="auto"/>
        <w:bottom w:val="none" w:sz="0" w:space="0" w:color="auto"/>
        <w:right w:val="none" w:sz="0" w:space="0" w:color="auto"/>
      </w:divBdr>
    </w:div>
    <w:div w:id="1427461320">
      <w:bodyDiv w:val="1"/>
      <w:marLeft w:val="0"/>
      <w:marRight w:val="0"/>
      <w:marTop w:val="0"/>
      <w:marBottom w:val="0"/>
      <w:divBdr>
        <w:top w:val="none" w:sz="0" w:space="0" w:color="auto"/>
        <w:left w:val="none" w:sz="0" w:space="0" w:color="auto"/>
        <w:bottom w:val="none" w:sz="0" w:space="0" w:color="auto"/>
        <w:right w:val="none" w:sz="0" w:space="0" w:color="auto"/>
      </w:divBdr>
      <w:divsChild>
        <w:div w:id="1150943718">
          <w:marLeft w:val="0"/>
          <w:marRight w:val="0"/>
          <w:marTop w:val="0"/>
          <w:marBottom w:val="0"/>
          <w:divBdr>
            <w:top w:val="none" w:sz="0" w:space="0" w:color="auto"/>
            <w:left w:val="none" w:sz="0" w:space="0" w:color="auto"/>
            <w:bottom w:val="none" w:sz="0" w:space="0" w:color="auto"/>
            <w:right w:val="none" w:sz="0" w:space="0" w:color="auto"/>
          </w:divBdr>
          <w:divsChild>
            <w:div w:id="1208295908">
              <w:marLeft w:val="0"/>
              <w:marRight w:val="0"/>
              <w:marTop w:val="0"/>
              <w:marBottom w:val="0"/>
              <w:divBdr>
                <w:top w:val="none" w:sz="0" w:space="0" w:color="auto"/>
                <w:left w:val="none" w:sz="0" w:space="0" w:color="auto"/>
                <w:bottom w:val="none" w:sz="0" w:space="0" w:color="auto"/>
                <w:right w:val="none" w:sz="0" w:space="0" w:color="auto"/>
              </w:divBdr>
              <w:divsChild>
                <w:div w:id="1818498218">
                  <w:marLeft w:val="0"/>
                  <w:marRight w:val="0"/>
                  <w:marTop w:val="0"/>
                  <w:marBottom w:val="0"/>
                  <w:divBdr>
                    <w:top w:val="none" w:sz="0" w:space="0" w:color="auto"/>
                    <w:left w:val="none" w:sz="0" w:space="0" w:color="auto"/>
                    <w:bottom w:val="none" w:sz="0" w:space="0" w:color="auto"/>
                    <w:right w:val="none" w:sz="0" w:space="0" w:color="auto"/>
                  </w:divBdr>
                  <w:divsChild>
                    <w:div w:id="430012257">
                      <w:marLeft w:val="0"/>
                      <w:marRight w:val="0"/>
                      <w:marTop w:val="0"/>
                      <w:marBottom w:val="0"/>
                      <w:divBdr>
                        <w:top w:val="none" w:sz="0" w:space="0" w:color="auto"/>
                        <w:left w:val="none" w:sz="0" w:space="0" w:color="auto"/>
                        <w:bottom w:val="none" w:sz="0" w:space="0" w:color="auto"/>
                        <w:right w:val="none" w:sz="0" w:space="0" w:color="auto"/>
                      </w:divBdr>
                      <w:divsChild>
                        <w:div w:id="1308587951">
                          <w:marLeft w:val="75"/>
                          <w:marRight w:val="0"/>
                          <w:marTop w:val="270"/>
                          <w:marBottom w:val="0"/>
                          <w:divBdr>
                            <w:top w:val="none" w:sz="0" w:space="0" w:color="auto"/>
                            <w:left w:val="none" w:sz="0" w:space="0" w:color="auto"/>
                            <w:bottom w:val="none" w:sz="0" w:space="0" w:color="auto"/>
                            <w:right w:val="none" w:sz="0" w:space="0" w:color="auto"/>
                          </w:divBdr>
                          <w:divsChild>
                            <w:div w:id="1285816936">
                              <w:marLeft w:val="0"/>
                              <w:marRight w:val="0"/>
                              <w:marTop w:val="0"/>
                              <w:marBottom w:val="0"/>
                              <w:divBdr>
                                <w:top w:val="none" w:sz="0" w:space="0" w:color="auto"/>
                                <w:left w:val="none" w:sz="0" w:space="0" w:color="auto"/>
                                <w:bottom w:val="none" w:sz="0" w:space="0" w:color="auto"/>
                                <w:right w:val="none" w:sz="0" w:space="0" w:color="auto"/>
                              </w:divBdr>
                              <w:divsChild>
                                <w:div w:id="1556315884">
                                  <w:marLeft w:val="0"/>
                                  <w:marRight w:val="0"/>
                                  <w:marTop w:val="0"/>
                                  <w:marBottom w:val="0"/>
                                  <w:divBdr>
                                    <w:top w:val="none" w:sz="0" w:space="0" w:color="auto"/>
                                    <w:left w:val="none" w:sz="0" w:space="0" w:color="auto"/>
                                    <w:bottom w:val="none" w:sz="0" w:space="0" w:color="auto"/>
                                    <w:right w:val="none" w:sz="0" w:space="0" w:color="auto"/>
                                  </w:divBdr>
                                  <w:divsChild>
                                    <w:div w:id="2007394664">
                                      <w:marLeft w:val="180"/>
                                      <w:marRight w:val="0"/>
                                      <w:marTop w:val="0"/>
                                      <w:marBottom w:val="135"/>
                                      <w:divBdr>
                                        <w:top w:val="none" w:sz="0" w:space="0" w:color="auto"/>
                                        <w:left w:val="none" w:sz="0" w:space="0" w:color="auto"/>
                                        <w:bottom w:val="none" w:sz="0" w:space="0" w:color="auto"/>
                                        <w:right w:val="none" w:sz="0" w:space="0" w:color="auto"/>
                                      </w:divBdr>
                                      <w:divsChild>
                                        <w:div w:id="4618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752171">
      <w:bodyDiv w:val="1"/>
      <w:marLeft w:val="0"/>
      <w:marRight w:val="0"/>
      <w:marTop w:val="795"/>
      <w:marBottom w:val="0"/>
      <w:divBdr>
        <w:top w:val="none" w:sz="0" w:space="0" w:color="auto"/>
        <w:left w:val="none" w:sz="0" w:space="0" w:color="auto"/>
        <w:bottom w:val="none" w:sz="0" w:space="0" w:color="auto"/>
        <w:right w:val="none" w:sz="0" w:space="0" w:color="auto"/>
      </w:divBdr>
      <w:divsChild>
        <w:div w:id="476915817">
          <w:marLeft w:val="0"/>
          <w:marRight w:val="0"/>
          <w:marTop w:val="0"/>
          <w:marBottom w:val="0"/>
          <w:divBdr>
            <w:top w:val="none" w:sz="0" w:space="0" w:color="auto"/>
            <w:left w:val="none" w:sz="0" w:space="0" w:color="auto"/>
            <w:bottom w:val="none" w:sz="0" w:space="0" w:color="auto"/>
            <w:right w:val="none" w:sz="0" w:space="0" w:color="auto"/>
          </w:divBdr>
          <w:divsChild>
            <w:div w:id="2004383753">
              <w:marLeft w:val="270"/>
              <w:marRight w:val="210"/>
              <w:marTop w:val="0"/>
              <w:marBottom w:val="0"/>
              <w:divBdr>
                <w:top w:val="none" w:sz="0" w:space="0" w:color="auto"/>
                <w:left w:val="none" w:sz="0" w:space="0" w:color="auto"/>
                <w:bottom w:val="none" w:sz="0" w:space="0" w:color="auto"/>
                <w:right w:val="none" w:sz="0" w:space="0" w:color="auto"/>
              </w:divBdr>
              <w:divsChild>
                <w:div w:id="1308127416">
                  <w:marLeft w:val="0"/>
                  <w:marRight w:val="0"/>
                  <w:marTop w:val="0"/>
                  <w:marBottom w:val="225"/>
                  <w:divBdr>
                    <w:top w:val="none" w:sz="0" w:space="0" w:color="auto"/>
                    <w:left w:val="none" w:sz="0" w:space="0" w:color="auto"/>
                    <w:bottom w:val="none" w:sz="0" w:space="0" w:color="auto"/>
                    <w:right w:val="none" w:sz="0" w:space="0" w:color="auto"/>
                  </w:divBdr>
                  <w:divsChild>
                    <w:div w:id="5376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45612">
      <w:bodyDiv w:val="1"/>
      <w:marLeft w:val="0"/>
      <w:marRight w:val="0"/>
      <w:marTop w:val="0"/>
      <w:marBottom w:val="0"/>
      <w:divBdr>
        <w:top w:val="none" w:sz="0" w:space="0" w:color="auto"/>
        <w:left w:val="none" w:sz="0" w:space="0" w:color="auto"/>
        <w:bottom w:val="none" w:sz="0" w:space="0" w:color="auto"/>
        <w:right w:val="none" w:sz="0" w:space="0" w:color="auto"/>
      </w:divBdr>
    </w:div>
    <w:div w:id="1506095707">
      <w:bodyDiv w:val="1"/>
      <w:marLeft w:val="32"/>
      <w:marRight w:val="32"/>
      <w:marTop w:val="64"/>
      <w:marBottom w:val="64"/>
      <w:divBdr>
        <w:top w:val="none" w:sz="0" w:space="0" w:color="auto"/>
        <w:left w:val="none" w:sz="0" w:space="0" w:color="auto"/>
        <w:bottom w:val="none" w:sz="0" w:space="0" w:color="auto"/>
        <w:right w:val="none" w:sz="0" w:space="0" w:color="auto"/>
      </w:divBdr>
      <w:divsChild>
        <w:div w:id="1363288832">
          <w:marLeft w:val="0"/>
          <w:marRight w:val="0"/>
          <w:marTop w:val="240"/>
          <w:marBottom w:val="0"/>
          <w:divBdr>
            <w:top w:val="none" w:sz="0" w:space="0" w:color="auto"/>
            <w:left w:val="none" w:sz="0" w:space="0" w:color="auto"/>
            <w:bottom w:val="none" w:sz="0" w:space="0" w:color="auto"/>
            <w:right w:val="none" w:sz="0" w:space="0" w:color="auto"/>
          </w:divBdr>
        </w:div>
      </w:divsChild>
    </w:div>
    <w:div w:id="1609434119">
      <w:bodyDiv w:val="1"/>
      <w:marLeft w:val="0"/>
      <w:marRight w:val="0"/>
      <w:marTop w:val="0"/>
      <w:marBottom w:val="0"/>
      <w:divBdr>
        <w:top w:val="none" w:sz="0" w:space="0" w:color="auto"/>
        <w:left w:val="none" w:sz="0" w:space="0" w:color="auto"/>
        <w:bottom w:val="none" w:sz="0" w:space="0" w:color="auto"/>
        <w:right w:val="none" w:sz="0" w:space="0" w:color="auto"/>
      </w:divBdr>
      <w:divsChild>
        <w:div w:id="715128961">
          <w:marLeft w:val="0"/>
          <w:marRight w:val="0"/>
          <w:marTop w:val="0"/>
          <w:marBottom w:val="0"/>
          <w:divBdr>
            <w:top w:val="none" w:sz="0" w:space="0" w:color="auto"/>
            <w:left w:val="none" w:sz="0" w:space="0" w:color="auto"/>
            <w:bottom w:val="none" w:sz="0" w:space="0" w:color="auto"/>
            <w:right w:val="none" w:sz="0" w:space="0" w:color="auto"/>
          </w:divBdr>
        </w:div>
      </w:divsChild>
    </w:div>
    <w:div w:id="1804276651">
      <w:bodyDiv w:val="1"/>
      <w:marLeft w:val="0"/>
      <w:marRight w:val="0"/>
      <w:marTop w:val="0"/>
      <w:marBottom w:val="0"/>
      <w:divBdr>
        <w:top w:val="none" w:sz="0" w:space="0" w:color="auto"/>
        <w:left w:val="none" w:sz="0" w:space="0" w:color="auto"/>
        <w:bottom w:val="none" w:sz="0" w:space="0" w:color="auto"/>
        <w:right w:val="none" w:sz="0" w:space="0" w:color="auto"/>
      </w:divBdr>
      <w:divsChild>
        <w:div w:id="74590062">
          <w:marLeft w:val="0"/>
          <w:marRight w:val="0"/>
          <w:marTop w:val="0"/>
          <w:marBottom w:val="0"/>
          <w:divBdr>
            <w:top w:val="none" w:sz="0" w:space="0" w:color="auto"/>
            <w:left w:val="none" w:sz="0" w:space="0" w:color="auto"/>
            <w:bottom w:val="none" w:sz="0" w:space="0" w:color="auto"/>
            <w:right w:val="none" w:sz="0" w:space="0" w:color="auto"/>
          </w:divBdr>
        </w:div>
        <w:div w:id="118763705">
          <w:marLeft w:val="0"/>
          <w:marRight w:val="0"/>
          <w:marTop w:val="0"/>
          <w:marBottom w:val="0"/>
          <w:divBdr>
            <w:top w:val="none" w:sz="0" w:space="0" w:color="auto"/>
            <w:left w:val="none" w:sz="0" w:space="0" w:color="auto"/>
            <w:bottom w:val="none" w:sz="0" w:space="0" w:color="auto"/>
            <w:right w:val="none" w:sz="0" w:space="0" w:color="auto"/>
          </w:divBdr>
        </w:div>
        <w:div w:id="463743653">
          <w:marLeft w:val="0"/>
          <w:marRight w:val="0"/>
          <w:marTop w:val="0"/>
          <w:marBottom w:val="0"/>
          <w:divBdr>
            <w:top w:val="none" w:sz="0" w:space="0" w:color="auto"/>
            <w:left w:val="none" w:sz="0" w:space="0" w:color="auto"/>
            <w:bottom w:val="none" w:sz="0" w:space="0" w:color="auto"/>
            <w:right w:val="none" w:sz="0" w:space="0" w:color="auto"/>
          </w:divBdr>
        </w:div>
        <w:div w:id="1059134869">
          <w:marLeft w:val="0"/>
          <w:marRight w:val="0"/>
          <w:marTop w:val="0"/>
          <w:marBottom w:val="0"/>
          <w:divBdr>
            <w:top w:val="none" w:sz="0" w:space="0" w:color="auto"/>
            <w:left w:val="none" w:sz="0" w:space="0" w:color="auto"/>
            <w:bottom w:val="none" w:sz="0" w:space="0" w:color="auto"/>
            <w:right w:val="none" w:sz="0" w:space="0" w:color="auto"/>
          </w:divBdr>
        </w:div>
        <w:div w:id="1191261928">
          <w:marLeft w:val="0"/>
          <w:marRight w:val="0"/>
          <w:marTop w:val="0"/>
          <w:marBottom w:val="0"/>
          <w:divBdr>
            <w:top w:val="none" w:sz="0" w:space="0" w:color="auto"/>
            <w:left w:val="none" w:sz="0" w:space="0" w:color="auto"/>
            <w:bottom w:val="none" w:sz="0" w:space="0" w:color="auto"/>
            <w:right w:val="none" w:sz="0" w:space="0" w:color="auto"/>
          </w:divBdr>
        </w:div>
      </w:divsChild>
    </w:div>
    <w:div w:id="1819297213">
      <w:bodyDiv w:val="1"/>
      <w:marLeft w:val="0"/>
      <w:marRight w:val="0"/>
      <w:marTop w:val="0"/>
      <w:marBottom w:val="0"/>
      <w:divBdr>
        <w:top w:val="none" w:sz="0" w:space="0" w:color="auto"/>
        <w:left w:val="none" w:sz="0" w:space="0" w:color="auto"/>
        <w:bottom w:val="none" w:sz="0" w:space="0" w:color="auto"/>
        <w:right w:val="none" w:sz="0" w:space="0" w:color="auto"/>
      </w:divBdr>
    </w:div>
    <w:div w:id="1874073846">
      <w:bodyDiv w:val="1"/>
      <w:marLeft w:val="0"/>
      <w:marRight w:val="0"/>
      <w:marTop w:val="0"/>
      <w:marBottom w:val="0"/>
      <w:divBdr>
        <w:top w:val="none" w:sz="0" w:space="0" w:color="auto"/>
        <w:left w:val="none" w:sz="0" w:space="0" w:color="auto"/>
        <w:bottom w:val="none" w:sz="0" w:space="0" w:color="auto"/>
        <w:right w:val="none" w:sz="0" w:space="0" w:color="auto"/>
      </w:divBdr>
      <w:divsChild>
        <w:div w:id="2004504611">
          <w:marLeft w:val="0"/>
          <w:marRight w:val="0"/>
          <w:marTop w:val="0"/>
          <w:marBottom w:val="0"/>
          <w:divBdr>
            <w:top w:val="none" w:sz="0" w:space="0" w:color="auto"/>
            <w:left w:val="none" w:sz="0" w:space="0" w:color="auto"/>
            <w:bottom w:val="none" w:sz="0" w:space="0" w:color="auto"/>
            <w:right w:val="none" w:sz="0" w:space="0" w:color="auto"/>
          </w:divBdr>
        </w:div>
      </w:divsChild>
    </w:div>
    <w:div w:id="1928928000">
      <w:bodyDiv w:val="1"/>
      <w:marLeft w:val="0"/>
      <w:marRight w:val="0"/>
      <w:marTop w:val="0"/>
      <w:marBottom w:val="0"/>
      <w:divBdr>
        <w:top w:val="none" w:sz="0" w:space="0" w:color="auto"/>
        <w:left w:val="none" w:sz="0" w:space="0" w:color="auto"/>
        <w:bottom w:val="none" w:sz="0" w:space="0" w:color="auto"/>
        <w:right w:val="none" w:sz="0" w:space="0" w:color="auto"/>
      </w:divBdr>
    </w:div>
    <w:div w:id="199236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veta.Volkovska@v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pkc.gov.lv/file_download/2098/3_Sabiedribas_veseliba_2013.pdf"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3E0A4-7047-487D-A556-6A99537F23C2}">
  <ds:schemaRefs>
    <ds:schemaRef ds:uri="http://schemas.openxmlformats.org/officeDocument/2006/bibliography"/>
  </ds:schemaRefs>
</ds:datastoreItem>
</file>

<file path=customXml/itemProps2.xml><?xml version="1.0" encoding="utf-8"?>
<ds:datastoreItem xmlns:ds="http://schemas.openxmlformats.org/officeDocument/2006/customXml" ds:itemID="{52164469-CCC1-466C-BB47-906A77DB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1667</Words>
  <Characters>11978</Characters>
  <Application>Microsoft Office Word</Application>
  <DocSecurity>0</DocSecurity>
  <Lines>99</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Noteikumu projekta „Grozījumi Ministru kabineta 2008.gada 15.septembra noteikumos Nr.746 „Ar noteiktām slimībām slimojošu pacientu reģistra izveides, papildināšanas un uzturēšanas kārtība”” sākotnējās ietekmes novērtējuma ziņojums (anotācija)</vt:lpstr>
      <vt:lpstr>Noteikumu projekta ,,Grozījums Ministru kabineta 2005.gada 8.novembra noteikumos Nr.847 „Noteikumi par Latvijā kontrolējamajām narkotiskajām vielām, psihotropajām vielām un prekursoriem”” sākotnējās ietekmes novērtējuma ziņojums (anotācija)</vt:lpstr>
    </vt:vector>
  </TitlesOfParts>
  <Company>Veselības ministrija</Company>
  <LinksUpToDate>false</LinksUpToDate>
  <CharactersWithSpaces>13618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projekta „Grozījumi Ministru kabineta 2008.gada 15.septembra noteikumos Nr.746 „Ar noteiktām slimībām slimojošu pacientu reģistra izveides, papildināšanas un uzturēšanas kārtība”” sākotnējās ietekmes novērtējuma ziņojums (anotācija)</dc:title>
  <dc:subject>Anotācija</dc:subject>
  <dc:creator>Iveta Volkovska-Cielava</dc:creator>
  <dc:description>iveta.volkovska@vm.gov.lv, 67876089</dc:description>
  <cp:lastModifiedBy>ebune</cp:lastModifiedBy>
  <cp:revision>2</cp:revision>
  <cp:lastPrinted>2015-12-22T10:25:00Z</cp:lastPrinted>
  <dcterms:created xsi:type="dcterms:W3CDTF">2016-01-04T14:50:00Z</dcterms:created>
  <dcterms:modified xsi:type="dcterms:W3CDTF">2016-01-04T14:50:00Z</dcterms:modified>
</cp:coreProperties>
</file>