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55" w:rsidRPr="00F92CC7" w:rsidRDefault="00F22689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  <w:t xml:space="preserve">Ministru kabineta noteikumu </w:t>
      </w:r>
      <w:r w:rsidR="00894C55" w:rsidRPr="00F92CC7"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  <w:t>projekta</w:t>
      </w:r>
      <w:r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  <w:t xml:space="preserve"> “</w:t>
      </w:r>
      <w:r w:rsidR="00AF4117" w:rsidRPr="00AF4117"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  <w:t>Prekursoru operatoru un prekursoru lietotāju re</w:t>
      </w:r>
      <w:bookmarkStart w:id="0" w:name="_GoBack"/>
      <w:bookmarkEnd w:id="0"/>
      <w:r w:rsidR="00AF4117" w:rsidRPr="00AF4117"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  <w:t>ģistrēšanas un licencēšanas kārtība</w:t>
      </w:r>
      <w:r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  <w:t xml:space="preserve">” </w:t>
      </w:r>
      <w:r w:rsidR="00894C55" w:rsidRPr="00F92CC7"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  <w:t>sākotnējās ietekmes novērtējuma ziņojums (anotācija)</w:t>
      </w:r>
    </w:p>
    <w:p w:rsidR="00E5323B" w:rsidRPr="00F92CC7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E5323B" w:rsidRPr="00F92CC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E545B2" w:rsidRDefault="008B32D8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Projekta mērķis ir </w:t>
            </w:r>
            <w:r w:rsidR="00CA53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noteikt</w:t>
            </w:r>
            <w:r w:rsidR="00AF41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F4117" w:rsidRPr="00AF41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prekursoru operatoru un prekursoru lietotāju reģistrēšanas un licencēšanas kārtību</w:t>
            </w:r>
            <w:r w:rsidR="00AF41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tiktāl, cik to neregulē </w:t>
            </w:r>
            <w:r w:rsid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regula</w:t>
            </w:r>
            <w:r w:rsidR="00AF4117" w:rsidRPr="00AF41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Nr.2015/1011</w:t>
            </w:r>
            <w:r w:rsid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un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 regula Nr.2015/1013</w:t>
            </w:r>
            <w:r w:rsidR="00AF41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prasības prekursoru uzglabāšanai</w:t>
            </w:r>
            <w:r w:rsid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, kā arī</w:t>
            </w:r>
            <w:r w:rsidR="00CA53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kārtību, kādā 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prekursoru operatori sniedz Zāļu valsts aģentūrai </w:t>
            </w:r>
            <w:r w:rsid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(turpmāk - aģentūra) 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informāciju par saviem darījumiem ar prekursoriem, kā arī sniedzamās informācijas saturu</w:t>
            </w:r>
            <w:r w:rsidR="00CA53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F219F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stā</w:t>
            </w:r>
            <w:r w:rsidR="004B54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jas spēkā </w:t>
            </w:r>
            <w:r w:rsidR="0068694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2019.gada 1.</w:t>
            </w:r>
            <w:r w:rsidR="003E6CA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jūli</w:t>
            </w:r>
            <w:r w:rsidR="0068694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jā</w:t>
            </w:r>
            <w:r w:rsidR="004B54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</w:tbl>
    <w:p w:rsidR="00E5323B" w:rsidRPr="00F92CC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F92CC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E5323B" w:rsidRPr="00F92CC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E5323B" w:rsidRPr="00F92CC7" w:rsidTr="00CD486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94E" w:rsidRPr="00F92CC7" w:rsidRDefault="00CD486E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L</w:t>
            </w:r>
            <w:r w:rsidRPr="002651B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ikumprojekt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2651B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 “Grozījumi likumā “Par narkotisko un psihotropo vielu un zāļu likumīgās aprites kārtību””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(VSS-592, </w:t>
            </w:r>
            <w:r w:rsidRPr="00F94E3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TA-2696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, Ministru kabineta sēdē izskatīts 2019.gada 15.janvārī</w:t>
            </w:r>
            <w:r w:rsidR="002741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, Latvijas Republikas Saeimas likumprojekts Nr.</w:t>
            </w:r>
            <w:r w:rsidR="002741B7">
              <w:t xml:space="preserve"> </w:t>
            </w:r>
            <w:r w:rsidR="002741B7" w:rsidRPr="00C215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212/Lp13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) paredzētā likuma pārejas noteikumu 3.punkts</w:t>
            </w:r>
            <w:r w:rsid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- </w:t>
            </w:r>
            <w:r w:rsidR="0017126C"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Ministru kabinets līdz 2019. gada 1. </w:t>
            </w:r>
            <w:r w:rsidR="003E6CA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jūlij</w:t>
            </w:r>
            <w:r w:rsidR="0017126C"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am izdod:</w:t>
            </w:r>
            <w:r w:rsidR="009D3C1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7F624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[…]</w:t>
            </w:r>
            <w:r w:rsid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2</w:t>
            </w:r>
            <w:r w:rsidR="00CA53CD" w:rsidRPr="00CA53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) šā likuma 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42.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lv-LV"/>
              </w:rPr>
              <w:t>1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panta ceturtajā daļā un 42.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lv-LV"/>
              </w:rPr>
              <w:t>2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panta otrajā daļā</w:t>
            </w:r>
            <w:r w:rsid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F22353" w:rsidRPr="00F223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paredzētos noteikumus</w:t>
            </w:r>
            <w:r w:rsidR="00CA53CD" w:rsidRPr="00CA53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;</w:t>
            </w:r>
            <w:r w:rsidR="00CA53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[…]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CD486E" w:rsidRPr="00F92CC7" w:rsidTr="00CA53CD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86E" w:rsidRPr="00F92CC7" w:rsidRDefault="00CD486E" w:rsidP="00CD48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264" w:rsidRDefault="00CD486E" w:rsidP="00CD48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P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24264" w:rsidRDefault="00824264" w:rsidP="0082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CD486E" w:rsidRPr="00824264" w:rsidRDefault="00CD486E" w:rsidP="0082426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CD4" w:rsidRDefault="00F638A5" w:rsidP="00F638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E14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Prekursoru apriti Eiropas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Savienībā</w:t>
            </w:r>
            <w:r w:rsidRPr="00BE14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jau vairāk kā desmit gadus reglamentē šādi divi galvenie Eiropas Savienības tiesību akti – Eiropas Parlamenta un Padomes 2004.gada 11.februāra Regula (EK) Nr.273/2004 par narkotisko vielu prekursoriem (turpmāk – regula Nr.273/2004) un Padomes 2004.gada 22.decembra Regula (EK) Nr.111/2005, ar ko paredz noteikumus par uzraudzību attiecībā uz narkotisko vielu prekursoru tirdzniecību starp Kopienu un trešajām valstīm (turpmāk – regula Nr.111/2005). Ir pieņemta arī viena deleģētā regula –regula Nr.2015/1011 un viena īstenošanas regula –regula Nr.2015/1013.</w:t>
            </w:r>
          </w:p>
          <w:p w:rsidR="00F638A5" w:rsidRDefault="00F638A5" w:rsidP="00F638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</w:p>
          <w:p w:rsidR="00F638A5" w:rsidRDefault="00F638A5" w:rsidP="00F638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BE14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Tā kā šobrīd spēkā esošie Eiropas Savienības sekundārie tiesību akti jau daudz detalizētāk regulē prekursoru apriti, daudzas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Ministru kabineta 2010.gada 21.decembra noteikumu Nr.1142 “</w:t>
            </w:r>
            <w:r w:rsidRPr="00F638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Operatoru reģistrēšanas un licencēšanas kārtība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”</w:t>
            </w:r>
            <w:r w:rsidRPr="00BE14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26292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(kuri zaudēs spēku tad, kad spēku zaudēs likums “Par prekursoriem”) </w:t>
            </w:r>
            <w:r w:rsidRPr="00BE14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normas dublē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šo</w:t>
            </w:r>
            <w:r w:rsidRPr="00BE14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regulu normas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. Tādēļ šajā projektā ir nepieciešams noregulēt tikai jautājumus, kuri netiek aptverti ar minētajām regulām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lastRenderedPageBreak/>
              <w:t xml:space="preserve">vai kuros minētās regulas tieši paredz dalībvalstīm izvēles brīvību noregulēt jautājumu nacionālajā normatīvajā aktā. </w:t>
            </w:r>
          </w:p>
          <w:p w:rsidR="00F638A5" w:rsidRPr="00F638A5" w:rsidRDefault="00F638A5" w:rsidP="00F638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CD486E" w:rsidRPr="00F92CC7" w:rsidTr="00CD486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86E" w:rsidRPr="00F92CC7" w:rsidRDefault="00CD486E" w:rsidP="00CD48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86E" w:rsidRPr="00F92CC7" w:rsidRDefault="00CD486E" w:rsidP="00CD48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86E" w:rsidRPr="00F92CC7" w:rsidRDefault="0017126C" w:rsidP="00CD48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Vese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lības ministrija, Zāļu valsts aģentūra, Veselības inspekcija</w:t>
            </w:r>
          </w:p>
        </w:tc>
      </w:tr>
      <w:tr w:rsidR="00CD486E" w:rsidRPr="00F92CC7" w:rsidTr="00CD486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86E" w:rsidRPr="00F92CC7" w:rsidRDefault="00CD486E" w:rsidP="00CD48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86E" w:rsidRPr="00F92CC7" w:rsidRDefault="00CD486E" w:rsidP="00CD48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86E" w:rsidRPr="00F92CC7" w:rsidRDefault="0017126C" w:rsidP="00CD48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Nav</w:t>
            </w:r>
          </w:p>
        </w:tc>
      </w:tr>
    </w:tbl>
    <w:p w:rsidR="00E5323B" w:rsidRPr="00F92CC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F92CC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E5323B" w:rsidRPr="00F92CC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mērķgrupas</w:t>
            </w:r>
            <w:proofErr w:type="spellEnd"/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1259B1" w:rsidRDefault="001259B1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</w:t>
            </w:r>
            <w:r w:rsidRPr="001259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rekursoru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operatori un lietotāji – dažādi komersanti (zāļu ražošana,</w:t>
            </w:r>
            <w:r w:rsidR="002741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aktīvo vielu ražošana un izplatīšana,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ķīmisko vielu ražošana</w:t>
            </w:r>
            <w:r w:rsidR="002741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izplatīšana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utml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.), izglītības un ārstniecības iestādes.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370E1F" w:rsidRDefault="00370E1F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</w:t>
            </w:r>
            <w:r w:rsidR="00160D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1259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nepalielina</w:t>
            </w:r>
            <w:r w:rsidR="00160D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administratīvo slogu</w:t>
            </w:r>
            <w:r w:rsidR="001259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4905C6" w:rsidRDefault="001259B1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nepalielina administratīvo slogu.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4905C6" w:rsidRDefault="005A50D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</w:t>
            </w:r>
            <w:r w:rsidR="001259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rekursoru operatoriem un lietotājiem var būt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nepieciešams iegādāties slēdzamu metāla skapi vai seifu saraksta vielu uzglabāšanai. Slēdzama metāla skapja vai seifa iegādes izmaksas ir</w:t>
            </w:r>
            <w:r w:rsidR="002741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, sākot ar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 50-150 EUR</w:t>
            </w:r>
            <w:r w:rsidR="002741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atkarībā no izmēra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. Kopējais skaits personu, uz kurām attiecas šīs prasības, nav zināms.</w:t>
            </w:r>
            <w:r w:rsidR="001259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Tāpat tiem var būt nepieciešams telpu, kurā glabājas prekursori, aprīkot ar signalizāciju</w:t>
            </w:r>
            <w:r w:rsidR="002741B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, un izmaksas ir stipri individuālas katrā atsevišķā gadījumā, un šobrīd nav aprēķināmas</w:t>
            </w:r>
            <w:r w:rsidR="001259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5A50D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:rsidR="00E5323B" w:rsidRPr="00F92CC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F92CC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E5323B" w:rsidRPr="00F92CC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17126C" w:rsidRPr="00F92CC7" w:rsidTr="0017126C">
        <w:trPr>
          <w:tblCellSpacing w:w="15" w:type="dxa"/>
        </w:trPr>
        <w:tc>
          <w:tcPr>
            <w:tcW w:w="4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7126C" w:rsidRPr="0017126C" w:rsidRDefault="0017126C" w:rsidP="0017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:rsidR="00E5323B" w:rsidRPr="00F92CC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F92CC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E5323B" w:rsidRPr="00F92CC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17126C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Nav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17126C" w:rsidRDefault="0017126C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Veselības ministrija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17126C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Nav</w:t>
            </w:r>
          </w:p>
        </w:tc>
      </w:tr>
    </w:tbl>
    <w:p w:rsidR="00E5323B" w:rsidRPr="00F92CC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F92CC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E5323B" w:rsidRPr="00F92CC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2741B7" w:rsidRPr="00F92CC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1B7" w:rsidRPr="00F92CC7" w:rsidRDefault="002741B7" w:rsidP="0027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1712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Projekts šo jomu neskar</w:t>
            </w:r>
          </w:p>
        </w:tc>
      </w:tr>
    </w:tbl>
    <w:p w:rsidR="00E5323B" w:rsidRPr="00F92CC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F92CC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E5323B" w:rsidRPr="00F92CC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  <w:lastRenderedPageBreak/>
              <w:t>VI. Sabiedrības līdzdalība un komunikācijas aktivitātes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3B63B4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3B63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ar p</w:t>
            </w:r>
            <w:r w:rsidRPr="003B63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jektu ir plānots rīkot sabiedrisko apspriedi.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2741B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 vēl nav līdzdarbojusies projekta izstrādē.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2741B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 vēl nav līdzdarbojusies projekta izstrādē.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3B63B4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3B63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:rsidR="00E5323B" w:rsidRPr="00F92CC7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</w:pPr>
      <w:r w:rsidRPr="00F92CC7">
        <w:rPr>
          <w:rFonts w:ascii="Times New Roman" w:eastAsia="Times New Roman" w:hAnsi="Times New Roman" w:cs="Times New Roman"/>
          <w:iCs/>
          <w:color w:val="414142"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E5323B" w:rsidRPr="00F92CC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2A4F2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Zāļu valsts aģentūra, Veselības inspekcija, Valsts policija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2A4F2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neietekmē.</w:t>
            </w:r>
          </w:p>
        </w:tc>
      </w:tr>
      <w:tr w:rsidR="00E5323B" w:rsidRPr="00F92CC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F2C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</w:pPr>
            <w:r w:rsidRPr="00F92CC7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3B" w:rsidRPr="00F92CC7" w:rsidRDefault="002A4F2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:rsidR="00C25B49" w:rsidRPr="00F92CC7" w:rsidRDefault="00C25B49" w:rsidP="0089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E6" w:rsidRDefault="00C747E6" w:rsidP="008E02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C55" w:rsidRPr="00F92CC7" w:rsidRDefault="008E0250" w:rsidP="008E02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Veselības</w:t>
      </w:r>
      <w:r w:rsidR="00894C55" w:rsidRPr="00F92CC7">
        <w:rPr>
          <w:rFonts w:ascii="Times New Roman" w:hAnsi="Times New Roman" w:cs="Times New Roman"/>
          <w:sz w:val="28"/>
          <w:szCs w:val="28"/>
        </w:rPr>
        <w:t xml:space="preserve"> ministr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ab/>
        <w:t>I. Viņķele</w:t>
      </w:r>
    </w:p>
    <w:p w:rsidR="00894C55" w:rsidRDefault="00894C55" w:rsidP="00894C5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747E6" w:rsidRPr="00F92CC7" w:rsidRDefault="00C747E6" w:rsidP="00894C5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94C55" w:rsidRPr="00F92CC7" w:rsidRDefault="002A4F2A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</w:t>
      </w:r>
      <w:r w:rsidR="008E0250">
        <w:rPr>
          <w:rFonts w:ascii="Times New Roman" w:hAnsi="Times New Roman" w:cs="Times New Roman"/>
          <w:sz w:val="24"/>
          <w:szCs w:val="28"/>
        </w:rPr>
        <w:t>trautiņš</w:t>
      </w:r>
      <w:r w:rsidR="00D133F8" w:rsidRPr="00F92CC7">
        <w:rPr>
          <w:rFonts w:ascii="Times New Roman" w:hAnsi="Times New Roman" w:cs="Times New Roman"/>
          <w:sz w:val="24"/>
          <w:szCs w:val="28"/>
        </w:rPr>
        <w:t xml:space="preserve"> 67012345</w:t>
      </w:r>
    </w:p>
    <w:p w:rsidR="00894C55" w:rsidRPr="00F92CC7" w:rsidRDefault="008E0250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Edgars</w:t>
      </w:r>
      <w:r w:rsidR="00894C55" w:rsidRPr="00F92CC7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Strautins</w:t>
      </w:r>
      <w:r w:rsidR="00894C55" w:rsidRPr="00F92CC7">
        <w:rPr>
          <w:rFonts w:ascii="Times New Roman" w:hAnsi="Times New Roman" w:cs="Times New Roman"/>
          <w:sz w:val="24"/>
          <w:szCs w:val="28"/>
        </w:rPr>
        <w:t>@</w:t>
      </w:r>
      <w:r>
        <w:rPr>
          <w:rFonts w:ascii="Times New Roman" w:hAnsi="Times New Roman" w:cs="Times New Roman"/>
          <w:sz w:val="24"/>
          <w:szCs w:val="28"/>
        </w:rPr>
        <w:t>v</w:t>
      </w:r>
      <w:r w:rsidR="00D133F8" w:rsidRPr="00F92CC7">
        <w:rPr>
          <w:rFonts w:ascii="Times New Roman" w:hAnsi="Times New Roman" w:cs="Times New Roman"/>
          <w:sz w:val="24"/>
          <w:szCs w:val="28"/>
        </w:rPr>
        <w:t>m</w:t>
      </w:r>
      <w:r w:rsidR="00894C55" w:rsidRPr="00F92CC7">
        <w:rPr>
          <w:rFonts w:ascii="Times New Roman" w:hAnsi="Times New Roman" w:cs="Times New Roman"/>
          <w:sz w:val="24"/>
          <w:szCs w:val="28"/>
        </w:rPr>
        <w:t>.gov.lv</w:t>
      </w:r>
    </w:p>
    <w:sectPr w:rsidR="00894C55" w:rsidRPr="00F92CC7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41" w:rsidRDefault="00FB2D41" w:rsidP="00894C55">
      <w:pPr>
        <w:spacing w:after="0" w:line="240" w:lineRule="auto"/>
      </w:pPr>
      <w:r>
        <w:separator/>
      </w:r>
    </w:p>
  </w:endnote>
  <w:endnote w:type="continuationSeparator" w:id="0">
    <w:p w:rsidR="00FB2D41" w:rsidRDefault="00FB2D41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C55" w:rsidRPr="00894C55" w:rsidRDefault="00E545B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VManot_</w:t>
    </w:r>
    <w:r w:rsidR="00B06A50">
      <w:rPr>
        <w:rFonts w:ascii="Times New Roman" w:hAnsi="Times New Roman" w:cs="Times New Roman"/>
        <w:sz w:val="20"/>
        <w:szCs w:val="20"/>
      </w:rPr>
      <w:t>0</w:t>
    </w:r>
    <w:r w:rsidR="002741B7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0</w:t>
    </w:r>
    <w:r w:rsidR="00B06A50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19_</w:t>
    </w:r>
    <w:r w:rsidR="00824264">
      <w:rPr>
        <w:rFonts w:ascii="Times New Roman" w:hAnsi="Times New Roman" w:cs="Times New Roman"/>
        <w:sz w:val="20"/>
        <w:szCs w:val="20"/>
      </w:rPr>
      <w:t>Prekursori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54" w:rsidRPr="009A2654" w:rsidRDefault="00E545B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</w:t>
    </w:r>
    <w:r w:rsidR="00BA20AA">
      <w:rPr>
        <w:rFonts w:ascii="Times New Roman" w:hAnsi="Times New Roman" w:cs="Times New Roman"/>
        <w:sz w:val="20"/>
        <w:szCs w:val="20"/>
      </w:rPr>
      <w:t>M</w:t>
    </w:r>
    <w:r w:rsidR="009A2654">
      <w:rPr>
        <w:rFonts w:ascii="Times New Roman" w:hAnsi="Times New Roman" w:cs="Times New Roman"/>
        <w:sz w:val="20"/>
        <w:szCs w:val="20"/>
      </w:rPr>
      <w:t>anot_</w:t>
    </w:r>
    <w:r w:rsidR="00824264">
      <w:rPr>
        <w:rFonts w:ascii="Times New Roman" w:hAnsi="Times New Roman" w:cs="Times New Roman"/>
        <w:sz w:val="20"/>
        <w:szCs w:val="20"/>
      </w:rPr>
      <w:t>0</w:t>
    </w:r>
    <w:r w:rsidR="002741B7">
      <w:rPr>
        <w:rFonts w:ascii="Times New Roman" w:hAnsi="Times New Roman" w:cs="Times New Roman"/>
        <w:sz w:val="20"/>
        <w:szCs w:val="20"/>
      </w:rPr>
      <w:t>2</w:t>
    </w:r>
    <w:r w:rsidR="009A2654">
      <w:rPr>
        <w:rFonts w:ascii="Times New Roman" w:hAnsi="Times New Roman" w:cs="Times New Roman"/>
        <w:sz w:val="20"/>
        <w:szCs w:val="20"/>
      </w:rPr>
      <w:t>0</w:t>
    </w:r>
    <w:r w:rsidR="00824264">
      <w:rPr>
        <w:rFonts w:ascii="Times New Roman" w:hAnsi="Times New Roman" w:cs="Times New Roman"/>
        <w:sz w:val="20"/>
        <w:szCs w:val="20"/>
      </w:rPr>
      <w:t>5</w:t>
    </w:r>
    <w:r w:rsidR="009A2654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9</w:t>
    </w:r>
    <w:r w:rsidR="009A2654">
      <w:rPr>
        <w:rFonts w:ascii="Times New Roman" w:hAnsi="Times New Roman" w:cs="Times New Roman"/>
        <w:sz w:val="20"/>
        <w:szCs w:val="20"/>
      </w:rPr>
      <w:t>_</w:t>
    </w:r>
    <w:r w:rsidR="00824264">
      <w:rPr>
        <w:rFonts w:ascii="Times New Roman" w:hAnsi="Times New Roman" w:cs="Times New Roman"/>
        <w:sz w:val="20"/>
        <w:szCs w:val="20"/>
      </w:rPr>
      <w:t>Prekursori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41" w:rsidRDefault="00FB2D41" w:rsidP="00894C55">
      <w:pPr>
        <w:spacing w:after="0" w:line="240" w:lineRule="auto"/>
      </w:pPr>
      <w:r>
        <w:separator/>
      </w:r>
    </w:p>
  </w:footnote>
  <w:footnote w:type="continuationSeparator" w:id="0">
    <w:p w:rsidR="00FB2D41" w:rsidRDefault="00FB2D41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AF1239">
          <w:rPr>
            <w:rFonts w:ascii="Times New Roman" w:hAnsi="Times New Roman" w:cs="Times New Roman"/>
            <w:noProof/>
            <w:sz w:val="24"/>
            <w:szCs w:val="20"/>
          </w:rPr>
          <w:t>6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F1FB8"/>
    <w:multiLevelType w:val="hybridMultilevel"/>
    <w:tmpl w:val="47A4C7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1085A"/>
    <w:rsid w:val="001259B1"/>
    <w:rsid w:val="001466AB"/>
    <w:rsid w:val="00160D2F"/>
    <w:rsid w:val="0017126C"/>
    <w:rsid w:val="001A5F62"/>
    <w:rsid w:val="001C0259"/>
    <w:rsid w:val="00204872"/>
    <w:rsid w:val="00243426"/>
    <w:rsid w:val="00262926"/>
    <w:rsid w:val="00263980"/>
    <w:rsid w:val="002651BC"/>
    <w:rsid w:val="002741B7"/>
    <w:rsid w:val="002A4C68"/>
    <w:rsid w:val="002A4F2A"/>
    <w:rsid w:val="002E1C05"/>
    <w:rsid w:val="0031465B"/>
    <w:rsid w:val="00370E1F"/>
    <w:rsid w:val="003B0BF9"/>
    <w:rsid w:val="003B63B4"/>
    <w:rsid w:val="003E0791"/>
    <w:rsid w:val="003E6CA3"/>
    <w:rsid w:val="003F28AC"/>
    <w:rsid w:val="00402727"/>
    <w:rsid w:val="004454FE"/>
    <w:rsid w:val="00456E40"/>
    <w:rsid w:val="00471F27"/>
    <w:rsid w:val="004905C6"/>
    <w:rsid w:val="00493813"/>
    <w:rsid w:val="004B54B4"/>
    <w:rsid w:val="004D75E5"/>
    <w:rsid w:val="0050178F"/>
    <w:rsid w:val="00520EAB"/>
    <w:rsid w:val="00562691"/>
    <w:rsid w:val="005A50D7"/>
    <w:rsid w:val="00655F2C"/>
    <w:rsid w:val="0068694E"/>
    <w:rsid w:val="006E1081"/>
    <w:rsid w:val="00720585"/>
    <w:rsid w:val="00773AF6"/>
    <w:rsid w:val="00795F71"/>
    <w:rsid w:val="007E5F7A"/>
    <w:rsid w:val="007E73AB"/>
    <w:rsid w:val="007F6245"/>
    <w:rsid w:val="00816C11"/>
    <w:rsid w:val="00824264"/>
    <w:rsid w:val="00894C55"/>
    <w:rsid w:val="00897264"/>
    <w:rsid w:val="008B32D8"/>
    <w:rsid w:val="008E0250"/>
    <w:rsid w:val="00910307"/>
    <w:rsid w:val="009A2654"/>
    <w:rsid w:val="009D3C1A"/>
    <w:rsid w:val="00A10FC3"/>
    <w:rsid w:val="00A57B9E"/>
    <w:rsid w:val="00A6073E"/>
    <w:rsid w:val="00AE5567"/>
    <w:rsid w:val="00AF1239"/>
    <w:rsid w:val="00AF4117"/>
    <w:rsid w:val="00B06A50"/>
    <w:rsid w:val="00B16480"/>
    <w:rsid w:val="00B2165C"/>
    <w:rsid w:val="00B37CD4"/>
    <w:rsid w:val="00BA20AA"/>
    <w:rsid w:val="00BB60F7"/>
    <w:rsid w:val="00BC2AB5"/>
    <w:rsid w:val="00BD4425"/>
    <w:rsid w:val="00C25B49"/>
    <w:rsid w:val="00C51D10"/>
    <w:rsid w:val="00C747E6"/>
    <w:rsid w:val="00CA53CD"/>
    <w:rsid w:val="00CC0D2D"/>
    <w:rsid w:val="00CD486E"/>
    <w:rsid w:val="00CE5657"/>
    <w:rsid w:val="00D133F8"/>
    <w:rsid w:val="00D14A3E"/>
    <w:rsid w:val="00D4568D"/>
    <w:rsid w:val="00D827F8"/>
    <w:rsid w:val="00D9080E"/>
    <w:rsid w:val="00DB2788"/>
    <w:rsid w:val="00E3716B"/>
    <w:rsid w:val="00E5323B"/>
    <w:rsid w:val="00E545B2"/>
    <w:rsid w:val="00E8749E"/>
    <w:rsid w:val="00E90C01"/>
    <w:rsid w:val="00EA486E"/>
    <w:rsid w:val="00EC7D86"/>
    <w:rsid w:val="00F219FE"/>
    <w:rsid w:val="00F22353"/>
    <w:rsid w:val="00F22689"/>
    <w:rsid w:val="00F57B0C"/>
    <w:rsid w:val="00F638A5"/>
    <w:rsid w:val="00F92CC7"/>
    <w:rsid w:val="00F94E33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E8C38F"/>
  <w15:docId w15:val="{4084D5DB-EDE0-445C-BA1E-AC1BF184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6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0D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D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05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05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0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3303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Edgars Strautiņš</cp:lastModifiedBy>
  <cp:revision>13</cp:revision>
  <dcterms:created xsi:type="dcterms:W3CDTF">2019-02-04T07:19:00Z</dcterms:created>
  <dcterms:modified xsi:type="dcterms:W3CDTF">2019-05-02T11:33:00Z</dcterms:modified>
</cp:coreProperties>
</file>