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F2A3B5" w14:textId="5CC97021" w:rsidR="00DF0D9F" w:rsidRPr="00995ECC" w:rsidRDefault="00965309" w:rsidP="00DF0D9F">
      <w:pPr>
        <w:pStyle w:val="Footer"/>
        <w:ind w:firstLine="0"/>
        <w:jc w:val="center"/>
        <w:rPr>
          <w:b/>
          <w:szCs w:val="28"/>
        </w:rPr>
      </w:pPr>
      <w:r w:rsidRPr="00995ECC">
        <w:rPr>
          <w:b/>
          <w:szCs w:val="28"/>
        </w:rPr>
        <w:t>Ministru kabineta noteikumu projekta</w:t>
      </w:r>
      <w:r w:rsidR="000C6111" w:rsidRPr="00995ECC">
        <w:rPr>
          <w:b/>
          <w:szCs w:val="28"/>
        </w:rPr>
        <w:t xml:space="preserve"> </w:t>
      </w:r>
      <w:r w:rsidR="00583874" w:rsidRPr="00583874">
        <w:rPr>
          <w:b/>
          <w:szCs w:val="28"/>
        </w:rPr>
        <w:t>“</w:t>
      </w:r>
      <w:r w:rsidR="00716858" w:rsidRPr="00716858">
        <w:rPr>
          <w:b/>
          <w:szCs w:val="28"/>
        </w:rPr>
        <w:t>Valsts materiālajās rezervēs esošo zāļu un medicīniskās ierīču atsavināšanas kārtība</w:t>
      </w:r>
      <w:r w:rsidR="00583874" w:rsidRPr="00583874">
        <w:rPr>
          <w:b/>
          <w:szCs w:val="28"/>
        </w:rPr>
        <w:t xml:space="preserve">” </w:t>
      </w:r>
      <w:r w:rsidR="00DF0D9F" w:rsidRPr="00995ECC">
        <w:rPr>
          <w:b/>
          <w:szCs w:val="28"/>
        </w:rPr>
        <w:t>sākotnējās ietekmes novērtējuma ziņojums (anotācija)</w:t>
      </w:r>
      <w:r w:rsidR="00583874">
        <w:rPr>
          <w:b/>
          <w:szCs w:val="28"/>
        </w:rPr>
        <w:t xml:space="preserve"> </w:t>
      </w:r>
    </w:p>
    <w:p w14:paraId="6D7F5C46" w14:textId="77777777" w:rsidR="00965309" w:rsidRPr="006344D1" w:rsidRDefault="00DF0D9F" w:rsidP="00DF0D9F">
      <w:pPr>
        <w:jc w:val="center"/>
        <w:rPr>
          <w:b/>
          <w:bCs/>
          <w:szCs w:val="28"/>
          <w:lang w:eastAsia="lv-LV"/>
        </w:rPr>
      </w:pPr>
      <w:r w:rsidRPr="006344D1">
        <w:rPr>
          <w:b/>
          <w:bCs/>
          <w:szCs w:val="28"/>
          <w:lang w:eastAsia="lv-LV"/>
        </w:rPr>
        <w:t xml:space="preserve"> </w:t>
      </w:r>
    </w:p>
    <w:tbl>
      <w:tblPr>
        <w:tblW w:w="5161" w:type="pct"/>
        <w:tblInd w:w="-292" w:type="dxa"/>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3712"/>
        <w:gridCol w:w="5701"/>
      </w:tblGrid>
      <w:tr w:rsidR="006344D1" w:rsidRPr="00301919" w14:paraId="115AD24B" w14:textId="77777777" w:rsidTr="006344D1">
        <w:tc>
          <w:tcPr>
            <w:tcW w:w="5000" w:type="pct"/>
            <w:gridSpan w:val="2"/>
            <w:tcBorders>
              <w:top w:val="outset" w:sz="6" w:space="0" w:color="414142"/>
              <w:left w:val="outset" w:sz="6" w:space="0" w:color="414142"/>
              <w:bottom w:val="outset" w:sz="6" w:space="0" w:color="414142"/>
              <w:right w:val="outset" w:sz="6" w:space="0" w:color="414142"/>
            </w:tcBorders>
            <w:vAlign w:val="center"/>
            <w:hideMark/>
          </w:tcPr>
          <w:p w14:paraId="4A03DDA5" w14:textId="77777777" w:rsidR="006344D1" w:rsidRPr="006344D1" w:rsidRDefault="006344D1" w:rsidP="001B36A4">
            <w:pPr>
              <w:spacing w:before="100" w:beforeAutospacing="1" w:after="100" w:afterAutospacing="1" w:line="293" w:lineRule="atLeast"/>
              <w:jc w:val="center"/>
              <w:rPr>
                <w:rFonts w:eastAsia="Times New Roman"/>
                <w:b/>
                <w:bCs/>
                <w:sz w:val="24"/>
                <w:szCs w:val="24"/>
                <w:lang w:eastAsia="lv-LV"/>
              </w:rPr>
            </w:pPr>
            <w:r w:rsidRPr="006344D1">
              <w:rPr>
                <w:rFonts w:eastAsia="Times New Roman"/>
                <w:b/>
                <w:bCs/>
                <w:sz w:val="24"/>
                <w:szCs w:val="24"/>
                <w:lang w:eastAsia="lv-LV"/>
              </w:rPr>
              <w:t>Tiesību akta projekta anotācijas kopsavilkums</w:t>
            </w:r>
          </w:p>
        </w:tc>
      </w:tr>
      <w:tr w:rsidR="006344D1" w:rsidRPr="000A73A1" w14:paraId="75A4024D" w14:textId="77777777" w:rsidTr="006344D1">
        <w:tc>
          <w:tcPr>
            <w:tcW w:w="1972" w:type="pct"/>
            <w:tcBorders>
              <w:top w:val="outset" w:sz="6" w:space="0" w:color="414142"/>
              <w:left w:val="outset" w:sz="6" w:space="0" w:color="414142"/>
              <w:bottom w:val="outset" w:sz="6" w:space="0" w:color="414142"/>
              <w:right w:val="outset" w:sz="6" w:space="0" w:color="414142"/>
            </w:tcBorders>
            <w:hideMark/>
          </w:tcPr>
          <w:p w14:paraId="6442486F" w14:textId="77777777" w:rsidR="006344D1" w:rsidRPr="000A73A1" w:rsidRDefault="006344D1" w:rsidP="001B36A4">
            <w:pPr>
              <w:rPr>
                <w:rFonts w:eastAsia="Times New Roman"/>
                <w:szCs w:val="28"/>
                <w:lang w:eastAsia="lv-LV"/>
              </w:rPr>
            </w:pPr>
            <w:r w:rsidRPr="000A73A1">
              <w:rPr>
                <w:rFonts w:eastAsia="Times New Roman"/>
                <w:szCs w:val="28"/>
                <w:lang w:eastAsia="lv-LV"/>
              </w:rPr>
              <w:t>Mērķis, risinājums un projekta spēkā stāšanās laiks (500 zīmes bez atstarpēm)</w:t>
            </w:r>
          </w:p>
        </w:tc>
        <w:tc>
          <w:tcPr>
            <w:tcW w:w="3028" w:type="pct"/>
            <w:tcBorders>
              <w:top w:val="outset" w:sz="6" w:space="0" w:color="414142"/>
              <w:left w:val="outset" w:sz="6" w:space="0" w:color="414142"/>
              <w:bottom w:val="outset" w:sz="6" w:space="0" w:color="414142"/>
              <w:right w:val="outset" w:sz="6" w:space="0" w:color="414142"/>
            </w:tcBorders>
            <w:hideMark/>
          </w:tcPr>
          <w:p w14:paraId="5DE1A536" w14:textId="4EEFE2AC" w:rsidR="0004231E" w:rsidRPr="00716858" w:rsidRDefault="006344D1" w:rsidP="009C6E84">
            <w:pPr>
              <w:tabs>
                <w:tab w:val="left" w:pos="1134"/>
              </w:tabs>
              <w:rPr>
                <w:bCs/>
                <w:szCs w:val="28"/>
              </w:rPr>
            </w:pPr>
            <w:r w:rsidRPr="00716858">
              <w:rPr>
                <w:szCs w:val="28"/>
              </w:rPr>
              <w:t xml:space="preserve">Ministru kabineta noteikumu projekts </w:t>
            </w:r>
            <w:r w:rsidR="00583874" w:rsidRPr="00716858">
              <w:rPr>
                <w:szCs w:val="28"/>
              </w:rPr>
              <w:t>“</w:t>
            </w:r>
            <w:r w:rsidR="00716858" w:rsidRPr="00716858">
              <w:rPr>
                <w:szCs w:val="28"/>
              </w:rPr>
              <w:t>Valsts materiālajās rezervēs esošo zāļu un medicīniskās ierīču atsavināšanas kārtība</w:t>
            </w:r>
            <w:r w:rsidR="00583874" w:rsidRPr="00716858">
              <w:rPr>
                <w:szCs w:val="28"/>
              </w:rPr>
              <w:t xml:space="preserve">” </w:t>
            </w:r>
            <w:r w:rsidRPr="00716858">
              <w:rPr>
                <w:szCs w:val="28"/>
              </w:rPr>
              <w:t xml:space="preserve">(turpmāk – noteikumu projekts) paredz noteikt vienotu kārtību, kādā </w:t>
            </w:r>
            <w:r w:rsidR="00716858" w:rsidRPr="00716858">
              <w:rPr>
                <w:szCs w:val="28"/>
              </w:rPr>
              <w:t>atsavina valsts materiālajās rezervēs esošās zāles un medicīniskās ierīces</w:t>
            </w:r>
            <w:r w:rsidR="0004231E" w:rsidRPr="006810BE">
              <w:rPr>
                <w:szCs w:val="28"/>
              </w:rPr>
              <w:t xml:space="preserve"> </w:t>
            </w:r>
            <w:r w:rsidR="000A4DBF">
              <w:rPr>
                <w:szCs w:val="28"/>
              </w:rPr>
              <w:t>.</w:t>
            </w:r>
          </w:p>
          <w:p w14:paraId="348BEF1F" w14:textId="77777777" w:rsidR="00D67796" w:rsidRPr="000A73A1" w:rsidRDefault="00D67796" w:rsidP="00D67796">
            <w:pPr>
              <w:ind w:firstLine="539"/>
              <w:rPr>
                <w:szCs w:val="28"/>
              </w:rPr>
            </w:pPr>
          </w:p>
          <w:p w14:paraId="77613E51" w14:textId="655BDC19" w:rsidR="006344D1" w:rsidRDefault="000A4DBF" w:rsidP="00D67796">
            <w:pPr>
              <w:ind w:firstLine="539"/>
              <w:rPr>
                <w:szCs w:val="28"/>
              </w:rPr>
            </w:pPr>
            <w:r>
              <w:rPr>
                <w:szCs w:val="28"/>
              </w:rPr>
              <w:t>N</w:t>
            </w:r>
            <w:r w:rsidR="0076711D" w:rsidRPr="000A73A1">
              <w:rPr>
                <w:szCs w:val="28"/>
              </w:rPr>
              <w:t>oteikumu</w:t>
            </w:r>
            <w:r w:rsidR="006344D1" w:rsidRPr="000A73A1">
              <w:rPr>
                <w:szCs w:val="28"/>
              </w:rPr>
              <w:t xml:space="preserve"> projekts </w:t>
            </w:r>
            <w:r>
              <w:rPr>
                <w:szCs w:val="28"/>
              </w:rPr>
              <w:t xml:space="preserve">stāsies spēkā </w:t>
            </w:r>
            <w:r w:rsidR="00D16A1E" w:rsidRPr="00D16A1E">
              <w:rPr>
                <w:szCs w:val="28"/>
              </w:rPr>
              <w:t>Oficiālo publikāciju un tiesiskās informācijas likumā noteiktajā kārtībā</w:t>
            </w:r>
            <w:r w:rsidR="006344D1" w:rsidRPr="000A73A1">
              <w:rPr>
                <w:szCs w:val="28"/>
              </w:rPr>
              <w:t>.</w:t>
            </w:r>
          </w:p>
          <w:p w14:paraId="68A0A342" w14:textId="77777777" w:rsidR="0004231E" w:rsidRPr="005612EA" w:rsidRDefault="0004231E" w:rsidP="005612EA">
            <w:pPr>
              <w:tabs>
                <w:tab w:val="left" w:pos="1134"/>
              </w:tabs>
              <w:rPr>
                <w:rFonts w:eastAsia="Times New Roman"/>
                <w:szCs w:val="28"/>
                <w:lang w:eastAsia="lv-LV"/>
              </w:rPr>
            </w:pPr>
          </w:p>
        </w:tc>
      </w:tr>
    </w:tbl>
    <w:p w14:paraId="2FF93052" w14:textId="77777777" w:rsidR="006344D1" w:rsidRPr="000A73A1" w:rsidRDefault="006344D1" w:rsidP="00DF0D9F">
      <w:pPr>
        <w:jc w:val="center"/>
        <w:rPr>
          <w:szCs w:val="28"/>
        </w:rPr>
      </w:pPr>
    </w:p>
    <w:tbl>
      <w:tblPr>
        <w:tblStyle w:val="TableGrid"/>
        <w:tblpPr w:leftFromText="180" w:rightFromText="180" w:vertAnchor="text" w:tblpXSpec="right" w:tblpY="1"/>
        <w:tblOverlap w:val="never"/>
        <w:tblW w:w="5164" w:type="pct"/>
        <w:tblLook w:val="00A0" w:firstRow="1" w:lastRow="0" w:firstColumn="1" w:lastColumn="0" w:noHBand="0" w:noVBand="0"/>
      </w:tblPr>
      <w:tblGrid>
        <w:gridCol w:w="721"/>
        <w:gridCol w:w="3052"/>
        <w:gridCol w:w="5819"/>
      </w:tblGrid>
      <w:tr w:rsidR="00965309" w:rsidRPr="000A73A1" w14:paraId="1F956FEC" w14:textId="77777777" w:rsidTr="00217FB7">
        <w:trPr>
          <w:trHeight w:val="405"/>
        </w:trPr>
        <w:tc>
          <w:tcPr>
            <w:tcW w:w="5000" w:type="pct"/>
            <w:gridSpan w:val="3"/>
          </w:tcPr>
          <w:p w14:paraId="05BF8672" w14:textId="77777777" w:rsidR="00965309" w:rsidRPr="000A73A1" w:rsidRDefault="00965309" w:rsidP="00217FB7">
            <w:pPr>
              <w:spacing w:before="100" w:beforeAutospacing="1" w:after="100" w:afterAutospacing="1"/>
              <w:ind w:firstLine="0"/>
              <w:jc w:val="center"/>
              <w:rPr>
                <w:b/>
                <w:bCs/>
                <w:szCs w:val="28"/>
                <w:lang w:eastAsia="lv-LV"/>
              </w:rPr>
            </w:pPr>
            <w:r w:rsidRPr="000A73A1">
              <w:rPr>
                <w:b/>
                <w:bCs/>
                <w:szCs w:val="28"/>
                <w:lang w:eastAsia="lv-LV"/>
              </w:rPr>
              <w:t>I. Tiesību akta projekta izstrādes nepieciešamība</w:t>
            </w:r>
          </w:p>
        </w:tc>
      </w:tr>
      <w:tr w:rsidR="00965309" w:rsidRPr="000A73A1" w14:paraId="5241DD85" w14:textId="77777777" w:rsidTr="00217FB7">
        <w:trPr>
          <w:trHeight w:val="405"/>
        </w:trPr>
        <w:tc>
          <w:tcPr>
            <w:tcW w:w="376" w:type="pct"/>
          </w:tcPr>
          <w:p w14:paraId="42F38687" w14:textId="77777777" w:rsidR="00965309" w:rsidRPr="000A73A1" w:rsidRDefault="00965309" w:rsidP="00217FB7">
            <w:pPr>
              <w:spacing w:before="100" w:beforeAutospacing="1" w:after="100" w:afterAutospacing="1"/>
              <w:ind w:firstLine="0"/>
              <w:jc w:val="center"/>
              <w:rPr>
                <w:szCs w:val="28"/>
                <w:lang w:eastAsia="lv-LV"/>
              </w:rPr>
            </w:pPr>
            <w:r w:rsidRPr="000A73A1">
              <w:rPr>
                <w:szCs w:val="28"/>
                <w:lang w:eastAsia="lv-LV"/>
              </w:rPr>
              <w:t>1.</w:t>
            </w:r>
          </w:p>
        </w:tc>
        <w:tc>
          <w:tcPr>
            <w:tcW w:w="1591" w:type="pct"/>
          </w:tcPr>
          <w:p w14:paraId="137CC210" w14:textId="77777777" w:rsidR="00965309" w:rsidRPr="000A73A1" w:rsidRDefault="00965309" w:rsidP="00217FB7">
            <w:pPr>
              <w:ind w:firstLine="0"/>
              <w:jc w:val="left"/>
              <w:rPr>
                <w:szCs w:val="28"/>
                <w:lang w:eastAsia="lv-LV"/>
              </w:rPr>
            </w:pPr>
            <w:r w:rsidRPr="000A73A1">
              <w:rPr>
                <w:szCs w:val="28"/>
                <w:lang w:eastAsia="lv-LV"/>
              </w:rPr>
              <w:t>Pamatojums</w:t>
            </w:r>
          </w:p>
        </w:tc>
        <w:tc>
          <w:tcPr>
            <w:tcW w:w="3033" w:type="pct"/>
          </w:tcPr>
          <w:p w14:paraId="342D8B32" w14:textId="7BF1C27A" w:rsidR="00965309" w:rsidRPr="000A73A1" w:rsidRDefault="00D74B88" w:rsidP="00E227DC">
            <w:pPr>
              <w:pStyle w:val="Heading5"/>
              <w:ind w:firstLine="513"/>
              <w:jc w:val="both"/>
              <w:rPr>
                <w:b w:val="0"/>
                <w:lang w:eastAsia="lv-LV"/>
              </w:rPr>
            </w:pPr>
            <w:r w:rsidRPr="000A73A1">
              <w:rPr>
                <w:b w:val="0"/>
              </w:rPr>
              <w:t>Valsts materiālo rezervju</w:t>
            </w:r>
            <w:r w:rsidR="00CD6044" w:rsidRPr="000A73A1">
              <w:rPr>
                <w:b w:val="0"/>
              </w:rPr>
              <w:t xml:space="preserve"> likum</w:t>
            </w:r>
            <w:r w:rsidR="003C3021" w:rsidRPr="000A73A1">
              <w:rPr>
                <w:b w:val="0"/>
              </w:rPr>
              <w:t>a</w:t>
            </w:r>
            <w:r w:rsidR="00635085" w:rsidRPr="000A73A1">
              <w:rPr>
                <w:b w:val="0"/>
              </w:rPr>
              <w:t xml:space="preserve"> </w:t>
            </w:r>
            <w:r w:rsidR="00CD6044" w:rsidRPr="000A73A1">
              <w:rPr>
                <w:b w:val="0"/>
              </w:rPr>
              <w:t xml:space="preserve"> </w:t>
            </w:r>
            <w:r w:rsidR="006875A8">
              <w:rPr>
                <w:b w:val="0"/>
              </w:rPr>
              <w:t>8</w:t>
            </w:r>
            <w:r w:rsidRPr="000A73A1">
              <w:rPr>
                <w:b w:val="0"/>
                <w:iCs/>
                <w:lang w:eastAsia="lv-LV"/>
              </w:rPr>
              <w:t xml:space="preserve">.panta </w:t>
            </w:r>
            <w:r w:rsidR="00E227DC" w:rsidRPr="000A73A1">
              <w:rPr>
                <w:b w:val="0"/>
                <w:iCs/>
                <w:lang w:eastAsia="lv-LV"/>
              </w:rPr>
              <w:t>otrā</w:t>
            </w:r>
            <w:r w:rsidR="00D67796" w:rsidRPr="000A73A1">
              <w:rPr>
                <w:b w:val="0"/>
                <w:iCs/>
                <w:lang w:eastAsia="lv-LV"/>
              </w:rPr>
              <w:t xml:space="preserve"> </w:t>
            </w:r>
            <w:r w:rsidRPr="000A73A1">
              <w:rPr>
                <w:b w:val="0"/>
                <w:iCs/>
                <w:lang w:eastAsia="lv-LV"/>
              </w:rPr>
              <w:t xml:space="preserve">daļa </w:t>
            </w:r>
          </w:p>
        </w:tc>
      </w:tr>
      <w:tr w:rsidR="00965309" w:rsidRPr="005509E0" w14:paraId="1CAE42CD" w14:textId="77777777" w:rsidTr="0003289D">
        <w:trPr>
          <w:trHeight w:val="5802"/>
        </w:trPr>
        <w:tc>
          <w:tcPr>
            <w:tcW w:w="376" w:type="pct"/>
          </w:tcPr>
          <w:p w14:paraId="43DC27C9" w14:textId="77777777" w:rsidR="00965309" w:rsidRPr="000A73A1" w:rsidRDefault="00965309" w:rsidP="00217FB7">
            <w:pPr>
              <w:spacing w:before="100" w:beforeAutospacing="1" w:after="100" w:afterAutospacing="1"/>
              <w:ind w:firstLine="0"/>
              <w:jc w:val="center"/>
              <w:rPr>
                <w:szCs w:val="28"/>
                <w:lang w:eastAsia="lv-LV"/>
              </w:rPr>
            </w:pPr>
            <w:r w:rsidRPr="000A73A1">
              <w:rPr>
                <w:szCs w:val="28"/>
                <w:lang w:eastAsia="lv-LV"/>
              </w:rPr>
              <w:t>2.</w:t>
            </w:r>
          </w:p>
        </w:tc>
        <w:tc>
          <w:tcPr>
            <w:tcW w:w="1591" w:type="pct"/>
          </w:tcPr>
          <w:p w14:paraId="6FEF1625" w14:textId="77777777" w:rsidR="00965309" w:rsidRPr="000A73A1" w:rsidRDefault="00965309" w:rsidP="00217FB7">
            <w:pPr>
              <w:ind w:firstLine="0"/>
              <w:jc w:val="left"/>
              <w:rPr>
                <w:szCs w:val="28"/>
                <w:lang w:eastAsia="lv-LV"/>
              </w:rPr>
            </w:pPr>
            <w:r w:rsidRPr="000A73A1">
              <w:rPr>
                <w:szCs w:val="28"/>
                <w:lang w:eastAsia="lv-LV"/>
              </w:rPr>
              <w:t>Pašreizējā situācija un problēmas, kuru risināšanai tiesību akta projekts izstrādāts, tiesiskā regulējuma mērķis un būtība</w:t>
            </w:r>
          </w:p>
        </w:tc>
        <w:tc>
          <w:tcPr>
            <w:tcW w:w="3033" w:type="pct"/>
          </w:tcPr>
          <w:p w14:paraId="7EDF6EB0" w14:textId="059800B9" w:rsidR="002E485F" w:rsidRPr="005509E0" w:rsidRDefault="00AC62DD" w:rsidP="00EF5FCB">
            <w:pPr>
              <w:ind w:firstLine="400"/>
              <w:rPr>
                <w:rFonts w:eastAsia="Times New Roman"/>
                <w:szCs w:val="28"/>
                <w:lang w:eastAsia="lv-LV"/>
              </w:rPr>
            </w:pPr>
            <w:r w:rsidRPr="00B86329">
              <w:rPr>
                <w:iCs/>
                <w:szCs w:val="28"/>
              </w:rPr>
              <w:t>201</w:t>
            </w:r>
            <w:r w:rsidR="007258A2" w:rsidRPr="00B86329">
              <w:rPr>
                <w:iCs/>
                <w:szCs w:val="28"/>
              </w:rPr>
              <w:t>9</w:t>
            </w:r>
            <w:r w:rsidRPr="00B86329">
              <w:rPr>
                <w:iCs/>
                <w:szCs w:val="28"/>
              </w:rPr>
              <w:t>.gada 1.</w:t>
            </w:r>
            <w:r w:rsidR="007258A2" w:rsidRPr="00B86329">
              <w:rPr>
                <w:iCs/>
                <w:szCs w:val="28"/>
              </w:rPr>
              <w:t>janvārī</w:t>
            </w:r>
            <w:r w:rsidRPr="00B86329">
              <w:rPr>
                <w:iCs/>
                <w:szCs w:val="28"/>
              </w:rPr>
              <w:t xml:space="preserve"> stā</w:t>
            </w:r>
            <w:r w:rsidR="00FE20DE">
              <w:rPr>
                <w:iCs/>
                <w:szCs w:val="28"/>
              </w:rPr>
              <w:t>jās</w:t>
            </w:r>
            <w:r w:rsidRPr="00B86329">
              <w:rPr>
                <w:iCs/>
                <w:szCs w:val="28"/>
              </w:rPr>
              <w:t xml:space="preserve"> spēkā </w:t>
            </w:r>
            <w:r w:rsidR="007258A2" w:rsidRPr="00B86329">
              <w:rPr>
                <w:iCs/>
                <w:szCs w:val="28"/>
              </w:rPr>
              <w:t>Valsts materiālo rezervju likums</w:t>
            </w:r>
            <w:r w:rsidR="00762DBF" w:rsidRPr="00B86329">
              <w:rPr>
                <w:iCs/>
                <w:szCs w:val="28"/>
              </w:rPr>
              <w:t xml:space="preserve"> (turpmāk </w:t>
            </w:r>
            <w:r w:rsidR="00762DBF" w:rsidRPr="00B86329">
              <w:rPr>
                <w:szCs w:val="28"/>
              </w:rPr>
              <w:t>–</w:t>
            </w:r>
            <w:r w:rsidR="00762DBF" w:rsidRPr="00B86329">
              <w:rPr>
                <w:iCs/>
                <w:szCs w:val="28"/>
              </w:rPr>
              <w:t xml:space="preserve"> likums)</w:t>
            </w:r>
            <w:r w:rsidR="007258A2" w:rsidRPr="00B86329">
              <w:rPr>
                <w:iCs/>
                <w:szCs w:val="28"/>
              </w:rPr>
              <w:t>.</w:t>
            </w:r>
            <w:r w:rsidRPr="00B86329">
              <w:rPr>
                <w:iCs/>
                <w:szCs w:val="28"/>
              </w:rPr>
              <w:t xml:space="preserve"> Saskaņā  ar </w:t>
            </w:r>
            <w:r w:rsidR="007258A2" w:rsidRPr="00B86329">
              <w:rPr>
                <w:iCs/>
                <w:szCs w:val="28"/>
              </w:rPr>
              <w:t xml:space="preserve">minētā likuma </w:t>
            </w:r>
            <w:r w:rsidR="00CB1055" w:rsidRPr="00B86329">
              <w:rPr>
                <w:iCs/>
                <w:szCs w:val="28"/>
              </w:rPr>
              <w:t>8</w:t>
            </w:r>
            <w:r w:rsidR="00D67796" w:rsidRPr="00B86329">
              <w:rPr>
                <w:iCs/>
                <w:szCs w:val="28"/>
                <w:lang w:eastAsia="lv-LV"/>
              </w:rPr>
              <w:t xml:space="preserve">.panta </w:t>
            </w:r>
            <w:r w:rsidR="00CB1055" w:rsidRPr="00B86329">
              <w:rPr>
                <w:iCs/>
                <w:szCs w:val="28"/>
                <w:lang w:eastAsia="lv-LV"/>
              </w:rPr>
              <w:t>otr</w:t>
            </w:r>
            <w:r w:rsidR="00D67796" w:rsidRPr="00B86329">
              <w:rPr>
                <w:iCs/>
                <w:szCs w:val="28"/>
                <w:lang w:eastAsia="lv-LV"/>
              </w:rPr>
              <w:t xml:space="preserve">o daļu </w:t>
            </w:r>
            <w:r w:rsidR="00EF5FCB" w:rsidRPr="00B86329">
              <w:rPr>
                <w:bCs/>
                <w:iCs/>
                <w:szCs w:val="28"/>
              </w:rPr>
              <w:t xml:space="preserve">Ministru kabinets nosaka </w:t>
            </w:r>
            <w:r w:rsidR="007258A2" w:rsidRPr="00B86329">
              <w:rPr>
                <w:rFonts w:eastAsia="Times New Roman"/>
                <w:szCs w:val="28"/>
                <w:lang w:eastAsia="lv-LV"/>
              </w:rPr>
              <w:t xml:space="preserve"> kārtību, kādā </w:t>
            </w:r>
            <w:r w:rsidR="006E7F37" w:rsidRPr="00B86329">
              <w:rPr>
                <w:szCs w:val="28"/>
              </w:rPr>
              <w:t xml:space="preserve"> </w:t>
            </w:r>
            <w:r w:rsidR="006E7F37" w:rsidRPr="00B86329">
              <w:rPr>
                <w:rFonts w:eastAsia="Times New Roman"/>
                <w:szCs w:val="28"/>
                <w:lang w:eastAsia="lv-LV"/>
              </w:rPr>
              <w:t>atsavina valsts materiālajās rezervēs esošās zāles un medicīniskās</w:t>
            </w:r>
            <w:r w:rsidR="00C35F45" w:rsidRPr="00B86329">
              <w:rPr>
                <w:rFonts w:eastAsia="Times New Roman"/>
                <w:szCs w:val="28"/>
                <w:lang w:eastAsia="lv-LV"/>
              </w:rPr>
              <w:t xml:space="preserve"> ierīces</w:t>
            </w:r>
            <w:r w:rsidR="00E0087E">
              <w:rPr>
                <w:rFonts w:eastAsia="Times New Roman"/>
                <w:szCs w:val="28"/>
                <w:lang w:eastAsia="lv-LV"/>
              </w:rPr>
              <w:t xml:space="preserve"> (turpmāk – zāles un medicīniskās ierīces)</w:t>
            </w:r>
            <w:r w:rsidR="005509E0" w:rsidRPr="00B86329">
              <w:rPr>
                <w:rFonts w:eastAsia="Times New Roman"/>
                <w:szCs w:val="28"/>
                <w:lang w:eastAsia="lv-LV"/>
              </w:rPr>
              <w:t>,</w:t>
            </w:r>
            <w:r w:rsidR="00C35F45" w:rsidRPr="00B86329">
              <w:rPr>
                <w:rFonts w:eastAsia="Times New Roman"/>
                <w:szCs w:val="28"/>
                <w:lang w:eastAsia="lv-LV"/>
              </w:rPr>
              <w:t xml:space="preserve"> </w:t>
            </w:r>
            <w:r w:rsidR="005509E0" w:rsidRPr="00B86329">
              <w:rPr>
                <w:iCs/>
                <w:szCs w:val="28"/>
              </w:rPr>
              <w:t xml:space="preserve">lai </w:t>
            </w:r>
            <w:r w:rsidR="00ED72B8">
              <w:rPr>
                <w:iCs/>
                <w:szCs w:val="28"/>
              </w:rPr>
              <w:t xml:space="preserve">nodrošinātu </w:t>
            </w:r>
            <w:r w:rsidR="00ED72B8" w:rsidRPr="00B86329">
              <w:rPr>
                <w:iCs/>
                <w:szCs w:val="28"/>
              </w:rPr>
              <w:t xml:space="preserve"> </w:t>
            </w:r>
            <w:r w:rsidR="005509E0" w:rsidRPr="00B86329">
              <w:rPr>
                <w:iCs/>
                <w:szCs w:val="28"/>
              </w:rPr>
              <w:t>iespēj</w:t>
            </w:r>
            <w:r w:rsidR="00ED72B8">
              <w:rPr>
                <w:iCs/>
                <w:szCs w:val="28"/>
              </w:rPr>
              <w:t xml:space="preserve">u </w:t>
            </w:r>
            <w:r w:rsidR="005509E0" w:rsidRPr="00B86329">
              <w:rPr>
                <w:iCs/>
                <w:szCs w:val="28"/>
              </w:rPr>
              <w:t xml:space="preserve"> </w:t>
            </w:r>
            <w:r w:rsidR="00843D03">
              <w:rPr>
                <w:iCs/>
                <w:szCs w:val="28"/>
              </w:rPr>
              <w:t xml:space="preserve">tās </w:t>
            </w:r>
            <w:r w:rsidR="005509E0" w:rsidRPr="00B86329">
              <w:rPr>
                <w:iCs/>
                <w:szCs w:val="28"/>
              </w:rPr>
              <w:t xml:space="preserve">realizēt </w:t>
            </w:r>
            <w:r w:rsidR="00ED72B8">
              <w:rPr>
                <w:iCs/>
                <w:szCs w:val="28"/>
              </w:rPr>
              <w:t xml:space="preserve">gadījumos, kad to derīguma termiņš ir mazāks par gadu </w:t>
            </w:r>
            <w:r w:rsidR="00742175">
              <w:rPr>
                <w:iCs/>
                <w:szCs w:val="28"/>
              </w:rPr>
              <w:t>vai tās ir izslēgtas no valsts materiālo rezervju nomenklatūras</w:t>
            </w:r>
            <w:r w:rsidR="00F86830">
              <w:rPr>
                <w:iCs/>
                <w:szCs w:val="28"/>
              </w:rPr>
              <w:t>.</w:t>
            </w:r>
          </w:p>
          <w:p w14:paraId="5CA659A9" w14:textId="4BF4041A" w:rsidR="00D57363" w:rsidRPr="005509E0" w:rsidRDefault="00F309CE" w:rsidP="008D4B3A">
            <w:pPr>
              <w:spacing w:after="120"/>
              <w:ind w:right="142"/>
              <w:rPr>
                <w:rFonts w:eastAsia="Times New Roman"/>
                <w:szCs w:val="28"/>
                <w:lang w:eastAsia="lv-LV"/>
              </w:rPr>
            </w:pPr>
            <w:r w:rsidRPr="005509E0">
              <w:rPr>
                <w:rFonts w:eastAsiaTheme="minorHAnsi"/>
                <w:szCs w:val="28"/>
                <w:lang w:eastAsia="lv-LV"/>
              </w:rPr>
              <w:t>Šobrīd spēkā esošie</w:t>
            </w:r>
            <w:r w:rsidR="004F4946" w:rsidRPr="005509E0">
              <w:rPr>
                <w:rFonts w:eastAsiaTheme="minorHAnsi"/>
                <w:szCs w:val="28"/>
                <w:lang w:eastAsia="lv-LV"/>
              </w:rPr>
              <w:t xml:space="preserve"> (spēkā līdz noteikumu projekta stāšanās spēkā, bet ne ilgāk kā līdz 2019.gada 1.jūlijam) </w:t>
            </w:r>
            <w:r w:rsidR="002E485F" w:rsidRPr="005509E0">
              <w:rPr>
                <w:rFonts w:eastAsiaTheme="minorHAnsi"/>
                <w:szCs w:val="28"/>
                <w:lang w:eastAsia="lv-LV"/>
              </w:rPr>
              <w:t>Ministru kabineta 2007.gada 18.decembra noteikumi Nr.877 „</w:t>
            </w:r>
            <w:hyperlink r:id="rId8" w:tgtFrame="_blank" w:history="1">
              <w:r w:rsidR="002E485F" w:rsidRPr="005509E0">
                <w:rPr>
                  <w:rFonts w:eastAsia="Times New Roman"/>
                  <w:szCs w:val="28"/>
                  <w:lang w:eastAsia="lv-LV"/>
                </w:rPr>
                <w:t>Valsts materiālo rezervju glabāšanas, uzskaites, atjaunināšanas, iznomāšanas, aizdošanas, realizācijas un norakstīšanas kārtība</w:t>
              </w:r>
            </w:hyperlink>
            <w:r w:rsidR="002E485F" w:rsidRPr="005509E0">
              <w:rPr>
                <w:rFonts w:eastAsia="Times New Roman"/>
                <w:szCs w:val="28"/>
                <w:lang w:eastAsia="lv-LV"/>
              </w:rPr>
              <w:t xml:space="preserve">” (turpmāk – MK noteikumi Nr.877) nosaka kārtību, kādā glabā, uzskaita, atjaunina, iznomā, aizdod, </w:t>
            </w:r>
            <w:r w:rsidR="002E485F" w:rsidRPr="005509E0">
              <w:rPr>
                <w:rFonts w:eastAsia="Times New Roman"/>
                <w:b/>
                <w:i/>
                <w:szCs w:val="28"/>
                <w:u w:val="single"/>
                <w:lang w:eastAsia="lv-LV"/>
              </w:rPr>
              <w:t>realizē</w:t>
            </w:r>
            <w:r w:rsidR="002E485F" w:rsidRPr="005509E0">
              <w:rPr>
                <w:rFonts w:eastAsia="Times New Roman"/>
                <w:szCs w:val="28"/>
                <w:lang w:eastAsia="lv-LV"/>
              </w:rPr>
              <w:t xml:space="preserve"> un noraksta (pārstrādā un apglabā) valsts materiālās rezerves (turpmāk - materiālās rezerves). Saskaņā ar MK noteikumu Nr.877 23.punktu medicīnisko ierīču un medikamentu materiālās rezerves, ja tās atbilstoši šo </w:t>
            </w:r>
            <w:r w:rsidR="002E485F" w:rsidRPr="005509E0">
              <w:rPr>
                <w:rFonts w:eastAsia="Times New Roman"/>
                <w:szCs w:val="28"/>
                <w:lang w:eastAsia="lv-LV"/>
              </w:rPr>
              <w:lastRenderedPageBreak/>
              <w:t>noteikumu 13.3.apakšpunktam nevar izlietot atbildīgā glabātāja ikdienas vajadzībām, materiālo rezervju atbildīgais glabātājs piedāvā ārstniecības iestādēm vai sociālās aprūpes institūcijām.</w:t>
            </w:r>
            <w:r w:rsidR="0069295E" w:rsidRPr="005509E0">
              <w:rPr>
                <w:color w:val="FF0000"/>
                <w:szCs w:val="28"/>
                <w:lang w:eastAsia="lv-LV"/>
              </w:rPr>
              <w:t xml:space="preserve"> </w:t>
            </w:r>
            <w:r w:rsidR="002E485F" w:rsidRPr="005509E0">
              <w:rPr>
                <w:rFonts w:eastAsia="Times New Roman"/>
                <w:szCs w:val="28"/>
                <w:lang w:eastAsia="lv-LV"/>
              </w:rPr>
              <w:t>Medicīnisko ierīču un medikamentu materiālās rezerves pārdod par cenu, kas nav zemāka par materiālo rezervju novērtējuma aktā noteikto cenu. Saskaņā ar MK noteikumu Nr.877 12.punktu Nodrošinājuma valsts aģentūra izvērtē atbildīgo glabātāju iesniegtos priekšlikumus, sagatavo materiālo rezervju atjaunināšanas plānu kārtējam gadam un organizē materiālo rezervju atjaunināšanu.</w:t>
            </w:r>
            <w:r w:rsidR="00817178">
              <w:rPr>
                <w:rFonts w:eastAsia="Times New Roman"/>
                <w:szCs w:val="28"/>
                <w:lang w:eastAsia="lv-LV"/>
              </w:rPr>
              <w:t xml:space="preserve"> </w:t>
            </w:r>
          </w:p>
          <w:p w14:paraId="3A9DA6F1" w14:textId="1CBA82C2" w:rsidR="008B1926" w:rsidRPr="00781207" w:rsidRDefault="0015758D" w:rsidP="008D4B3A">
            <w:pPr>
              <w:spacing w:after="120"/>
              <w:ind w:right="142"/>
              <w:rPr>
                <w:rFonts w:eastAsia="Times New Roman"/>
                <w:szCs w:val="28"/>
                <w:lang w:eastAsia="lv-LV"/>
              </w:rPr>
            </w:pPr>
            <w:r>
              <w:rPr>
                <w:rFonts w:eastAsia="Times New Roman"/>
                <w:szCs w:val="28"/>
                <w:lang w:eastAsia="lv-LV"/>
              </w:rPr>
              <w:t xml:space="preserve">Lai pēc iespējas samazinātu no </w:t>
            </w:r>
            <w:r w:rsidRPr="0015758D">
              <w:rPr>
                <w:rFonts w:eastAsia="Times New Roman"/>
                <w:szCs w:val="28"/>
                <w:lang w:eastAsia="lv-LV"/>
              </w:rPr>
              <w:t xml:space="preserve">valsts budžeta </w:t>
            </w:r>
            <w:r>
              <w:rPr>
                <w:rFonts w:eastAsia="Times New Roman"/>
                <w:szCs w:val="28"/>
                <w:lang w:eastAsia="lv-LV"/>
              </w:rPr>
              <w:t xml:space="preserve">līdzekļiem </w:t>
            </w:r>
            <w:r w:rsidRPr="0015758D">
              <w:rPr>
                <w:rFonts w:eastAsia="Times New Roman"/>
                <w:szCs w:val="28"/>
                <w:lang w:eastAsia="lv-LV"/>
              </w:rPr>
              <w:t xml:space="preserve">nepieciešamo finansējumu jaunu zāļu </w:t>
            </w:r>
            <w:r>
              <w:rPr>
                <w:rFonts w:eastAsia="Times New Roman"/>
                <w:szCs w:val="28"/>
                <w:lang w:eastAsia="lv-LV"/>
              </w:rPr>
              <w:t xml:space="preserve">un medicīnisko ierīču </w:t>
            </w:r>
            <w:r w:rsidRPr="0015758D">
              <w:rPr>
                <w:rFonts w:eastAsia="Times New Roman"/>
                <w:szCs w:val="28"/>
                <w:lang w:eastAsia="lv-LV"/>
              </w:rPr>
              <w:t>iegāde</w:t>
            </w:r>
            <w:r>
              <w:rPr>
                <w:rFonts w:eastAsia="Times New Roman"/>
                <w:szCs w:val="28"/>
                <w:lang w:eastAsia="lv-LV"/>
              </w:rPr>
              <w:t xml:space="preserve">, tās </w:t>
            </w:r>
            <w:r w:rsidR="008B1926" w:rsidRPr="00781207">
              <w:rPr>
                <w:rFonts w:eastAsia="Times New Roman"/>
                <w:szCs w:val="28"/>
                <w:lang w:eastAsia="lv-LV"/>
              </w:rPr>
              <w:t xml:space="preserve">tiek </w:t>
            </w:r>
            <w:r>
              <w:rPr>
                <w:rFonts w:eastAsia="Times New Roman"/>
                <w:szCs w:val="28"/>
                <w:lang w:eastAsia="lv-LV"/>
              </w:rPr>
              <w:t>pārdotas</w:t>
            </w:r>
            <w:r w:rsidR="008B1926" w:rsidRPr="00781207">
              <w:rPr>
                <w:rFonts w:eastAsia="Times New Roman"/>
                <w:szCs w:val="28"/>
                <w:lang w:eastAsia="lv-LV"/>
              </w:rPr>
              <w:t xml:space="preserve">, lai esošos resursus, kas drīzumā kļūs nederīgi, aizstātu pret jaunākiem resursiem, tādējādi nodrošinot materiālo rezervju gatavību </w:t>
            </w:r>
            <w:r w:rsidR="00466B65" w:rsidRPr="00466B65">
              <w:rPr>
                <w:rFonts w:eastAsia="Times New Roman"/>
                <w:szCs w:val="28"/>
                <w:lang w:eastAsia="lv-LV"/>
              </w:rPr>
              <w:t>izmantošanai katastrofu, militāru un citu apdraudējumu gadījumo</w:t>
            </w:r>
            <w:r w:rsidR="00466B65">
              <w:rPr>
                <w:rFonts w:eastAsia="Times New Roman"/>
                <w:szCs w:val="28"/>
                <w:lang w:eastAsia="lv-LV"/>
              </w:rPr>
              <w:t>s</w:t>
            </w:r>
            <w:r w:rsidR="00344F39">
              <w:rPr>
                <w:rFonts w:eastAsia="Times New Roman"/>
                <w:szCs w:val="28"/>
                <w:lang w:eastAsia="lv-LV"/>
              </w:rPr>
              <w:t>, kā arī ja tās izslēgtas no valsts materiālo rezervju nomenklatūras</w:t>
            </w:r>
            <w:r w:rsidR="008B1926" w:rsidRPr="00781207">
              <w:rPr>
                <w:rFonts w:eastAsia="Times New Roman"/>
                <w:szCs w:val="28"/>
                <w:lang w:eastAsia="lv-LV"/>
              </w:rPr>
              <w:t xml:space="preserve">. </w:t>
            </w:r>
          </w:p>
          <w:p w14:paraId="4D1A3641" w14:textId="3F11FC71" w:rsidR="008B1926" w:rsidRPr="00781207" w:rsidRDefault="008B1926" w:rsidP="008D4B3A">
            <w:pPr>
              <w:spacing w:after="120"/>
              <w:ind w:right="142"/>
              <w:rPr>
                <w:rFonts w:eastAsia="Times New Roman"/>
                <w:szCs w:val="28"/>
                <w:lang w:eastAsia="lv-LV"/>
              </w:rPr>
            </w:pPr>
            <w:r w:rsidRPr="00781207">
              <w:rPr>
                <w:rFonts w:eastAsia="Times New Roman"/>
                <w:szCs w:val="28"/>
                <w:lang w:eastAsia="lv-LV"/>
              </w:rPr>
              <w:t xml:space="preserve">Lai </w:t>
            </w:r>
            <w:r w:rsidR="00F862E1">
              <w:rPr>
                <w:rFonts w:eastAsia="Times New Roman"/>
                <w:szCs w:val="28"/>
                <w:lang w:eastAsia="lv-LV"/>
              </w:rPr>
              <w:t xml:space="preserve">zāles un medicīniskās ierīces, </w:t>
            </w:r>
            <w:r w:rsidRPr="00781207">
              <w:rPr>
                <w:rFonts w:eastAsia="Times New Roman"/>
                <w:szCs w:val="28"/>
                <w:lang w:eastAsia="lv-LV"/>
              </w:rPr>
              <w:t>kur</w:t>
            </w:r>
            <w:r w:rsidR="00F862E1">
              <w:rPr>
                <w:rFonts w:eastAsia="Times New Roman"/>
                <w:szCs w:val="28"/>
                <w:lang w:eastAsia="lv-LV"/>
              </w:rPr>
              <w:t>u</w:t>
            </w:r>
            <w:r w:rsidRPr="00781207">
              <w:rPr>
                <w:rFonts w:eastAsia="Times New Roman"/>
                <w:szCs w:val="28"/>
                <w:lang w:eastAsia="lv-LV"/>
              </w:rPr>
              <w:t xml:space="preserve"> derīguma termiņ</w:t>
            </w:r>
            <w:r w:rsidR="00F862E1">
              <w:rPr>
                <w:rFonts w:eastAsia="Times New Roman"/>
                <w:szCs w:val="28"/>
                <w:lang w:eastAsia="lv-LV"/>
              </w:rPr>
              <w:t xml:space="preserve">š </w:t>
            </w:r>
            <w:r w:rsidR="00364ADC">
              <w:rPr>
                <w:rFonts w:eastAsia="Times New Roman"/>
                <w:szCs w:val="28"/>
                <w:lang w:eastAsia="lv-LV"/>
              </w:rPr>
              <w:t xml:space="preserve">ir </w:t>
            </w:r>
            <w:r w:rsidR="00F862E1">
              <w:rPr>
                <w:rFonts w:eastAsia="Times New Roman"/>
                <w:szCs w:val="28"/>
                <w:lang w:eastAsia="lv-LV"/>
              </w:rPr>
              <w:t>mazāks par gadu,</w:t>
            </w:r>
            <w:r w:rsidR="00364ADC">
              <w:rPr>
                <w:rFonts w:eastAsia="Times New Roman"/>
                <w:szCs w:val="28"/>
                <w:lang w:eastAsia="lv-LV"/>
              </w:rPr>
              <w:t xml:space="preserve"> un nevar izlietot atbildīgā glabātāja ikdienas vajadzībām,</w:t>
            </w:r>
            <w:r w:rsidRPr="00781207">
              <w:rPr>
                <w:rFonts w:eastAsia="Times New Roman"/>
                <w:szCs w:val="28"/>
                <w:lang w:eastAsia="lv-LV"/>
              </w:rPr>
              <w:t xml:space="preserve"> aizstātu ar jauniem</w:t>
            </w:r>
            <w:r w:rsidR="00F862E1">
              <w:rPr>
                <w:rFonts w:eastAsia="Times New Roman"/>
                <w:szCs w:val="28"/>
                <w:lang w:eastAsia="lv-LV"/>
              </w:rPr>
              <w:t xml:space="preserve"> resursiem</w:t>
            </w:r>
            <w:r w:rsidRPr="00781207">
              <w:rPr>
                <w:rFonts w:eastAsia="Times New Roman"/>
                <w:szCs w:val="28"/>
                <w:lang w:eastAsia="lv-LV"/>
              </w:rPr>
              <w:t xml:space="preserve">, </w:t>
            </w:r>
            <w:r w:rsidR="00F862E1">
              <w:rPr>
                <w:rFonts w:eastAsia="Times New Roman"/>
                <w:szCs w:val="28"/>
                <w:lang w:eastAsia="lv-LV"/>
              </w:rPr>
              <w:t>tās</w:t>
            </w:r>
            <w:r w:rsidRPr="00781207">
              <w:rPr>
                <w:rFonts w:eastAsia="Times New Roman"/>
                <w:szCs w:val="28"/>
                <w:lang w:eastAsia="lv-LV"/>
              </w:rPr>
              <w:t xml:space="preserve"> tiek realizēt</w:t>
            </w:r>
            <w:r w:rsidR="00F862E1">
              <w:rPr>
                <w:rFonts w:eastAsia="Times New Roman"/>
                <w:szCs w:val="28"/>
                <w:lang w:eastAsia="lv-LV"/>
              </w:rPr>
              <w:t>as</w:t>
            </w:r>
            <w:r w:rsidRPr="00781207">
              <w:rPr>
                <w:rFonts w:eastAsia="Times New Roman"/>
                <w:szCs w:val="28"/>
                <w:lang w:eastAsia="lv-LV"/>
              </w:rPr>
              <w:t xml:space="preserve"> un ieņēmumi, kas gūti no realizācijas, tiek izmantoti, lai iegādātos jaunus resursus, ar kuriem </w:t>
            </w:r>
            <w:r w:rsidR="00ED72B8">
              <w:rPr>
                <w:rFonts w:eastAsia="Times New Roman"/>
                <w:szCs w:val="28"/>
                <w:lang w:eastAsia="lv-LV"/>
              </w:rPr>
              <w:t xml:space="preserve">daļēji </w:t>
            </w:r>
            <w:r w:rsidRPr="00781207">
              <w:rPr>
                <w:rFonts w:eastAsia="Times New Roman"/>
                <w:szCs w:val="28"/>
                <w:lang w:eastAsia="lv-LV"/>
              </w:rPr>
              <w:t>aizstāt realizētos</w:t>
            </w:r>
            <w:r w:rsidR="00F862E1">
              <w:rPr>
                <w:rFonts w:eastAsia="Times New Roman"/>
                <w:szCs w:val="28"/>
                <w:lang w:eastAsia="lv-LV"/>
              </w:rPr>
              <w:t xml:space="preserve">, tādējādi nodrošinot materiālo rezervju atjaunināšanu un maksimāli samazinot izdevumus, kas </w:t>
            </w:r>
            <w:r w:rsidR="00590883">
              <w:rPr>
                <w:rFonts w:eastAsia="Times New Roman"/>
                <w:szCs w:val="28"/>
                <w:lang w:eastAsia="lv-LV"/>
              </w:rPr>
              <w:t xml:space="preserve">būtu </w:t>
            </w:r>
            <w:r w:rsidR="00F862E1">
              <w:rPr>
                <w:rFonts w:eastAsia="Times New Roman"/>
                <w:szCs w:val="28"/>
                <w:lang w:eastAsia="lv-LV"/>
              </w:rPr>
              <w:t>nepieciešami norakstīto resursu utilizācijai</w:t>
            </w:r>
            <w:r w:rsidRPr="00781207">
              <w:rPr>
                <w:rFonts w:eastAsia="Times New Roman"/>
                <w:szCs w:val="28"/>
                <w:lang w:eastAsia="lv-LV"/>
              </w:rPr>
              <w:t>.</w:t>
            </w:r>
          </w:p>
          <w:p w14:paraId="28FA0DB0" w14:textId="3A8C614B" w:rsidR="00EC77EB" w:rsidRDefault="008B1926" w:rsidP="008D4B3A">
            <w:pPr>
              <w:spacing w:after="120"/>
              <w:ind w:right="142"/>
              <w:rPr>
                <w:rFonts w:eastAsia="Times New Roman"/>
                <w:szCs w:val="28"/>
                <w:lang w:eastAsia="lv-LV"/>
              </w:rPr>
            </w:pPr>
            <w:r w:rsidRPr="00781207">
              <w:rPr>
                <w:rFonts w:eastAsia="Times New Roman"/>
                <w:szCs w:val="28"/>
                <w:lang w:eastAsia="lv-LV"/>
              </w:rPr>
              <w:t>Lai arī ieņēmumi no materiālo rezervju realizācijas pilnībā nenosedz izmaksas, kas</w:t>
            </w:r>
            <w:r w:rsidRPr="00781207">
              <w:rPr>
                <w:rFonts w:eastAsia="Times New Roman"/>
                <w:szCs w:val="28"/>
                <w:u w:val="single"/>
                <w:lang w:eastAsia="lv-LV"/>
              </w:rPr>
              <w:t xml:space="preserve"> </w:t>
            </w:r>
            <w:r w:rsidRPr="00781207">
              <w:rPr>
                <w:rFonts w:eastAsia="Times New Roman"/>
                <w:szCs w:val="28"/>
                <w:lang w:eastAsia="lv-LV"/>
              </w:rPr>
              <w:t>rodas, lai realizētos resursus aizstātu ar jauniem, jo realizācijas cena zālēm vai medicīn</w:t>
            </w:r>
            <w:r w:rsidR="00F91E6F">
              <w:rPr>
                <w:rFonts w:eastAsia="Times New Roman"/>
                <w:szCs w:val="28"/>
                <w:lang w:eastAsia="lv-LV"/>
              </w:rPr>
              <w:t>iskajām</w:t>
            </w:r>
            <w:r w:rsidRPr="00781207">
              <w:rPr>
                <w:rFonts w:eastAsia="Times New Roman"/>
                <w:szCs w:val="28"/>
                <w:lang w:eastAsia="lv-LV"/>
              </w:rPr>
              <w:t xml:space="preserve"> ierīcēm, kurām līdz derīguma termiņa beigām ir atlicis gads </w:t>
            </w:r>
            <w:r w:rsidR="00F91E6F">
              <w:rPr>
                <w:rFonts w:eastAsia="Times New Roman"/>
                <w:szCs w:val="28"/>
                <w:lang w:eastAsia="lv-LV"/>
              </w:rPr>
              <w:t xml:space="preserve">vai mazāk, </w:t>
            </w:r>
            <w:r w:rsidRPr="00781207">
              <w:rPr>
                <w:rFonts w:eastAsia="Times New Roman"/>
                <w:szCs w:val="28"/>
                <w:lang w:eastAsia="lv-LV"/>
              </w:rPr>
              <w:t>ir zemāka kā tikko ražot</w:t>
            </w:r>
            <w:r w:rsidR="00D16A1E">
              <w:rPr>
                <w:rFonts w:eastAsia="Times New Roman"/>
                <w:szCs w:val="28"/>
                <w:lang w:eastAsia="lv-LV"/>
              </w:rPr>
              <w:t>ā</w:t>
            </w:r>
            <w:r w:rsidRPr="00781207">
              <w:rPr>
                <w:rFonts w:eastAsia="Times New Roman"/>
                <w:szCs w:val="28"/>
                <w:lang w:eastAsia="lv-LV"/>
              </w:rPr>
              <w:t xml:space="preserve">m, tomēr daļēju materiālo rezervju atjaunināšanu par šiem līdzekļiem ir iespējams veikt. Tādēļ arī turpmāk ir būtiski gūt šādus ieņēmumus, kas, turklāt, saskaņā ar likuma </w:t>
            </w:r>
            <w:r w:rsidR="00DE35DD" w:rsidRPr="00781207">
              <w:rPr>
                <w:rFonts w:eastAsia="Times New Roman"/>
                <w:szCs w:val="28"/>
                <w:lang w:eastAsia="lv-LV"/>
              </w:rPr>
              <w:lastRenderedPageBreak/>
              <w:t>6</w:t>
            </w:r>
            <w:r w:rsidRPr="00781207">
              <w:rPr>
                <w:rFonts w:eastAsia="Times New Roman"/>
                <w:szCs w:val="28"/>
                <w:lang w:eastAsia="lv-LV"/>
              </w:rPr>
              <w:t xml:space="preserve">.panta 2.punktu ir viens no materiālo rezervju finansēšanas avotiem, </w:t>
            </w:r>
            <w:r w:rsidR="00AD27BF">
              <w:rPr>
                <w:rFonts w:eastAsia="Times New Roman"/>
                <w:szCs w:val="28"/>
                <w:lang w:eastAsia="lv-LV"/>
              </w:rPr>
              <w:t xml:space="preserve">savukārt </w:t>
            </w:r>
            <w:r w:rsidRPr="00781207">
              <w:rPr>
                <w:rFonts w:eastAsia="Times New Roman"/>
                <w:szCs w:val="28"/>
                <w:lang w:eastAsia="lv-LV"/>
              </w:rPr>
              <w:t xml:space="preserve">valsts budžeta dotācijas </w:t>
            </w:r>
            <w:r w:rsidR="00AD27BF">
              <w:rPr>
                <w:rFonts w:eastAsia="Times New Roman"/>
                <w:szCs w:val="28"/>
                <w:lang w:eastAsia="lv-LV"/>
              </w:rPr>
              <w:t xml:space="preserve">nav </w:t>
            </w:r>
            <w:r w:rsidRPr="00781207">
              <w:rPr>
                <w:rFonts w:eastAsia="Times New Roman"/>
                <w:szCs w:val="28"/>
                <w:lang w:eastAsia="lv-LV"/>
              </w:rPr>
              <w:t>piešķirt</w:t>
            </w:r>
            <w:r w:rsidR="00AD27BF">
              <w:rPr>
                <w:rFonts w:eastAsia="Times New Roman"/>
                <w:szCs w:val="28"/>
                <w:lang w:eastAsia="lv-LV"/>
              </w:rPr>
              <w:t>as</w:t>
            </w:r>
            <w:r w:rsidRPr="00781207">
              <w:rPr>
                <w:rFonts w:eastAsia="Times New Roman"/>
                <w:szCs w:val="28"/>
                <w:lang w:eastAsia="lv-LV"/>
              </w:rPr>
              <w:t>, lai pilnībā nokomplektēt</w:t>
            </w:r>
            <w:r w:rsidR="00D16A1E">
              <w:rPr>
                <w:rFonts w:eastAsia="Times New Roman"/>
                <w:szCs w:val="28"/>
                <w:lang w:eastAsia="lv-LV"/>
              </w:rPr>
              <w:t>u</w:t>
            </w:r>
            <w:r w:rsidRPr="00781207">
              <w:rPr>
                <w:rFonts w:eastAsia="Times New Roman"/>
                <w:szCs w:val="28"/>
                <w:lang w:eastAsia="lv-LV"/>
              </w:rPr>
              <w:t xml:space="preserve"> </w:t>
            </w:r>
            <w:r w:rsidR="00363DCC">
              <w:rPr>
                <w:rFonts w:eastAsia="Times New Roman"/>
                <w:szCs w:val="28"/>
                <w:lang w:eastAsia="lv-LV"/>
              </w:rPr>
              <w:t>materiālās rezerves atbilstoši valsts materiālo rezervju nomenklatūrā noteiktajam</w:t>
            </w:r>
            <w:r w:rsidRPr="00B86329">
              <w:rPr>
                <w:rFonts w:eastAsia="Times New Roman"/>
                <w:szCs w:val="28"/>
                <w:lang w:eastAsia="lv-LV"/>
              </w:rPr>
              <w:t>, kā arī veiktu resursu savlaicīgu atjaunināšanu</w:t>
            </w:r>
            <w:r w:rsidR="00DE35DD" w:rsidRPr="00B86329">
              <w:rPr>
                <w:rFonts w:eastAsia="Times New Roman"/>
                <w:szCs w:val="28"/>
                <w:lang w:eastAsia="lv-LV"/>
              </w:rPr>
              <w:t>.  T</w:t>
            </w:r>
            <w:r w:rsidRPr="00B86329">
              <w:rPr>
                <w:rFonts w:eastAsia="Times New Roman"/>
                <w:szCs w:val="28"/>
                <w:lang w:eastAsia="lv-LV"/>
              </w:rPr>
              <w:t xml:space="preserve">ā rezultātā, šobrīd atjaunināšana tiek veikta tikai attiecībā </w:t>
            </w:r>
            <w:r w:rsidR="00B86329" w:rsidRPr="00B86329">
              <w:rPr>
                <w:rFonts w:eastAsia="Times New Roman"/>
                <w:szCs w:val="28"/>
                <w:lang w:eastAsia="lv-LV"/>
              </w:rPr>
              <w:t xml:space="preserve">uz prioritāri nepieciešamākajiem </w:t>
            </w:r>
            <w:r w:rsidRPr="00B86329">
              <w:rPr>
                <w:rFonts w:eastAsia="Times New Roman"/>
                <w:szCs w:val="28"/>
                <w:lang w:eastAsia="lv-LV"/>
              </w:rPr>
              <w:t>resursiem</w:t>
            </w:r>
            <w:r w:rsidR="00B86329" w:rsidRPr="00B86329">
              <w:rPr>
                <w:rFonts w:eastAsia="Times New Roman"/>
                <w:szCs w:val="28"/>
                <w:lang w:eastAsia="lv-LV"/>
              </w:rPr>
              <w:t xml:space="preserve"> pie</w:t>
            </w:r>
            <w:r w:rsidR="008937C8">
              <w:rPr>
                <w:rFonts w:eastAsia="Times New Roman"/>
                <w:szCs w:val="28"/>
                <w:lang w:eastAsia="lv-LV"/>
              </w:rPr>
              <w:t>ejamā</w:t>
            </w:r>
            <w:r w:rsidR="00B86329" w:rsidRPr="00B86329">
              <w:rPr>
                <w:rFonts w:eastAsia="Times New Roman"/>
                <w:szCs w:val="28"/>
                <w:lang w:eastAsia="lv-LV"/>
              </w:rPr>
              <w:t xml:space="preserve"> finansējuma ietvaros. </w:t>
            </w:r>
            <w:r w:rsidR="00DE35DD" w:rsidRPr="00B86329">
              <w:rPr>
                <w:rFonts w:eastAsia="Times New Roman"/>
                <w:szCs w:val="28"/>
                <w:lang w:eastAsia="lv-LV"/>
              </w:rPr>
              <w:t xml:space="preserve">Svarīgi arī turpmāk </w:t>
            </w:r>
            <w:r w:rsidRPr="00B86329">
              <w:rPr>
                <w:rFonts w:eastAsia="Times New Roman"/>
                <w:szCs w:val="28"/>
                <w:lang w:eastAsia="lv-LV"/>
              </w:rPr>
              <w:t>gūt ieņēmu</w:t>
            </w:r>
            <w:r w:rsidR="00DE35DD" w:rsidRPr="00B86329">
              <w:rPr>
                <w:rFonts w:eastAsia="Times New Roman"/>
                <w:szCs w:val="28"/>
                <w:lang w:eastAsia="lv-LV"/>
              </w:rPr>
              <w:t>mus</w:t>
            </w:r>
            <w:r w:rsidRPr="00B86329">
              <w:rPr>
                <w:rFonts w:eastAsia="Times New Roman"/>
                <w:szCs w:val="28"/>
                <w:lang w:eastAsia="lv-LV"/>
              </w:rPr>
              <w:t xml:space="preserve"> no </w:t>
            </w:r>
            <w:r w:rsidR="004C4A34">
              <w:rPr>
                <w:rFonts w:eastAsia="Times New Roman"/>
                <w:szCs w:val="28"/>
                <w:lang w:eastAsia="lv-LV"/>
              </w:rPr>
              <w:t>zāļu un medicīnisko ierīču</w:t>
            </w:r>
            <w:r w:rsidRPr="00781207">
              <w:rPr>
                <w:rFonts w:eastAsia="Times New Roman"/>
                <w:szCs w:val="28"/>
                <w:lang w:eastAsia="lv-LV"/>
              </w:rPr>
              <w:t xml:space="preserve"> realizācijas,</w:t>
            </w:r>
            <w:r w:rsidR="00DE35DD" w:rsidRPr="00781207">
              <w:rPr>
                <w:rFonts w:eastAsia="Times New Roman"/>
                <w:szCs w:val="28"/>
                <w:lang w:eastAsia="lv-LV"/>
              </w:rPr>
              <w:t xml:space="preserve"> lai nodrošinātu lietderīgu rīcību ar valsts mantu</w:t>
            </w:r>
            <w:r w:rsidR="00567CC2" w:rsidRPr="00781207">
              <w:rPr>
                <w:rFonts w:eastAsia="Times New Roman"/>
                <w:szCs w:val="28"/>
                <w:lang w:eastAsia="lv-LV"/>
              </w:rPr>
              <w:t xml:space="preserve">, izvairītos no </w:t>
            </w:r>
            <w:r w:rsidR="004C4A34">
              <w:rPr>
                <w:rFonts w:eastAsia="Times New Roman"/>
                <w:szCs w:val="28"/>
                <w:lang w:eastAsia="lv-LV"/>
              </w:rPr>
              <w:t xml:space="preserve">to </w:t>
            </w:r>
            <w:r w:rsidR="00567CC2" w:rsidRPr="00781207">
              <w:rPr>
                <w:rFonts w:eastAsia="Times New Roman"/>
                <w:szCs w:val="28"/>
                <w:lang w:eastAsia="lv-LV"/>
              </w:rPr>
              <w:t>norakstīšanas un papildus izmaksām utilizācijai</w:t>
            </w:r>
            <w:r w:rsidR="004C4A34">
              <w:rPr>
                <w:rFonts w:eastAsia="Times New Roman"/>
                <w:szCs w:val="28"/>
                <w:lang w:eastAsia="lv-LV"/>
              </w:rPr>
              <w:t>, kā arī nodrošinātu materiālo rezervju veidošanu un pārvaldīšanu atbilstoši likumā noteiktajam</w:t>
            </w:r>
            <w:r w:rsidR="00567CC2" w:rsidRPr="00781207">
              <w:rPr>
                <w:rFonts w:eastAsia="Times New Roman"/>
                <w:szCs w:val="28"/>
                <w:lang w:eastAsia="lv-LV"/>
              </w:rPr>
              <w:t>.</w:t>
            </w:r>
            <w:r w:rsidRPr="00781207">
              <w:rPr>
                <w:rFonts w:eastAsia="Times New Roman"/>
                <w:szCs w:val="28"/>
                <w:lang w:eastAsia="lv-LV"/>
              </w:rPr>
              <w:t xml:space="preserve"> </w:t>
            </w:r>
          </w:p>
          <w:p w14:paraId="61D2C0DB" w14:textId="02DB8CFA" w:rsidR="00EC77EB" w:rsidRPr="005B7471" w:rsidRDefault="00EC77EB" w:rsidP="008D4B3A">
            <w:pPr>
              <w:spacing w:after="120"/>
              <w:ind w:right="142"/>
              <w:rPr>
                <w:bCs/>
                <w:szCs w:val="28"/>
              </w:rPr>
            </w:pPr>
            <w:r>
              <w:rPr>
                <w:rFonts w:eastAsia="Times New Roman"/>
                <w:szCs w:val="28"/>
                <w:lang w:eastAsia="lv-LV"/>
              </w:rPr>
              <w:t>Noteikumu projekts paredz</w:t>
            </w:r>
            <w:r w:rsidR="00EF5FCB" w:rsidRPr="00EF5FCB">
              <w:rPr>
                <w:szCs w:val="28"/>
                <w:lang w:eastAsia="lv-LV"/>
              </w:rPr>
              <w:t xml:space="preserve"> paplašināt loku</w:t>
            </w:r>
            <w:r w:rsidR="00D16A1E">
              <w:rPr>
                <w:szCs w:val="28"/>
                <w:lang w:eastAsia="lv-LV"/>
              </w:rPr>
              <w:t>,</w:t>
            </w:r>
            <w:r w:rsidR="00EF5FCB" w:rsidRPr="00EF5FCB">
              <w:rPr>
                <w:szCs w:val="28"/>
                <w:lang w:eastAsia="lv-LV"/>
              </w:rPr>
              <w:t xml:space="preserve"> kam </w:t>
            </w:r>
            <w:r>
              <w:rPr>
                <w:szCs w:val="28"/>
                <w:lang w:eastAsia="lv-LV"/>
              </w:rPr>
              <w:t xml:space="preserve">var pārdot </w:t>
            </w:r>
            <w:r w:rsidR="00EF5FCB" w:rsidRPr="00EF5FCB">
              <w:rPr>
                <w:szCs w:val="28"/>
                <w:lang w:eastAsia="lv-LV"/>
              </w:rPr>
              <w:t xml:space="preserve">zāles un medicīniskās ierīces. Praksē ir bijuši gadījumi, kad interesi par zālēm </w:t>
            </w:r>
            <w:r w:rsidR="00EF5FCB" w:rsidRPr="00EF5FCB">
              <w:rPr>
                <w:szCs w:val="28"/>
              </w:rPr>
              <w:t xml:space="preserve"> un medicīniskajām ierīcēm izrāda </w:t>
            </w:r>
            <w:r w:rsidR="00EF5FCB" w:rsidRPr="005B7471">
              <w:rPr>
                <w:bCs/>
                <w:szCs w:val="28"/>
              </w:rPr>
              <w:t>veterinārmedicīniskās prakses iestādes.</w:t>
            </w:r>
          </w:p>
          <w:p w14:paraId="432F94FD" w14:textId="77777777" w:rsidR="008D4B3A" w:rsidRDefault="005C490D" w:rsidP="008D4B3A">
            <w:pPr>
              <w:spacing w:after="120"/>
              <w:ind w:right="142"/>
              <w:rPr>
                <w:rFonts w:eastAsia="Times New Roman"/>
                <w:szCs w:val="28"/>
                <w:lang w:eastAsia="lv-LV"/>
              </w:rPr>
            </w:pPr>
            <w:r>
              <w:rPr>
                <w:rFonts w:eastAsia="Times New Roman"/>
                <w:szCs w:val="28"/>
                <w:lang w:eastAsia="lv-LV"/>
              </w:rPr>
              <w:t>I</w:t>
            </w:r>
            <w:r w:rsidR="008B1926" w:rsidRPr="00781207">
              <w:rPr>
                <w:rFonts w:eastAsia="Times New Roman"/>
                <w:szCs w:val="28"/>
                <w:lang w:eastAsia="lv-LV"/>
              </w:rPr>
              <w:t xml:space="preserve">espēja gūt </w:t>
            </w:r>
            <w:r>
              <w:rPr>
                <w:rFonts w:eastAsia="Times New Roman"/>
                <w:szCs w:val="28"/>
                <w:lang w:eastAsia="lv-LV"/>
              </w:rPr>
              <w:t>finanšu</w:t>
            </w:r>
            <w:r w:rsidR="008B1926" w:rsidRPr="00781207">
              <w:rPr>
                <w:rFonts w:eastAsia="Times New Roman"/>
                <w:szCs w:val="28"/>
                <w:lang w:eastAsia="lv-LV"/>
              </w:rPr>
              <w:t xml:space="preserve"> līdzekļus</w:t>
            </w:r>
            <w:r>
              <w:rPr>
                <w:rFonts w:eastAsia="Times New Roman"/>
                <w:szCs w:val="28"/>
                <w:lang w:eastAsia="lv-LV"/>
              </w:rPr>
              <w:t xml:space="preserve"> no zāļu un medicīnisko ierīču atsavināšanas kaut daļēji nodrošinās iespēju </w:t>
            </w:r>
            <w:r w:rsidR="00D81EFA">
              <w:rPr>
                <w:rFonts w:eastAsia="Times New Roman"/>
                <w:szCs w:val="28"/>
                <w:lang w:eastAsia="lv-LV"/>
              </w:rPr>
              <w:t xml:space="preserve">Veselības ministrijai </w:t>
            </w:r>
            <w:r>
              <w:rPr>
                <w:rFonts w:eastAsia="Times New Roman"/>
                <w:szCs w:val="28"/>
                <w:lang w:eastAsia="lv-LV"/>
              </w:rPr>
              <w:t xml:space="preserve">īstenot nepieciešamos pasākumus materiālo rezervju veidošanas un pārvaldīšanas jomā, tomēr bez finanšu līdzekļu piešķiršanas no valsts budžeta līdzekļiem, ir </w:t>
            </w:r>
            <w:r w:rsidR="008B1926" w:rsidRPr="00781207">
              <w:rPr>
                <w:rFonts w:eastAsia="Times New Roman"/>
                <w:szCs w:val="28"/>
                <w:lang w:eastAsia="lv-LV"/>
              </w:rPr>
              <w:t>apdraudē</w:t>
            </w:r>
            <w:r>
              <w:rPr>
                <w:rFonts w:eastAsia="Times New Roman"/>
                <w:szCs w:val="28"/>
                <w:lang w:eastAsia="lv-LV"/>
              </w:rPr>
              <w:t>ta turpmāka materiālo rezervju veidošana un pārvaldīšana, un attiecīgi materiālo rezervju iesaistīšana katastrofu, militāru un citu apdraudējumu gadījumos</w:t>
            </w:r>
            <w:r w:rsidR="007343A1">
              <w:rPr>
                <w:rFonts w:eastAsia="Times New Roman"/>
                <w:szCs w:val="28"/>
                <w:lang w:eastAsia="lv-LV"/>
              </w:rPr>
              <w:t xml:space="preserve">. </w:t>
            </w:r>
          </w:p>
          <w:p w14:paraId="7ED85D8F" w14:textId="77777777" w:rsidR="008D4B3A" w:rsidRDefault="00E247A0" w:rsidP="008D4B3A">
            <w:pPr>
              <w:spacing w:after="120"/>
              <w:ind w:right="142"/>
              <w:rPr>
                <w:color w:val="000000" w:themeColor="text1"/>
                <w:szCs w:val="28"/>
                <w:lang w:eastAsia="lv-LV"/>
              </w:rPr>
            </w:pPr>
            <w:r>
              <w:rPr>
                <w:color w:val="000000" w:themeColor="text1"/>
                <w:szCs w:val="28"/>
                <w:lang w:eastAsia="lv-LV"/>
              </w:rPr>
              <w:t>Noteikumu projekts</w:t>
            </w:r>
            <w:r w:rsidR="003F51CB">
              <w:rPr>
                <w:color w:val="000000" w:themeColor="text1"/>
                <w:szCs w:val="28"/>
                <w:lang w:eastAsia="lv-LV"/>
              </w:rPr>
              <w:t xml:space="preserve"> paredz, ka Neatliekamā</w:t>
            </w:r>
            <w:r w:rsidR="00F86830">
              <w:rPr>
                <w:color w:val="000000" w:themeColor="text1"/>
                <w:szCs w:val="28"/>
                <w:lang w:eastAsia="lv-LV"/>
              </w:rPr>
              <w:t>s</w:t>
            </w:r>
            <w:r w:rsidR="003F51CB">
              <w:rPr>
                <w:color w:val="000000" w:themeColor="text1"/>
                <w:szCs w:val="28"/>
                <w:lang w:eastAsia="lv-LV"/>
              </w:rPr>
              <w:t xml:space="preserve"> medicīniskā palīdzības dienesta izveidota komisija noteiks iespējamo zāļu </w:t>
            </w:r>
            <w:r w:rsidR="00BD0DC5">
              <w:rPr>
                <w:color w:val="000000" w:themeColor="text1"/>
                <w:szCs w:val="28"/>
                <w:lang w:eastAsia="lv-LV"/>
              </w:rPr>
              <w:t xml:space="preserve">un medicīnisko ierīču </w:t>
            </w:r>
            <w:r w:rsidR="003F51CB">
              <w:rPr>
                <w:color w:val="000000" w:themeColor="text1"/>
                <w:szCs w:val="28"/>
                <w:lang w:eastAsia="lv-LV"/>
              </w:rPr>
              <w:t>pārdošanas cenu,</w:t>
            </w:r>
            <w:r w:rsidR="00F2747F">
              <w:rPr>
                <w:color w:val="000000" w:themeColor="text1"/>
                <w:szCs w:val="28"/>
                <w:lang w:eastAsia="lv-LV"/>
              </w:rPr>
              <w:t xml:space="preserve"> ievērojot to</w:t>
            </w:r>
            <w:r w:rsidR="0015758D">
              <w:rPr>
                <w:color w:val="000000" w:themeColor="text1"/>
                <w:szCs w:val="28"/>
                <w:lang w:eastAsia="lv-LV"/>
              </w:rPr>
              <w:t xml:space="preserve"> iegādes vērtību un atlikušo</w:t>
            </w:r>
            <w:r w:rsidR="00F2747F">
              <w:rPr>
                <w:color w:val="000000" w:themeColor="text1"/>
                <w:szCs w:val="28"/>
                <w:lang w:eastAsia="lv-LV"/>
              </w:rPr>
              <w:t xml:space="preserve"> derīguma termiņus,</w:t>
            </w:r>
            <w:r w:rsidR="003F51CB">
              <w:rPr>
                <w:color w:val="000000" w:themeColor="text1"/>
                <w:szCs w:val="28"/>
                <w:lang w:eastAsia="lv-LV"/>
              </w:rPr>
              <w:t xml:space="preserve"> </w:t>
            </w:r>
            <w:r w:rsidR="0015758D">
              <w:rPr>
                <w:color w:val="000000" w:themeColor="text1"/>
                <w:szCs w:val="28"/>
                <w:lang w:eastAsia="lv-LV"/>
              </w:rPr>
              <w:t xml:space="preserve">kā arī citus </w:t>
            </w:r>
            <w:r w:rsidR="003E4DB6">
              <w:rPr>
                <w:color w:val="000000" w:themeColor="text1"/>
                <w:szCs w:val="28"/>
                <w:lang w:eastAsia="lv-LV"/>
              </w:rPr>
              <w:t xml:space="preserve">vispāratzītus un vērtēšanā pieņemamus </w:t>
            </w:r>
            <w:r w:rsidR="0015758D">
              <w:rPr>
                <w:color w:val="000000" w:themeColor="text1"/>
                <w:szCs w:val="28"/>
                <w:lang w:eastAsia="lv-LV"/>
              </w:rPr>
              <w:t>apstākļus, ja tie var ietekmēt pārdošanas cenu, piemēram, bojāts sekundārais zāļu iepak</w:t>
            </w:r>
            <w:r w:rsidR="003E4DB6">
              <w:rPr>
                <w:color w:val="000000" w:themeColor="text1"/>
                <w:szCs w:val="28"/>
                <w:lang w:eastAsia="lv-LV"/>
              </w:rPr>
              <w:t>ojums. S</w:t>
            </w:r>
            <w:r w:rsidR="003F51CB">
              <w:rPr>
                <w:color w:val="000000" w:themeColor="text1"/>
                <w:szCs w:val="28"/>
                <w:lang w:eastAsia="lv-LV"/>
              </w:rPr>
              <w:t xml:space="preserve">avukārt </w:t>
            </w:r>
            <w:r w:rsidR="003E4DB6">
              <w:rPr>
                <w:color w:val="000000" w:themeColor="text1"/>
                <w:szCs w:val="28"/>
                <w:lang w:eastAsia="lv-LV"/>
              </w:rPr>
              <w:t>dienesta</w:t>
            </w:r>
            <w:r w:rsidR="003F51CB">
              <w:rPr>
                <w:color w:val="000000" w:themeColor="text1"/>
                <w:szCs w:val="28"/>
                <w:lang w:eastAsia="lv-LV"/>
              </w:rPr>
              <w:t xml:space="preserve"> vadītājs to apstiprinās vai lūgs </w:t>
            </w:r>
            <w:r w:rsidR="00BD0DC5">
              <w:rPr>
                <w:color w:val="000000" w:themeColor="text1"/>
                <w:szCs w:val="28"/>
                <w:lang w:eastAsia="lv-LV"/>
              </w:rPr>
              <w:t xml:space="preserve">tās </w:t>
            </w:r>
            <w:r w:rsidR="003F51CB">
              <w:rPr>
                <w:color w:val="000000" w:themeColor="text1"/>
                <w:szCs w:val="28"/>
                <w:lang w:eastAsia="lv-LV"/>
              </w:rPr>
              <w:t xml:space="preserve">pārvērtēt citā </w:t>
            </w:r>
            <w:r w:rsidR="00BD0DC5">
              <w:rPr>
                <w:color w:val="000000" w:themeColor="text1"/>
                <w:szCs w:val="28"/>
                <w:lang w:eastAsia="lv-LV"/>
              </w:rPr>
              <w:t xml:space="preserve">komisijas </w:t>
            </w:r>
            <w:r w:rsidR="003F51CB">
              <w:rPr>
                <w:color w:val="000000" w:themeColor="text1"/>
                <w:szCs w:val="28"/>
                <w:lang w:eastAsia="lv-LV"/>
              </w:rPr>
              <w:t>sastāvā.</w:t>
            </w:r>
          </w:p>
          <w:p w14:paraId="52EAEE24" w14:textId="77777777" w:rsidR="008D4B3A" w:rsidRDefault="005B7471" w:rsidP="008D4B3A">
            <w:pPr>
              <w:spacing w:after="120"/>
              <w:ind w:right="142"/>
              <w:rPr>
                <w:color w:val="000000" w:themeColor="text1"/>
                <w:szCs w:val="28"/>
                <w:lang w:eastAsia="lv-LV"/>
              </w:rPr>
            </w:pPr>
            <w:r>
              <w:rPr>
                <w:color w:val="000000" w:themeColor="text1"/>
                <w:szCs w:val="28"/>
                <w:lang w:eastAsia="lv-LV"/>
              </w:rPr>
              <w:lastRenderedPageBreak/>
              <w:t>Prakse liecina, ka parasti zāles, kuru atlikušais derīguma termiņš ir neliels nav iespējams realizēt par to sākotnējo iegādes vērtību.</w:t>
            </w:r>
            <w:r w:rsidR="003E4DB6">
              <w:rPr>
                <w:color w:val="000000" w:themeColor="text1"/>
                <w:szCs w:val="28"/>
                <w:lang w:eastAsia="lv-LV"/>
              </w:rPr>
              <w:t xml:space="preserve"> Vienlaicīgi pārdošanas rezultātā ir iespējams vismaz daļēja līdzekļu atguve no to sākotnējās iegādes vērtības.</w:t>
            </w:r>
          </w:p>
          <w:p w14:paraId="550ED741" w14:textId="77777777" w:rsidR="008D4B3A" w:rsidRDefault="003F51CB" w:rsidP="008D4B3A">
            <w:pPr>
              <w:spacing w:after="120"/>
              <w:ind w:right="142"/>
              <w:rPr>
                <w:color w:val="000000" w:themeColor="text1"/>
                <w:szCs w:val="28"/>
                <w:lang w:eastAsia="lv-LV"/>
              </w:rPr>
            </w:pPr>
            <w:r>
              <w:rPr>
                <w:color w:val="000000" w:themeColor="text1"/>
                <w:szCs w:val="28"/>
                <w:lang w:eastAsia="lv-LV"/>
              </w:rPr>
              <w:t xml:space="preserve">Sludinājums par iespēju iegādāties zāles vai medicīniskās ierīces tiks ievietots </w:t>
            </w:r>
            <w:r>
              <w:t xml:space="preserve"> </w:t>
            </w:r>
            <w:r w:rsidRPr="003F51CB">
              <w:rPr>
                <w:color w:val="000000" w:themeColor="text1"/>
                <w:szCs w:val="28"/>
                <w:lang w:eastAsia="lv-LV"/>
              </w:rPr>
              <w:t>Neatliekamā</w:t>
            </w:r>
            <w:r w:rsidR="00D16A1E">
              <w:rPr>
                <w:color w:val="000000" w:themeColor="text1"/>
                <w:szCs w:val="28"/>
                <w:lang w:eastAsia="lv-LV"/>
              </w:rPr>
              <w:t>s</w:t>
            </w:r>
            <w:r w:rsidRPr="003F51CB">
              <w:rPr>
                <w:color w:val="000000" w:themeColor="text1"/>
                <w:szCs w:val="28"/>
                <w:lang w:eastAsia="lv-LV"/>
              </w:rPr>
              <w:t xml:space="preserve"> medicīniskā</w:t>
            </w:r>
            <w:r w:rsidR="00D16A1E">
              <w:rPr>
                <w:color w:val="000000" w:themeColor="text1"/>
                <w:szCs w:val="28"/>
                <w:lang w:eastAsia="lv-LV"/>
              </w:rPr>
              <w:t>s</w:t>
            </w:r>
            <w:r w:rsidRPr="003F51CB">
              <w:rPr>
                <w:color w:val="000000" w:themeColor="text1"/>
                <w:szCs w:val="28"/>
                <w:lang w:eastAsia="lv-LV"/>
              </w:rPr>
              <w:t xml:space="preserve"> palīdzības dienesta </w:t>
            </w:r>
            <w:r w:rsidR="00D16A1E">
              <w:rPr>
                <w:color w:val="000000" w:themeColor="text1"/>
                <w:szCs w:val="28"/>
                <w:lang w:eastAsia="lv-LV"/>
              </w:rPr>
              <w:t>tīmekļvietnē</w:t>
            </w:r>
            <w:r>
              <w:rPr>
                <w:color w:val="000000" w:themeColor="text1"/>
                <w:szCs w:val="28"/>
                <w:lang w:eastAsia="lv-LV"/>
              </w:rPr>
              <w:t>, taču tas nelie</w:t>
            </w:r>
            <w:r w:rsidR="00D16A1E">
              <w:rPr>
                <w:color w:val="000000" w:themeColor="text1"/>
                <w:szCs w:val="28"/>
                <w:lang w:eastAsia="lv-LV"/>
              </w:rPr>
              <w:t>dz</w:t>
            </w:r>
            <w:r>
              <w:rPr>
                <w:color w:val="000000" w:themeColor="text1"/>
                <w:szCs w:val="28"/>
                <w:lang w:eastAsia="lv-LV"/>
              </w:rPr>
              <w:t xml:space="preserve"> kompetentajai iestādei uzrunāt potenciālos pircējus aktīvā veidā, piemēram, izsūtot elektroniskas vēstules vai izmantojot sociālās platformas.</w:t>
            </w:r>
          </w:p>
          <w:p w14:paraId="6C2C7B49" w14:textId="07B04E9E" w:rsidR="008D4B3A" w:rsidRDefault="003F51CB" w:rsidP="006D3345">
            <w:pPr>
              <w:spacing w:after="120"/>
              <w:ind w:right="142"/>
              <w:rPr>
                <w:color w:val="000000" w:themeColor="text1"/>
                <w:szCs w:val="28"/>
                <w:lang w:eastAsia="lv-LV"/>
              </w:rPr>
            </w:pPr>
            <w:r>
              <w:rPr>
                <w:color w:val="000000" w:themeColor="text1"/>
                <w:szCs w:val="28"/>
                <w:lang w:eastAsia="lv-LV"/>
              </w:rPr>
              <w:t>Ja zāles</w:t>
            </w:r>
            <w:r w:rsidR="00BB386E">
              <w:rPr>
                <w:color w:val="000000" w:themeColor="text1"/>
                <w:szCs w:val="28"/>
                <w:lang w:eastAsia="lv-LV"/>
              </w:rPr>
              <w:t xml:space="preserve"> vai medicīniskās ierīces</w:t>
            </w:r>
            <w:r>
              <w:rPr>
                <w:color w:val="000000" w:themeColor="text1"/>
                <w:szCs w:val="28"/>
                <w:lang w:eastAsia="lv-LV"/>
              </w:rPr>
              <w:t xml:space="preserve"> </w:t>
            </w:r>
            <w:r w:rsidR="00E827E4">
              <w:rPr>
                <w:color w:val="000000" w:themeColor="text1"/>
                <w:szCs w:val="28"/>
                <w:lang w:eastAsia="lv-LV"/>
              </w:rPr>
              <w:t xml:space="preserve">netiks </w:t>
            </w:r>
            <w:r w:rsidR="005B7471">
              <w:rPr>
                <w:color w:val="000000" w:themeColor="text1"/>
                <w:szCs w:val="28"/>
                <w:lang w:eastAsia="lv-LV"/>
              </w:rPr>
              <w:t>pārdotas</w:t>
            </w:r>
            <w:r w:rsidR="00E827E4">
              <w:rPr>
                <w:color w:val="000000" w:themeColor="text1"/>
                <w:szCs w:val="28"/>
                <w:lang w:eastAsia="lv-LV"/>
              </w:rPr>
              <w:t xml:space="preserve"> </w:t>
            </w:r>
            <w:r w:rsidR="004F2459">
              <w:rPr>
                <w:color w:val="000000" w:themeColor="text1"/>
                <w:szCs w:val="28"/>
                <w:lang w:eastAsia="lv-LV"/>
              </w:rPr>
              <w:t>sešu mēnešu laikā no sludinājuma brīža</w:t>
            </w:r>
            <w:r>
              <w:rPr>
                <w:color w:val="000000" w:themeColor="text1"/>
                <w:szCs w:val="28"/>
                <w:lang w:eastAsia="lv-LV"/>
              </w:rPr>
              <w:t>, lai mazinātu iespējamību, ka tās tiek norakstītas (utilizētas)</w:t>
            </w:r>
            <w:r w:rsidR="00E827E4">
              <w:rPr>
                <w:color w:val="000000" w:themeColor="text1"/>
                <w:szCs w:val="28"/>
                <w:lang w:eastAsia="lv-LV"/>
              </w:rPr>
              <w:t>,</w:t>
            </w:r>
            <w:r>
              <w:rPr>
                <w:color w:val="000000" w:themeColor="text1"/>
                <w:szCs w:val="28"/>
                <w:lang w:eastAsia="lv-LV"/>
              </w:rPr>
              <w:t xml:space="preserve"> ir paredzēta iespēja tās nodot bez atlīdzības, </w:t>
            </w:r>
            <w:r w:rsidR="005B7471" w:rsidRPr="005B7471">
              <w:rPr>
                <w:color w:val="000000" w:themeColor="text1"/>
                <w:szCs w:val="28"/>
                <w:lang w:eastAsia="lv-LV"/>
              </w:rPr>
              <w:t>valsts, atvasinātu publisku personu, kā arī citu publisko tiesību subjektu, sabiedriskā labuma organizāciju vai sociālo uzņēmumu īpašumā</w:t>
            </w:r>
            <w:r w:rsidR="005B7471">
              <w:rPr>
                <w:color w:val="000000" w:themeColor="text1"/>
                <w:szCs w:val="28"/>
                <w:lang w:eastAsia="lv-LV"/>
              </w:rPr>
              <w:t>,</w:t>
            </w:r>
            <w:r w:rsidR="0015758D">
              <w:rPr>
                <w:color w:val="000000" w:themeColor="text1"/>
                <w:szCs w:val="28"/>
                <w:lang w:eastAsia="lv-LV"/>
              </w:rPr>
              <w:t xml:space="preserve"> tai skaitā</w:t>
            </w:r>
            <w:r w:rsidR="0015758D" w:rsidRPr="0015758D">
              <w:rPr>
                <w:color w:val="000000" w:themeColor="text1"/>
                <w:szCs w:val="28"/>
                <w:lang w:eastAsia="lv-LV"/>
              </w:rPr>
              <w:t xml:space="preserve"> nodot tās zinātniskajai izpētei</w:t>
            </w:r>
            <w:r w:rsidR="0015758D">
              <w:rPr>
                <w:color w:val="000000" w:themeColor="text1"/>
                <w:szCs w:val="28"/>
                <w:lang w:eastAsia="lv-LV"/>
              </w:rPr>
              <w:t>,</w:t>
            </w:r>
            <w:r w:rsidR="0015758D" w:rsidRPr="0015758D">
              <w:rPr>
                <w:color w:val="000000" w:themeColor="text1"/>
                <w:szCs w:val="28"/>
                <w:lang w:eastAsia="lv-LV"/>
              </w:rPr>
              <w:t xml:space="preserve"> </w:t>
            </w:r>
            <w:r w:rsidR="005B7471">
              <w:rPr>
                <w:color w:val="000000" w:themeColor="text1"/>
                <w:szCs w:val="28"/>
                <w:lang w:eastAsia="lv-LV"/>
              </w:rPr>
              <w:t xml:space="preserve"> </w:t>
            </w:r>
            <w:r w:rsidR="005B7471" w:rsidRPr="005B7471">
              <w:rPr>
                <w:color w:val="000000" w:themeColor="text1"/>
                <w:szCs w:val="28"/>
                <w:lang w:eastAsia="lv-LV"/>
              </w:rPr>
              <w:t>ja t</w:t>
            </w:r>
            <w:r w:rsidR="005B7471">
              <w:rPr>
                <w:color w:val="000000" w:themeColor="text1"/>
                <w:szCs w:val="28"/>
                <w:lang w:eastAsia="lv-LV"/>
              </w:rPr>
              <w:t>ā</w:t>
            </w:r>
            <w:r w:rsidR="0015758D">
              <w:rPr>
                <w:color w:val="000000" w:themeColor="text1"/>
                <w:szCs w:val="28"/>
                <w:lang w:eastAsia="lv-LV"/>
              </w:rPr>
              <w:t>m</w:t>
            </w:r>
            <w:r w:rsidR="005B7471" w:rsidRPr="005B7471">
              <w:rPr>
                <w:color w:val="000000" w:themeColor="text1"/>
                <w:szCs w:val="28"/>
                <w:lang w:eastAsia="lv-LV"/>
              </w:rPr>
              <w:t xml:space="preserve"> ir tiesī</w:t>
            </w:r>
            <w:r w:rsidR="0015758D">
              <w:rPr>
                <w:color w:val="000000" w:themeColor="text1"/>
                <w:szCs w:val="28"/>
                <w:lang w:eastAsia="lv-LV"/>
              </w:rPr>
              <w:t xml:space="preserve">bas </w:t>
            </w:r>
            <w:r w:rsidR="005B7471" w:rsidRPr="005B7471">
              <w:rPr>
                <w:color w:val="000000" w:themeColor="text1"/>
                <w:szCs w:val="28"/>
                <w:lang w:eastAsia="lv-LV"/>
              </w:rPr>
              <w:t>iegādāties zāles</w:t>
            </w:r>
            <w:r>
              <w:rPr>
                <w:color w:val="000000" w:themeColor="text1"/>
                <w:szCs w:val="28"/>
                <w:lang w:eastAsia="lv-LV"/>
              </w:rPr>
              <w:t>.</w:t>
            </w:r>
            <w:r w:rsidR="0074397B">
              <w:rPr>
                <w:color w:val="000000" w:themeColor="text1"/>
                <w:szCs w:val="28"/>
                <w:lang w:eastAsia="lv-LV"/>
              </w:rPr>
              <w:t xml:space="preserve"> </w:t>
            </w:r>
            <w:r w:rsidR="006D3345">
              <w:rPr>
                <w:color w:val="000000" w:themeColor="text1"/>
                <w:szCs w:val="28"/>
                <w:lang w:eastAsia="lv-LV"/>
              </w:rPr>
              <w:t xml:space="preserve">Minētais personu loks ir ekvivalents, kāds paredzēts </w:t>
            </w:r>
            <w:r w:rsidR="006D3345" w:rsidRPr="006D3345">
              <w:rPr>
                <w:color w:val="000000" w:themeColor="text1"/>
                <w:szCs w:val="28"/>
                <w:lang w:eastAsia="lv-LV"/>
              </w:rPr>
              <w:t>Publiskas personas mantas atsavināšanas likum</w:t>
            </w:r>
            <w:r w:rsidR="006D3345">
              <w:rPr>
                <w:color w:val="000000" w:themeColor="text1"/>
                <w:szCs w:val="28"/>
                <w:lang w:eastAsia="lv-LV"/>
              </w:rPr>
              <w:t xml:space="preserve">ā, kurām manta var tikt nodota bez atlīdzības, taču tām ir jābūt tiesīgām iegādāties zāles un medicīniskās ierīces. </w:t>
            </w:r>
            <w:r w:rsidR="003E4DB6">
              <w:rPr>
                <w:color w:val="000000" w:themeColor="text1"/>
                <w:szCs w:val="28"/>
                <w:lang w:eastAsia="lv-LV"/>
              </w:rPr>
              <w:t xml:space="preserve">Personas un iestādes, kuras ir tiesīgas iegādāties zāles ir noteiktas Farmācijas likumā. Pie minētajām personām un iestādēm būtu pieskaitāmas arī tādas, kuras zāļu iegādei ir saņēmušas Zāļu valsts aģentūras atļauju. Piemēram, šobrīd Zāļu valsts aģentūras </w:t>
            </w:r>
            <w:r w:rsidR="00A214AD">
              <w:rPr>
                <w:color w:val="000000" w:themeColor="text1"/>
                <w:szCs w:val="28"/>
                <w:lang w:eastAsia="lv-LV"/>
              </w:rPr>
              <w:t>ir izsniegusi divām Latvijas izglītības iestādēm atļauju iegādāties zāles zinātniskās izpētes nolūkiem.</w:t>
            </w:r>
            <w:bookmarkStart w:id="0" w:name="_GoBack"/>
            <w:bookmarkEnd w:id="0"/>
            <w:r w:rsidR="006D3345">
              <w:rPr>
                <w:color w:val="000000" w:themeColor="text1"/>
                <w:szCs w:val="28"/>
                <w:lang w:eastAsia="lv-LV"/>
              </w:rPr>
              <w:t xml:space="preserve"> </w:t>
            </w:r>
            <w:r w:rsidR="0074397B">
              <w:rPr>
                <w:color w:val="000000" w:themeColor="text1"/>
                <w:szCs w:val="28"/>
                <w:lang w:eastAsia="lv-LV"/>
              </w:rPr>
              <w:t xml:space="preserve">Tādējādi netiks gūti ieņēmumi no zāļu un medicīnisko ierīču atsavināšanas, bet vienlaicīgi tiks ietaupītu valsts budžeta līdzekļi, kas būtu </w:t>
            </w:r>
            <w:r w:rsidR="00312F31">
              <w:rPr>
                <w:color w:val="000000" w:themeColor="text1"/>
                <w:szCs w:val="28"/>
                <w:lang w:eastAsia="lv-LV"/>
              </w:rPr>
              <w:t>nepieciešami</w:t>
            </w:r>
            <w:r w:rsidR="0074397B">
              <w:rPr>
                <w:color w:val="000000" w:themeColor="text1"/>
                <w:szCs w:val="28"/>
                <w:lang w:eastAsia="lv-LV"/>
              </w:rPr>
              <w:t>, lai nodrošinātu norakstīto resursu utilizāciju.</w:t>
            </w:r>
          </w:p>
          <w:p w14:paraId="4D89735D" w14:textId="77777777" w:rsidR="008D4B3A" w:rsidRDefault="003E4DB6" w:rsidP="008D4B3A">
            <w:pPr>
              <w:spacing w:after="120"/>
              <w:ind w:right="142"/>
              <w:rPr>
                <w:color w:val="000000" w:themeColor="text1"/>
                <w:szCs w:val="28"/>
                <w:lang w:eastAsia="lv-LV"/>
              </w:rPr>
            </w:pPr>
            <w:r>
              <w:rPr>
                <w:color w:val="000000" w:themeColor="text1"/>
                <w:szCs w:val="28"/>
                <w:lang w:eastAsia="lv-LV"/>
              </w:rPr>
              <w:t xml:space="preserve">Minētais gan jāuzskata par izņēmuma gadījumu un primārā darbība ir zāļu pārdošana </w:t>
            </w:r>
            <w:r>
              <w:rPr>
                <w:color w:val="000000" w:themeColor="text1"/>
                <w:szCs w:val="28"/>
                <w:lang w:eastAsia="lv-LV"/>
              </w:rPr>
              <w:lastRenderedPageBreak/>
              <w:t xml:space="preserve">nevis </w:t>
            </w:r>
            <w:r w:rsidR="00A214AD">
              <w:rPr>
                <w:color w:val="000000" w:themeColor="text1"/>
                <w:szCs w:val="28"/>
                <w:lang w:eastAsia="lv-LV"/>
              </w:rPr>
              <w:t xml:space="preserve">darbības, kas vērstas uz </w:t>
            </w:r>
            <w:r>
              <w:rPr>
                <w:color w:val="000000" w:themeColor="text1"/>
                <w:szCs w:val="28"/>
                <w:lang w:eastAsia="lv-LV"/>
              </w:rPr>
              <w:t>to nodošana bez atlīdzības.</w:t>
            </w:r>
            <w:r w:rsidR="00A214AD">
              <w:rPr>
                <w:color w:val="000000" w:themeColor="text1"/>
                <w:szCs w:val="28"/>
                <w:lang w:eastAsia="lv-LV"/>
              </w:rPr>
              <w:t xml:space="preserve"> Turklāt zāļu atlikušais derīguma termiņš 6 mēneši faktiski ir uzskatāms par tādu</w:t>
            </w:r>
            <w:r w:rsidR="008D4B3A">
              <w:rPr>
                <w:color w:val="000000" w:themeColor="text1"/>
                <w:szCs w:val="28"/>
                <w:lang w:eastAsia="lv-LV"/>
              </w:rPr>
              <w:t>, kādā zāļu iegāde par maksu radītu augstāku risku, ka tas nevarētu tikt izlietotas derīguma termiņa ietvarā, tādējādi interese par to iegādi par samaksu būtu niecīga.</w:t>
            </w:r>
          </w:p>
          <w:p w14:paraId="0E45893B" w14:textId="2D1BA891" w:rsidR="00965309" w:rsidRPr="008D4B3A" w:rsidRDefault="00A214AD" w:rsidP="008D4B3A">
            <w:pPr>
              <w:spacing w:after="120"/>
              <w:ind w:right="142"/>
              <w:rPr>
                <w:rFonts w:eastAsia="Times New Roman"/>
                <w:szCs w:val="28"/>
                <w:lang w:eastAsia="lv-LV"/>
              </w:rPr>
            </w:pPr>
            <w:r w:rsidRPr="00A214AD">
              <w:rPr>
                <w:color w:val="000000" w:themeColor="text1"/>
                <w:szCs w:val="28"/>
                <w:lang w:eastAsia="lv-LV"/>
              </w:rPr>
              <w:t>Ja zāles un medicīniskās ierīces nav atsavinātas līdz to derīguma termiņa beigām, atbildīgā institūcija tās noraksta atbilstoši grāmatvedību reglamentējošiem normatīvajiem aktiem</w:t>
            </w:r>
            <w:r>
              <w:rPr>
                <w:color w:val="000000" w:themeColor="text1"/>
                <w:szCs w:val="28"/>
                <w:lang w:eastAsia="lv-LV"/>
              </w:rPr>
              <w:t>.</w:t>
            </w:r>
            <w:r w:rsidRPr="00A214AD">
              <w:rPr>
                <w:color w:val="000000" w:themeColor="text1"/>
                <w:szCs w:val="28"/>
                <w:lang w:eastAsia="lv-LV"/>
              </w:rPr>
              <w:t xml:space="preserve"> Pēc materiālo rezervju norakstīšanas atbildīgā institūcija organizē materiālo rezervju pārstrādi (utilizāciju), nododot materiālās rezerves otrreizējai pārstrādei vai, ja materiālo rezervju otrreizēja pārstrāde nav iespējama, organizē materiālo rezervju apglabāšanu</w:t>
            </w:r>
            <w:r>
              <w:rPr>
                <w:color w:val="000000" w:themeColor="text1"/>
                <w:szCs w:val="28"/>
                <w:lang w:eastAsia="lv-LV"/>
              </w:rPr>
              <w:t>, kārtībā, kāda atrunāta iestādes iekšējajos normatīvajos aktos.</w:t>
            </w:r>
          </w:p>
        </w:tc>
      </w:tr>
      <w:tr w:rsidR="002F0C83" w:rsidRPr="002F0C83" w14:paraId="6E771158" w14:textId="77777777" w:rsidTr="00217FB7">
        <w:trPr>
          <w:trHeight w:val="465"/>
        </w:trPr>
        <w:tc>
          <w:tcPr>
            <w:tcW w:w="376" w:type="pct"/>
          </w:tcPr>
          <w:p w14:paraId="644565F2" w14:textId="77777777" w:rsidR="00965309" w:rsidRPr="002F0C83" w:rsidRDefault="00965309" w:rsidP="00217FB7">
            <w:pPr>
              <w:spacing w:before="100" w:beforeAutospacing="1" w:after="100" w:afterAutospacing="1"/>
              <w:ind w:firstLine="0"/>
              <w:jc w:val="center"/>
              <w:rPr>
                <w:szCs w:val="28"/>
                <w:lang w:eastAsia="lv-LV"/>
              </w:rPr>
            </w:pPr>
            <w:r w:rsidRPr="002F0C83">
              <w:rPr>
                <w:szCs w:val="28"/>
                <w:lang w:eastAsia="lv-LV"/>
              </w:rPr>
              <w:lastRenderedPageBreak/>
              <w:t>3.</w:t>
            </w:r>
          </w:p>
        </w:tc>
        <w:tc>
          <w:tcPr>
            <w:tcW w:w="1591" w:type="pct"/>
          </w:tcPr>
          <w:p w14:paraId="5564ECF3" w14:textId="30AF78CB" w:rsidR="00965309" w:rsidRPr="002F0C83" w:rsidRDefault="00965309" w:rsidP="00217FB7">
            <w:pPr>
              <w:ind w:firstLine="0"/>
              <w:jc w:val="left"/>
              <w:rPr>
                <w:szCs w:val="28"/>
                <w:lang w:eastAsia="lv-LV"/>
              </w:rPr>
            </w:pPr>
            <w:r w:rsidRPr="002F0C83">
              <w:rPr>
                <w:szCs w:val="28"/>
                <w:lang w:eastAsia="lv-LV"/>
              </w:rPr>
              <w:t>Projekta izstrādē iesaistītās institūcijas</w:t>
            </w:r>
            <w:r w:rsidR="00901F01">
              <w:rPr>
                <w:szCs w:val="28"/>
                <w:lang w:eastAsia="lv-LV"/>
              </w:rPr>
              <w:t xml:space="preserve"> </w:t>
            </w:r>
            <w:r w:rsidR="00901F01">
              <w:t xml:space="preserve"> </w:t>
            </w:r>
            <w:r w:rsidR="00901F01" w:rsidRPr="00901F01">
              <w:rPr>
                <w:szCs w:val="28"/>
                <w:lang w:eastAsia="lv-LV"/>
              </w:rPr>
              <w:t>un publiskas personas kapitālsabiedrības</w:t>
            </w:r>
          </w:p>
        </w:tc>
        <w:tc>
          <w:tcPr>
            <w:tcW w:w="3033" w:type="pct"/>
          </w:tcPr>
          <w:p w14:paraId="1BE2FFAB" w14:textId="2446AB74" w:rsidR="00965309" w:rsidRPr="002F0C83" w:rsidRDefault="00E64875" w:rsidP="009C6E84">
            <w:pPr>
              <w:ind w:firstLine="0"/>
              <w:rPr>
                <w:szCs w:val="28"/>
                <w:lang w:eastAsia="lv-LV"/>
              </w:rPr>
            </w:pPr>
            <w:r>
              <w:rPr>
                <w:szCs w:val="28"/>
                <w:lang w:eastAsia="lv-LV"/>
              </w:rPr>
              <w:t>Veselības</w:t>
            </w:r>
            <w:r w:rsidR="00965309" w:rsidRPr="002F0C83">
              <w:rPr>
                <w:szCs w:val="28"/>
                <w:lang w:eastAsia="lv-LV"/>
              </w:rPr>
              <w:t xml:space="preserve"> ministrija</w:t>
            </w:r>
            <w:r w:rsidR="00390C55" w:rsidRPr="002F0C83">
              <w:rPr>
                <w:szCs w:val="28"/>
                <w:lang w:eastAsia="lv-LV"/>
              </w:rPr>
              <w:t xml:space="preserve">, </w:t>
            </w:r>
            <w:r>
              <w:rPr>
                <w:szCs w:val="28"/>
                <w:lang w:eastAsia="lv-LV"/>
              </w:rPr>
              <w:t>Neatliekamās medicīniskās palīdzības</w:t>
            </w:r>
            <w:r w:rsidR="00390C55" w:rsidRPr="002F0C83">
              <w:rPr>
                <w:szCs w:val="28"/>
                <w:lang w:eastAsia="lv-LV"/>
              </w:rPr>
              <w:t xml:space="preserve"> dienests</w:t>
            </w:r>
            <w:r w:rsidR="009C6E84">
              <w:rPr>
                <w:szCs w:val="28"/>
                <w:lang w:eastAsia="lv-LV"/>
              </w:rPr>
              <w:t xml:space="preserve">, </w:t>
            </w:r>
            <w:r w:rsidR="009C6E84" w:rsidRPr="009C6E84">
              <w:rPr>
                <w:szCs w:val="28"/>
                <w:lang w:eastAsia="lv-LV"/>
              </w:rPr>
              <w:t>Nodrošinājuma valsts aģentūra</w:t>
            </w:r>
          </w:p>
        </w:tc>
      </w:tr>
      <w:tr w:rsidR="002F0C83" w:rsidRPr="002F0C83" w14:paraId="50DDF13B" w14:textId="77777777" w:rsidTr="00217FB7">
        <w:tc>
          <w:tcPr>
            <w:tcW w:w="376" w:type="pct"/>
          </w:tcPr>
          <w:p w14:paraId="68E14F15" w14:textId="77777777" w:rsidR="00965309" w:rsidRPr="002F0C83" w:rsidRDefault="00965309" w:rsidP="00217FB7">
            <w:pPr>
              <w:spacing w:before="100" w:beforeAutospacing="1" w:after="100" w:afterAutospacing="1"/>
              <w:ind w:firstLine="0"/>
              <w:jc w:val="center"/>
              <w:rPr>
                <w:szCs w:val="28"/>
                <w:lang w:eastAsia="lv-LV"/>
              </w:rPr>
            </w:pPr>
            <w:r w:rsidRPr="002F0C83">
              <w:rPr>
                <w:szCs w:val="28"/>
                <w:lang w:eastAsia="lv-LV"/>
              </w:rPr>
              <w:t>4.</w:t>
            </w:r>
          </w:p>
        </w:tc>
        <w:tc>
          <w:tcPr>
            <w:tcW w:w="1591" w:type="pct"/>
          </w:tcPr>
          <w:p w14:paraId="26A3CB0C" w14:textId="77777777" w:rsidR="00965309" w:rsidRPr="002F0C83" w:rsidRDefault="00965309" w:rsidP="00217FB7">
            <w:pPr>
              <w:ind w:firstLine="0"/>
              <w:jc w:val="left"/>
              <w:rPr>
                <w:szCs w:val="28"/>
                <w:lang w:eastAsia="lv-LV"/>
              </w:rPr>
            </w:pPr>
            <w:r w:rsidRPr="002F0C83">
              <w:rPr>
                <w:szCs w:val="28"/>
                <w:lang w:eastAsia="lv-LV"/>
              </w:rPr>
              <w:t>Cita informācija</w:t>
            </w:r>
          </w:p>
        </w:tc>
        <w:tc>
          <w:tcPr>
            <w:tcW w:w="3033" w:type="pct"/>
          </w:tcPr>
          <w:p w14:paraId="74B14CD8" w14:textId="77777777" w:rsidR="00965309" w:rsidRPr="002F0C83" w:rsidRDefault="00965309" w:rsidP="00217FB7">
            <w:pPr>
              <w:tabs>
                <w:tab w:val="center" w:pos="3516"/>
              </w:tabs>
              <w:spacing w:before="100" w:beforeAutospacing="1" w:after="100" w:afterAutospacing="1"/>
              <w:ind w:firstLine="0"/>
              <w:jc w:val="left"/>
              <w:rPr>
                <w:szCs w:val="28"/>
                <w:lang w:eastAsia="lv-LV"/>
              </w:rPr>
            </w:pPr>
            <w:r w:rsidRPr="002F0C83">
              <w:rPr>
                <w:szCs w:val="28"/>
                <w:lang w:eastAsia="lv-LV"/>
              </w:rPr>
              <w:t>Nav.</w:t>
            </w:r>
            <w:r w:rsidR="00D52F89" w:rsidRPr="002F0C83">
              <w:rPr>
                <w:szCs w:val="28"/>
                <w:lang w:eastAsia="lv-LV"/>
              </w:rPr>
              <w:tab/>
            </w:r>
          </w:p>
        </w:tc>
      </w:tr>
    </w:tbl>
    <w:p w14:paraId="6CC5695F" w14:textId="77777777" w:rsidR="008F4F24" w:rsidRDefault="008F4F24" w:rsidP="00F50C84">
      <w:pPr>
        <w:ind w:firstLine="0"/>
        <w:jc w:val="left"/>
        <w:rPr>
          <w:szCs w:val="28"/>
          <w:lang w:eastAsia="lv-LV"/>
        </w:rPr>
      </w:pPr>
    </w:p>
    <w:p w14:paraId="51DE1B91" w14:textId="77777777" w:rsidR="00394F72" w:rsidRPr="002F0C83" w:rsidRDefault="00394F72" w:rsidP="00F50C84">
      <w:pPr>
        <w:ind w:firstLine="0"/>
        <w:jc w:val="left"/>
        <w:rPr>
          <w:szCs w:val="28"/>
          <w:lang w:eastAsia="lv-LV"/>
        </w:rPr>
      </w:pPr>
    </w:p>
    <w:tbl>
      <w:tblPr>
        <w:tblStyle w:val="TableGrid"/>
        <w:tblW w:w="9356" w:type="dxa"/>
        <w:tblInd w:w="-289" w:type="dxa"/>
        <w:tblLook w:val="04A0" w:firstRow="1" w:lastRow="0" w:firstColumn="1" w:lastColumn="0" w:noHBand="0" w:noVBand="1"/>
      </w:tblPr>
      <w:tblGrid>
        <w:gridCol w:w="710"/>
        <w:gridCol w:w="2976"/>
        <w:gridCol w:w="5670"/>
      </w:tblGrid>
      <w:tr w:rsidR="002F0C83" w:rsidRPr="002F0C83" w14:paraId="010B78D5" w14:textId="77777777" w:rsidTr="00B35A2B">
        <w:tc>
          <w:tcPr>
            <w:tcW w:w="9356" w:type="dxa"/>
            <w:gridSpan w:val="3"/>
          </w:tcPr>
          <w:p w14:paraId="50D4714D" w14:textId="77777777" w:rsidR="00D1691E" w:rsidRPr="002F0C83" w:rsidRDefault="00D1691E" w:rsidP="00485A47">
            <w:pPr>
              <w:pStyle w:val="NormalWeb"/>
              <w:tabs>
                <w:tab w:val="left" w:pos="552"/>
              </w:tabs>
              <w:spacing w:before="0" w:beforeAutospacing="0" w:after="0" w:afterAutospacing="0"/>
              <w:ind w:firstLine="525"/>
              <w:jc w:val="center"/>
              <w:rPr>
                <w:bCs/>
                <w:sz w:val="28"/>
                <w:szCs w:val="28"/>
              </w:rPr>
            </w:pPr>
            <w:r w:rsidRPr="002F0C83">
              <w:rPr>
                <w:b/>
                <w:bCs/>
                <w:sz w:val="28"/>
                <w:szCs w:val="28"/>
              </w:rPr>
              <w:t>II. Tiesību akta projekta ietekme uz sabiedrību, tautsaimniecības attīstību un administratīvo slogu</w:t>
            </w:r>
          </w:p>
        </w:tc>
      </w:tr>
      <w:tr w:rsidR="002F0C83" w:rsidRPr="002F0C83" w14:paraId="5E025941" w14:textId="77777777" w:rsidTr="00B35A2B">
        <w:tc>
          <w:tcPr>
            <w:tcW w:w="710" w:type="dxa"/>
          </w:tcPr>
          <w:p w14:paraId="30273F66" w14:textId="77777777" w:rsidR="00D1691E" w:rsidRPr="002F0C83" w:rsidRDefault="00D1691E" w:rsidP="007A7ADE">
            <w:pPr>
              <w:spacing w:before="100" w:beforeAutospacing="1" w:after="100" w:afterAutospacing="1"/>
              <w:ind w:firstLine="0"/>
              <w:jc w:val="center"/>
              <w:rPr>
                <w:szCs w:val="28"/>
              </w:rPr>
            </w:pPr>
            <w:r w:rsidRPr="002F0C83">
              <w:rPr>
                <w:szCs w:val="28"/>
              </w:rPr>
              <w:t>1.</w:t>
            </w:r>
          </w:p>
        </w:tc>
        <w:tc>
          <w:tcPr>
            <w:tcW w:w="2976" w:type="dxa"/>
          </w:tcPr>
          <w:p w14:paraId="26DFB677" w14:textId="77777777" w:rsidR="00D1691E" w:rsidRDefault="00D1691E" w:rsidP="007A7ADE">
            <w:pPr>
              <w:spacing w:before="100" w:beforeAutospacing="1" w:after="100" w:afterAutospacing="1"/>
              <w:ind w:firstLine="136"/>
              <w:rPr>
                <w:szCs w:val="28"/>
              </w:rPr>
            </w:pPr>
            <w:r w:rsidRPr="002F0C83">
              <w:rPr>
                <w:szCs w:val="28"/>
              </w:rPr>
              <w:t xml:space="preserve">Sabiedrības </w:t>
            </w:r>
            <w:proofErr w:type="spellStart"/>
            <w:r w:rsidRPr="002F0C83">
              <w:rPr>
                <w:szCs w:val="28"/>
              </w:rPr>
              <w:t>mērķgrupas</w:t>
            </w:r>
            <w:proofErr w:type="spellEnd"/>
            <w:r w:rsidRPr="002F0C83">
              <w:rPr>
                <w:szCs w:val="28"/>
              </w:rPr>
              <w:t>, kuras tiesiskais regulējums ietekmē vai varētu ietekmēt</w:t>
            </w:r>
          </w:p>
          <w:p w14:paraId="6CB7F27C" w14:textId="1C7746B1" w:rsidR="00F86830" w:rsidRPr="002F0C83" w:rsidRDefault="00F86830" w:rsidP="007A7ADE">
            <w:pPr>
              <w:spacing w:before="100" w:beforeAutospacing="1" w:after="100" w:afterAutospacing="1"/>
              <w:ind w:firstLine="136"/>
              <w:rPr>
                <w:szCs w:val="28"/>
              </w:rPr>
            </w:pPr>
          </w:p>
        </w:tc>
        <w:tc>
          <w:tcPr>
            <w:tcW w:w="5670" w:type="dxa"/>
          </w:tcPr>
          <w:p w14:paraId="67DE80DC" w14:textId="33BA3D79" w:rsidR="00D1691E" w:rsidRPr="002F0C83" w:rsidRDefault="00A17D97" w:rsidP="00B86329">
            <w:pPr>
              <w:ind w:firstLine="0"/>
              <w:rPr>
                <w:szCs w:val="28"/>
              </w:rPr>
            </w:pPr>
            <w:r w:rsidRPr="002F0C83">
              <w:rPr>
                <w:szCs w:val="28"/>
              </w:rPr>
              <w:t xml:space="preserve"> </w:t>
            </w:r>
            <w:r w:rsidR="006810BE">
              <w:rPr>
                <w:szCs w:val="28"/>
              </w:rPr>
              <w:t>Iestādes un personas, kuras normatīvajos aktos noteiktajā kārtībā ir tiesīgas iegādāties zāles.</w:t>
            </w:r>
          </w:p>
        </w:tc>
      </w:tr>
      <w:tr w:rsidR="002F0C83" w:rsidRPr="002F0C83" w14:paraId="47D2A4CC" w14:textId="77777777" w:rsidTr="00B35A2B">
        <w:trPr>
          <w:trHeight w:val="284"/>
        </w:trPr>
        <w:tc>
          <w:tcPr>
            <w:tcW w:w="710" w:type="dxa"/>
          </w:tcPr>
          <w:p w14:paraId="1B26EA95" w14:textId="77777777" w:rsidR="00D1691E" w:rsidRPr="002F0C83" w:rsidRDefault="00D1691E" w:rsidP="007A7ADE">
            <w:pPr>
              <w:spacing w:before="100" w:beforeAutospacing="1" w:after="100" w:afterAutospacing="1"/>
              <w:ind w:firstLine="0"/>
              <w:jc w:val="center"/>
              <w:rPr>
                <w:szCs w:val="28"/>
              </w:rPr>
            </w:pPr>
            <w:r w:rsidRPr="002F0C83">
              <w:rPr>
                <w:szCs w:val="28"/>
              </w:rPr>
              <w:t>2.</w:t>
            </w:r>
          </w:p>
        </w:tc>
        <w:tc>
          <w:tcPr>
            <w:tcW w:w="2976" w:type="dxa"/>
          </w:tcPr>
          <w:p w14:paraId="3F02130C" w14:textId="77777777" w:rsidR="00D1691E" w:rsidRPr="002F0C83" w:rsidRDefault="00D1691E" w:rsidP="006677FF">
            <w:pPr>
              <w:spacing w:before="100" w:beforeAutospacing="1" w:after="100" w:afterAutospacing="1"/>
              <w:ind w:firstLine="136"/>
              <w:rPr>
                <w:szCs w:val="28"/>
              </w:rPr>
            </w:pPr>
            <w:r w:rsidRPr="002F0C83">
              <w:rPr>
                <w:szCs w:val="28"/>
              </w:rPr>
              <w:t>Tiesiskā regulējuma ietekme uz tautsaimniecību</w:t>
            </w:r>
            <w:r w:rsidR="006677FF" w:rsidRPr="002F0C83">
              <w:rPr>
                <w:szCs w:val="28"/>
              </w:rPr>
              <w:t xml:space="preserve"> </w:t>
            </w:r>
            <w:r w:rsidRPr="002F0C83">
              <w:rPr>
                <w:szCs w:val="28"/>
              </w:rPr>
              <w:t>un administratīvo slogu</w:t>
            </w:r>
          </w:p>
        </w:tc>
        <w:tc>
          <w:tcPr>
            <w:tcW w:w="5670" w:type="dxa"/>
          </w:tcPr>
          <w:p w14:paraId="4DA180AF" w14:textId="77777777" w:rsidR="00D1691E" w:rsidRPr="002F0C83" w:rsidRDefault="007673B9" w:rsidP="00B35A2B">
            <w:pPr>
              <w:ind w:firstLine="340"/>
              <w:rPr>
                <w:szCs w:val="28"/>
              </w:rPr>
            </w:pPr>
            <w:r w:rsidRPr="002F0C83">
              <w:rPr>
                <w:szCs w:val="28"/>
              </w:rPr>
              <w:t>Administratīvais slogs nemainās un sabiedrības grupām un institūcijām projekta tiesiskais regulējums nemaina tiesības un pienākumus, kā arī veicamās darbības</w:t>
            </w:r>
            <w:r w:rsidR="00B35A2B" w:rsidRPr="002F0C83">
              <w:rPr>
                <w:szCs w:val="28"/>
              </w:rPr>
              <w:t xml:space="preserve">. </w:t>
            </w:r>
          </w:p>
        </w:tc>
      </w:tr>
      <w:tr w:rsidR="002F0C83" w:rsidRPr="002F0C83" w14:paraId="10945BB8" w14:textId="77777777" w:rsidTr="00B35A2B">
        <w:trPr>
          <w:trHeight w:val="284"/>
        </w:trPr>
        <w:tc>
          <w:tcPr>
            <w:tcW w:w="710" w:type="dxa"/>
          </w:tcPr>
          <w:p w14:paraId="7708FD2C" w14:textId="77777777" w:rsidR="00D1691E" w:rsidRPr="002F0C83" w:rsidRDefault="00D1691E" w:rsidP="007A7ADE">
            <w:pPr>
              <w:spacing w:before="100" w:beforeAutospacing="1" w:after="100" w:afterAutospacing="1"/>
              <w:ind w:firstLine="0"/>
              <w:jc w:val="center"/>
              <w:rPr>
                <w:szCs w:val="28"/>
              </w:rPr>
            </w:pPr>
            <w:r w:rsidRPr="002F0C83">
              <w:rPr>
                <w:szCs w:val="28"/>
              </w:rPr>
              <w:t>3.</w:t>
            </w:r>
          </w:p>
        </w:tc>
        <w:tc>
          <w:tcPr>
            <w:tcW w:w="2976" w:type="dxa"/>
          </w:tcPr>
          <w:p w14:paraId="2EE583BC" w14:textId="77777777" w:rsidR="00D1691E" w:rsidRPr="002F0C83" w:rsidRDefault="00D1691E" w:rsidP="007A7ADE">
            <w:pPr>
              <w:spacing w:before="100" w:beforeAutospacing="1" w:after="100" w:afterAutospacing="1"/>
              <w:ind w:firstLine="136"/>
              <w:rPr>
                <w:szCs w:val="28"/>
              </w:rPr>
            </w:pPr>
            <w:r w:rsidRPr="002F0C83">
              <w:rPr>
                <w:szCs w:val="28"/>
              </w:rPr>
              <w:t>Administratīvo izmaksu monetārs novērtējums</w:t>
            </w:r>
          </w:p>
        </w:tc>
        <w:tc>
          <w:tcPr>
            <w:tcW w:w="5670" w:type="dxa"/>
          </w:tcPr>
          <w:p w14:paraId="35FB9BCA" w14:textId="77777777" w:rsidR="00D1691E" w:rsidRPr="002F0C83" w:rsidRDefault="00372AE8" w:rsidP="007673B9">
            <w:pPr>
              <w:spacing w:before="100" w:beforeAutospacing="1" w:after="100" w:afterAutospacing="1"/>
              <w:ind w:firstLine="340"/>
              <w:rPr>
                <w:szCs w:val="28"/>
              </w:rPr>
            </w:pPr>
            <w:r w:rsidRPr="002F0C83">
              <w:rPr>
                <w:szCs w:val="28"/>
              </w:rPr>
              <w:t>Projekts šo jomu neskar.</w:t>
            </w:r>
          </w:p>
        </w:tc>
      </w:tr>
      <w:tr w:rsidR="002F0C83" w:rsidRPr="002F0C83" w14:paraId="384B6E18" w14:textId="77777777" w:rsidTr="00B35A2B">
        <w:trPr>
          <w:trHeight w:val="284"/>
        </w:trPr>
        <w:tc>
          <w:tcPr>
            <w:tcW w:w="710" w:type="dxa"/>
          </w:tcPr>
          <w:p w14:paraId="268F5253" w14:textId="77777777" w:rsidR="00D1691E" w:rsidRPr="002F0C83" w:rsidRDefault="00372AE8" w:rsidP="007A7ADE">
            <w:pPr>
              <w:spacing w:before="100" w:beforeAutospacing="1" w:after="100" w:afterAutospacing="1"/>
              <w:ind w:firstLine="0"/>
              <w:jc w:val="center"/>
              <w:rPr>
                <w:szCs w:val="28"/>
              </w:rPr>
            </w:pPr>
            <w:r w:rsidRPr="002F0C83">
              <w:rPr>
                <w:szCs w:val="28"/>
              </w:rPr>
              <w:lastRenderedPageBreak/>
              <w:t>4.</w:t>
            </w:r>
          </w:p>
        </w:tc>
        <w:tc>
          <w:tcPr>
            <w:tcW w:w="2976" w:type="dxa"/>
          </w:tcPr>
          <w:p w14:paraId="635601A2" w14:textId="77777777" w:rsidR="00D1691E" w:rsidRPr="002F0C83" w:rsidRDefault="00372AE8" w:rsidP="001F5735">
            <w:pPr>
              <w:spacing w:before="100" w:beforeAutospacing="1" w:after="100" w:afterAutospacing="1"/>
              <w:ind w:firstLine="131"/>
              <w:rPr>
                <w:szCs w:val="28"/>
              </w:rPr>
            </w:pPr>
            <w:r w:rsidRPr="002F0C83">
              <w:rPr>
                <w:szCs w:val="28"/>
              </w:rPr>
              <w:t>Atbilstības izmaksu monetārs novērtējums</w:t>
            </w:r>
          </w:p>
        </w:tc>
        <w:tc>
          <w:tcPr>
            <w:tcW w:w="5670" w:type="dxa"/>
          </w:tcPr>
          <w:p w14:paraId="758988A1" w14:textId="6F47FDA3" w:rsidR="00D1691E" w:rsidRPr="002F0C83" w:rsidRDefault="001112B3" w:rsidP="007A7ADE">
            <w:pPr>
              <w:spacing w:before="100" w:beforeAutospacing="1" w:after="100" w:afterAutospacing="1"/>
              <w:ind w:firstLine="340"/>
              <w:rPr>
                <w:szCs w:val="28"/>
              </w:rPr>
            </w:pPr>
            <w:r w:rsidRPr="002F0C83">
              <w:rPr>
                <w:szCs w:val="28"/>
              </w:rPr>
              <w:t>Projekts šo jomu neskar.</w:t>
            </w:r>
          </w:p>
        </w:tc>
      </w:tr>
      <w:tr w:rsidR="002F0C83" w:rsidRPr="002F0C83" w14:paraId="4F937635" w14:textId="77777777" w:rsidTr="00B35A2B">
        <w:trPr>
          <w:trHeight w:val="284"/>
        </w:trPr>
        <w:tc>
          <w:tcPr>
            <w:tcW w:w="710" w:type="dxa"/>
          </w:tcPr>
          <w:p w14:paraId="40CB4DE2" w14:textId="77777777" w:rsidR="00372AE8" w:rsidRPr="002F0C83" w:rsidRDefault="00372AE8" w:rsidP="00372AE8">
            <w:pPr>
              <w:spacing w:before="100" w:beforeAutospacing="1" w:after="100" w:afterAutospacing="1"/>
              <w:ind w:firstLine="0"/>
              <w:jc w:val="center"/>
              <w:rPr>
                <w:szCs w:val="28"/>
              </w:rPr>
            </w:pPr>
            <w:r w:rsidRPr="002F0C83">
              <w:rPr>
                <w:szCs w:val="28"/>
              </w:rPr>
              <w:t>5.</w:t>
            </w:r>
          </w:p>
        </w:tc>
        <w:tc>
          <w:tcPr>
            <w:tcW w:w="2976" w:type="dxa"/>
          </w:tcPr>
          <w:p w14:paraId="5277B5A9" w14:textId="77777777" w:rsidR="00372AE8" w:rsidRPr="002F0C83" w:rsidRDefault="00372AE8" w:rsidP="00372AE8">
            <w:pPr>
              <w:spacing w:before="100" w:beforeAutospacing="1" w:after="100" w:afterAutospacing="1"/>
              <w:ind w:firstLine="131"/>
              <w:rPr>
                <w:szCs w:val="28"/>
              </w:rPr>
            </w:pPr>
            <w:r w:rsidRPr="002F0C83">
              <w:rPr>
                <w:szCs w:val="28"/>
              </w:rPr>
              <w:t>Cita informācija</w:t>
            </w:r>
          </w:p>
        </w:tc>
        <w:tc>
          <w:tcPr>
            <w:tcW w:w="5670" w:type="dxa"/>
          </w:tcPr>
          <w:p w14:paraId="5580F713" w14:textId="7264BB41" w:rsidR="00372AE8" w:rsidRPr="002F0C83" w:rsidRDefault="001112B3" w:rsidP="00372AE8">
            <w:pPr>
              <w:spacing w:before="100" w:beforeAutospacing="1" w:after="100" w:afterAutospacing="1"/>
              <w:ind w:firstLine="340"/>
              <w:rPr>
                <w:szCs w:val="28"/>
              </w:rPr>
            </w:pPr>
            <w:r>
              <w:rPr>
                <w:szCs w:val="28"/>
              </w:rPr>
              <w:t>Nav.</w:t>
            </w:r>
          </w:p>
        </w:tc>
      </w:tr>
    </w:tbl>
    <w:p w14:paraId="0F76B3F2" w14:textId="77777777" w:rsidR="0037222C" w:rsidRPr="005A57C4" w:rsidRDefault="0037222C" w:rsidP="0037222C">
      <w:pPr>
        <w:shd w:val="clear" w:color="auto" w:fill="FFFFFF"/>
        <w:ind w:firstLine="301"/>
        <w:rPr>
          <w:rFonts w:eastAsia="Times New Roman"/>
          <w:color w:val="414142"/>
          <w:sz w:val="24"/>
          <w:szCs w:val="24"/>
          <w:lang w:eastAsia="lv-LV"/>
        </w:rPr>
      </w:pPr>
    </w:p>
    <w:tbl>
      <w:tblPr>
        <w:tblStyle w:val="TableGrid"/>
        <w:tblW w:w="0" w:type="auto"/>
        <w:tblLook w:val="04A0" w:firstRow="1" w:lastRow="0" w:firstColumn="1" w:lastColumn="0" w:noHBand="0" w:noVBand="1"/>
      </w:tblPr>
      <w:tblGrid>
        <w:gridCol w:w="9061"/>
      </w:tblGrid>
      <w:tr w:rsidR="0037222C" w:rsidRPr="00F86830" w14:paraId="123FA725" w14:textId="77777777" w:rsidTr="008A64FF">
        <w:tc>
          <w:tcPr>
            <w:tcW w:w="9061" w:type="dxa"/>
          </w:tcPr>
          <w:p w14:paraId="57E1F34D" w14:textId="77777777" w:rsidR="0037222C" w:rsidRPr="00F86830" w:rsidRDefault="0037222C" w:rsidP="008A64FF">
            <w:pPr>
              <w:jc w:val="center"/>
              <w:rPr>
                <w:rFonts w:eastAsia="Times New Roman"/>
                <w:b/>
                <w:szCs w:val="28"/>
                <w:lang w:eastAsia="lv-LV"/>
              </w:rPr>
            </w:pPr>
            <w:r w:rsidRPr="00F86830">
              <w:rPr>
                <w:rFonts w:eastAsia="Times New Roman"/>
                <w:b/>
                <w:szCs w:val="28"/>
                <w:lang w:eastAsia="lv-LV"/>
              </w:rPr>
              <w:t>III. Tiesību akta projekta ietekme uz valsts budžetu un pašvaldību budžetiem</w:t>
            </w:r>
          </w:p>
        </w:tc>
      </w:tr>
      <w:tr w:rsidR="0037222C" w:rsidRPr="00F86830" w14:paraId="10A2F58C" w14:textId="77777777" w:rsidTr="008A64FF">
        <w:tc>
          <w:tcPr>
            <w:tcW w:w="9061" w:type="dxa"/>
          </w:tcPr>
          <w:p w14:paraId="2EFBE593" w14:textId="77777777" w:rsidR="0037222C" w:rsidRPr="00F86830" w:rsidRDefault="0037222C" w:rsidP="008A64FF">
            <w:pPr>
              <w:jc w:val="center"/>
              <w:rPr>
                <w:rFonts w:eastAsia="Times New Roman"/>
                <w:szCs w:val="28"/>
                <w:lang w:eastAsia="lv-LV"/>
              </w:rPr>
            </w:pPr>
            <w:r w:rsidRPr="00F86830">
              <w:rPr>
                <w:rFonts w:eastAsia="Times New Roman"/>
                <w:szCs w:val="28"/>
                <w:lang w:eastAsia="lv-LV"/>
              </w:rPr>
              <w:t>Projekts šo jomu neskar</w:t>
            </w:r>
          </w:p>
        </w:tc>
      </w:tr>
    </w:tbl>
    <w:p w14:paraId="56B2B7BA" w14:textId="77777777" w:rsidR="0037222C" w:rsidRPr="00F86830" w:rsidRDefault="0037222C" w:rsidP="0037222C">
      <w:pPr>
        <w:shd w:val="clear" w:color="auto" w:fill="FFFFFF"/>
        <w:ind w:firstLine="301"/>
        <w:rPr>
          <w:rFonts w:eastAsia="Times New Roman"/>
          <w:szCs w:val="28"/>
          <w:lang w:eastAsia="lv-LV"/>
        </w:rPr>
      </w:pPr>
    </w:p>
    <w:p w14:paraId="213F396F" w14:textId="77777777" w:rsidR="0037222C" w:rsidRPr="00F86830" w:rsidRDefault="0037222C" w:rsidP="0037222C">
      <w:pPr>
        <w:shd w:val="clear" w:color="auto" w:fill="FFFFFF"/>
        <w:ind w:firstLine="301"/>
        <w:rPr>
          <w:rFonts w:eastAsia="Times New Roman"/>
          <w:color w:val="414142"/>
          <w:szCs w:val="28"/>
          <w:lang w:eastAsia="lv-LV"/>
        </w:rPr>
      </w:pPr>
    </w:p>
    <w:tbl>
      <w:tblPr>
        <w:tblW w:w="5000" w:type="pct"/>
        <w:jc w:val="center"/>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9119"/>
      </w:tblGrid>
      <w:tr w:rsidR="0037222C" w:rsidRPr="00F86830" w14:paraId="1DEAEEFE" w14:textId="77777777" w:rsidTr="008A64FF">
        <w:trPr>
          <w:trHeight w:val="360"/>
          <w:jc w:val="center"/>
        </w:trPr>
        <w:tc>
          <w:tcPr>
            <w:tcW w:w="0" w:type="auto"/>
            <w:tcBorders>
              <w:top w:val="outset" w:sz="6" w:space="0" w:color="414142"/>
              <w:left w:val="outset" w:sz="6" w:space="0" w:color="414142"/>
              <w:bottom w:val="outset" w:sz="6" w:space="0" w:color="414142"/>
              <w:right w:val="outset" w:sz="6" w:space="0" w:color="414142"/>
            </w:tcBorders>
            <w:vAlign w:val="center"/>
            <w:hideMark/>
          </w:tcPr>
          <w:p w14:paraId="118B0928" w14:textId="77777777" w:rsidR="0037222C" w:rsidRPr="00F86830" w:rsidRDefault="0037222C" w:rsidP="008A64FF">
            <w:pPr>
              <w:spacing w:before="100" w:beforeAutospacing="1" w:after="100" w:afterAutospacing="1" w:line="293" w:lineRule="atLeast"/>
              <w:jc w:val="center"/>
              <w:rPr>
                <w:rFonts w:eastAsia="Times New Roman"/>
                <w:b/>
                <w:bCs/>
                <w:szCs w:val="28"/>
                <w:lang w:eastAsia="lv-LV"/>
              </w:rPr>
            </w:pPr>
            <w:r w:rsidRPr="00F86830">
              <w:rPr>
                <w:rFonts w:eastAsia="Times New Roman"/>
                <w:b/>
                <w:bCs/>
                <w:szCs w:val="28"/>
                <w:lang w:eastAsia="lv-LV"/>
              </w:rPr>
              <w:t>IV. Tiesību akta projekta ietekme uz spēkā esošo tiesību normu sistēmu</w:t>
            </w:r>
          </w:p>
        </w:tc>
      </w:tr>
      <w:tr w:rsidR="0037222C" w:rsidRPr="00F86830" w14:paraId="08BCB526" w14:textId="77777777" w:rsidTr="008A64FF">
        <w:trPr>
          <w:trHeight w:val="360"/>
          <w:jc w:val="center"/>
        </w:trPr>
        <w:tc>
          <w:tcPr>
            <w:tcW w:w="0" w:type="auto"/>
            <w:tcBorders>
              <w:top w:val="outset" w:sz="6" w:space="0" w:color="414142"/>
              <w:left w:val="outset" w:sz="6" w:space="0" w:color="414142"/>
              <w:bottom w:val="outset" w:sz="6" w:space="0" w:color="414142"/>
              <w:right w:val="outset" w:sz="6" w:space="0" w:color="414142"/>
            </w:tcBorders>
            <w:vAlign w:val="center"/>
          </w:tcPr>
          <w:p w14:paraId="58DF473C" w14:textId="77777777" w:rsidR="0037222C" w:rsidRPr="00F86830" w:rsidRDefault="0037222C" w:rsidP="008A64FF">
            <w:pPr>
              <w:spacing w:before="100" w:beforeAutospacing="1" w:after="100" w:afterAutospacing="1" w:line="293" w:lineRule="atLeast"/>
              <w:jc w:val="center"/>
              <w:rPr>
                <w:rFonts w:eastAsia="Times New Roman"/>
                <w:b/>
                <w:bCs/>
                <w:szCs w:val="28"/>
                <w:lang w:eastAsia="lv-LV"/>
              </w:rPr>
            </w:pPr>
            <w:r w:rsidRPr="00F86830">
              <w:rPr>
                <w:rFonts w:eastAsia="Times New Roman"/>
                <w:szCs w:val="28"/>
                <w:lang w:eastAsia="lv-LV"/>
              </w:rPr>
              <w:t>Projekts šo jomu neskar</w:t>
            </w:r>
          </w:p>
        </w:tc>
      </w:tr>
    </w:tbl>
    <w:p w14:paraId="4A7E18F1" w14:textId="77777777" w:rsidR="0037222C" w:rsidRPr="00F86830" w:rsidRDefault="0037222C" w:rsidP="0037222C">
      <w:pPr>
        <w:shd w:val="clear" w:color="auto" w:fill="FFFFFF"/>
        <w:ind w:firstLine="301"/>
        <w:rPr>
          <w:rFonts w:eastAsia="Times New Roman"/>
          <w:color w:val="414142"/>
          <w:szCs w:val="28"/>
          <w:lang w:eastAsia="lv-LV"/>
        </w:rPr>
      </w:pPr>
    </w:p>
    <w:p w14:paraId="628FC0D9" w14:textId="77777777" w:rsidR="0037222C" w:rsidRPr="00F86830" w:rsidRDefault="0037222C" w:rsidP="0037222C">
      <w:pPr>
        <w:shd w:val="clear" w:color="auto" w:fill="FFFFFF"/>
        <w:ind w:firstLine="301"/>
        <w:rPr>
          <w:rFonts w:eastAsia="Times New Roman"/>
          <w:color w:val="414142"/>
          <w:szCs w:val="28"/>
          <w:lang w:eastAsia="lv-LV"/>
        </w:rPr>
      </w:pPr>
    </w:p>
    <w:tbl>
      <w:tblPr>
        <w:tblStyle w:val="TableGrid"/>
        <w:tblW w:w="0" w:type="auto"/>
        <w:tblLook w:val="04A0" w:firstRow="1" w:lastRow="0" w:firstColumn="1" w:lastColumn="0" w:noHBand="0" w:noVBand="1"/>
      </w:tblPr>
      <w:tblGrid>
        <w:gridCol w:w="9061"/>
      </w:tblGrid>
      <w:tr w:rsidR="0037222C" w:rsidRPr="00F86830" w14:paraId="7AD476E9" w14:textId="77777777" w:rsidTr="008A64FF">
        <w:tc>
          <w:tcPr>
            <w:tcW w:w="9061" w:type="dxa"/>
          </w:tcPr>
          <w:p w14:paraId="3FE622DE" w14:textId="77777777" w:rsidR="0037222C" w:rsidRPr="00F86830" w:rsidRDefault="0037222C" w:rsidP="008A64FF">
            <w:pPr>
              <w:jc w:val="center"/>
              <w:rPr>
                <w:rFonts w:eastAsia="Times New Roman"/>
                <w:b/>
                <w:szCs w:val="28"/>
                <w:lang w:eastAsia="lv-LV"/>
              </w:rPr>
            </w:pPr>
            <w:r w:rsidRPr="00F86830">
              <w:rPr>
                <w:rFonts w:eastAsia="Times New Roman"/>
                <w:b/>
                <w:szCs w:val="28"/>
                <w:lang w:eastAsia="lv-LV"/>
              </w:rPr>
              <w:t>V. Tiesību akta projekta atbilstība Latvijas Republikas starptautiskajām saistībām</w:t>
            </w:r>
          </w:p>
        </w:tc>
      </w:tr>
      <w:tr w:rsidR="0037222C" w:rsidRPr="00F86830" w14:paraId="6E17C063" w14:textId="77777777" w:rsidTr="008A64FF">
        <w:tc>
          <w:tcPr>
            <w:tcW w:w="9061" w:type="dxa"/>
          </w:tcPr>
          <w:p w14:paraId="43E2C7CC" w14:textId="77777777" w:rsidR="0037222C" w:rsidRPr="00F86830" w:rsidRDefault="0037222C" w:rsidP="008A64FF">
            <w:pPr>
              <w:jc w:val="center"/>
              <w:rPr>
                <w:rFonts w:eastAsia="Times New Roman"/>
                <w:szCs w:val="28"/>
                <w:lang w:eastAsia="lv-LV"/>
              </w:rPr>
            </w:pPr>
            <w:r w:rsidRPr="00F86830">
              <w:rPr>
                <w:rFonts w:eastAsia="Times New Roman"/>
                <w:szCs w:val="28"/>
                <w:lang w:eastAsia="lv-LV"/>
              </w:rPr>
              <w:t>Projekts šo jomu neskar</w:t>
            </w:r>
          </w:p>
        </w:tc>
      </w:tr>
    </w:tbl>
    <w:p w14:paraId="203C89A8" w14:textId="77777777" w:rsidR="0037222C" w:rsidRPr="005A57C4" w:rsidRDefault="0037222C" w:rsidP="0037222C">
      <w:pPr>
        <w:shd w:val="clear" w:color="auto" w:fill="FFFFFF"/>
        <w:ind w:firstLine="301"/>
        <w:rPr>
          <w:rFonts w:eastAsia="Times New Roman"/>
          <w:color w:val="414142"/>
          <w:sz w:val="24"/>
          <w:szCs w:val="24"/>
          <w:lang w:eastAsia="lv-LV"/>
        </w:rPr>
      </w:pPr>
    </w:p>
    <w:p w14:paraId="6C71BAB2" w14:textId="77777777" w:rsidR="00B35A2B" w:rsidRPr="002F0C83" w:rsidRDefault="00B35A2B" w:rsidP="00F50C84">
      <w:pPr>
        <w:ind w:firstLine="0"/>
        <w:jc w:val="left"/>
        <w:rPr>
          <w:szCs w:val="28"/>
          <w:lang w:eastAsia="lv-LV"/>
        </w:rPr>
      </w:pPr>
    </w:p>
    <w:tbl>
      <w:tblPr>
        <w:tblStyle w:val="TableGrid"/>
        <w:tblW w:w="9645" w:type="dxa"/>
        <w:tblInd w:w="-289" w:type="dxa"/>
        <w:tblLook w:val="04A0" w:firstRow="1" w:lastRow="0" w:firstColumn="1" w:lastColumn="0" w:noHBand="0" w:noVBand="1"/>
      </w:tblPr>
      <w:tblGrid>
        <w:gridCol w:w="829"/>
        <w:gridCol w:w="3240"/>
        <w:gridCol w:w="5576"/>
      </w:tblGrid>
      <w:tr w:rsidR="002F0C83" w:rsidRPr="002F0C83" w14:paraId="3C976996" w14:textId="77777777" w:rsidTr="00B35A2B">
        <w:tc>
          <w:tcPr>
            <w:tcW w:w="9645" w:type="dxa"/>
            <w:gridSpan w:val="3"/>
          </w:tcPr>
          <w:p w14:paraId="62143739" w14:textId="77777777" w:rsidR="00394F72" w:rsidRPr="002F0C83" w:rsidRDefault="00394F72" w:rsidP="00485A47">
            <w:pPr>
              <w:pStyle w:val="NormalWeb"/>
              <w:tabs>
                <w:tab w:val="left" w:pos="552"/>
                <w:tab w:val="left" w:pos="2145"/>
                <w:tab w:val="center" w:pos="5043"/>
              </w:tabs>
              <w:spacing w:before="0" w:beforeAutospacing="0" w:after="0" w:afterAutospacing="0"/>
              <w:ind w:firstLine="525"/>
              <w:jc w:val="center"/>
              <w:rPr>
                <w:b/>
                <w:bCs/>
                <w:sz w:val="28"/>
                <w:szCs w:val="28"/>
              </w:rPr>
            </w:pPr>
            <w:r w:rsidRPr="002F0C83">
              <w:rPr>
                <w:b/>
                <w:bCs/>
                <w:sz w:val="28"/>
                <w:szCs w:val="28"/>
              </w:rPr>
              <w:t>VI. Sabiedrības līdzdalība un komunikācijas aktivitātes</w:t>
            </w:r>
          </w:p>
        </w:tc>
      </w:tr>
      <w:tr w:rsidR="002F0C83" w:rsidRPr="002F0C83" w14:paraId="4F0B5F71" w14:textId="77777777" w:rsidTr="00B35A2B">
        <w:tc>
          <w:tcPr>
            <w:tcW w:w="829" w:type="dxa"/>
          </w:tcPr>
          <w:p w14:paraId="17BA7E34" w14:textId="77777777" w:rsidR="00394F72" w:rsidRPr="002F0C83" w:rsidRDefault="00394F72" w:rsidP="00592E2E">
            <w:pPr>
              <w:spacing w:before="100" w:beforeAutospacing="1" w:after="100" w:afterAutospacing="1"/>
              <w:ind w:firstLine="29"/>
              <w:rPr>
                <w:szCs w:val="28"/>
              </w:rPr>
            </w:pPr>
            <w:r w:rsidRPr="002F0C83">
              <w:rPr>
                <w:szCs w:val="28"/>
              </w:rPr>
              <w:t>1.</w:t>
            </w:r>
          </w:p>
        </w:tc>
        <w:tc>
          <w:tcPr>
            <w:tcW w:w="3240" w:type="dxa"/>
          </w:tcPr>
          <w:p w14:paraId="68885B24" w14:textId="77777777" w:rsidR="00394F72" w:rsidRPr="002F0C83" w:rsidRDefault="00394F72" w:rsidP="0011361F">
            <w:pPr>
              <w:spacing w:before="100" w:beforeAutospacing="1" w:after="100" w:afterAutospacing="1"/>
              <w:ind w:left="-86" w:firstLine="284"/>
              <w:jc w:val="left"/>
              <w:rPr>
                <w:szCs w:val="28"/>
              </w:rPr>
            </w:pPr>
            <w:r w:rsidRPr="002F0C83">
              <w:rPr>
                <w:szCs w:val="28"/>
                <w:shd w:val="clear" w:color="auto" w:fill="FFFFFF"/>
              </w:rPr>
              <w:t>Plānotās sabiedrības līdzdalības un komunikācijas aktivitātes saistībā ar projektu</w:t>
            </w:r>
          </w:p>
        </w:tc>
        <w:tc>
          <w:tcPr>
            <w:tcW w:w="5576" w:type="dxa"/>
          </w:tcPr>
          <w:p w14:paraId="521D7481" w14:textId="6F3B6B28" w:rsidR="00394F72" w:rsidRPr="002F0C83" w:rsidRDefault="00BB386E" w:rsidP="00485A47">
            <w:pPr>
              <w:ind w:left="57" w:firstLine="346"/>
              <w:rPr>
                <w:szCs w:val="28"/>
              </w:rPr>
            </w:pPr>
            <w:r w:rsidRPr="00BB386E">
              <w:rPr>
                <w:szCs w:val="28"/>
              </w:rPr>
              <w:t>Veikta Projekta sabiedriskā apspriešana, publicējot to Veselības ministrijas tīmekļvietnē.</w:t>
            </w:r>
          </w:p>
        </w:tc>
      </w:tr>
      <w:tr w:rsidR="002F0C83" w:rsidRPr="002F0C83" w14:paraId="2E285B62" w14:textId="77777777" w:rsidTr="00B35A2B">
        <w:trPr>
          <w:trHeight w:val="284"/>
        </w:trPr>
        <w:tc>
          <w:tcPr>
            <w:tcW w:w="829" w:type="dxa"/>
          </w:tcPr>
          <w:p w14:paraId="02593F15" w14:textId="77777777" w:rsidR="00394F72" w:rsidRPr="002F0C83" w:rsidRDefault="00394F72" w:rsidP="00592E2E">
            <w:pPr>
              <w:spacing w:before="100" w:beforeAutospacing="1" w:after="100" w:afterAutospacing="1"/>
              <w:ind w:firstLine="29"/>
              <w:rPr>
                <w:szCs w:val="28"/>
              </w:rPr>
            </w:pPr>
            <w:r w:rsidRPr="002F0C83">
              <w:rPr>
                <w:szCs w:val="28"/>
              </w:rPr>
              <w:t>2.</w:t>
            </w:r>
          </w:p>
        </w:tc>
        <w:tc>
          <w:tcPr>
            <w:tcW w:w="3240" w:type="dxa"/>
          </w:tcPr>
          <w:p w14:paraId="34D5B19E" w14:textId="77777777" w:rsidR="00394F72" w:rsidRPr="002F0C83" w:rsidRDefault="00394F72" w:rsidP="0011361F">
            <w:pPr>
              <w:spacing w:before="100" w:beforeAutospacing="1" w:after="100" w:afterAutospacing="1"/>
              <w:ind w:left="-86" w:firstLine="284"/>
              <w:jc w:val="left"/>
              <w:rPr>
                <w:szCs w:val="28"/>
              </w:rPr>
            </w:pPr>
            <w:r w:rsidRPr="002F0C83">
              <w:rPr>
                <w:szCs w:val="28"/>
                <w:shd w:val="clear" w:color="auto" w:fill="FFFFFF"/>
              </w:rPr>
              <w:t>Sabiedrības līdzdalība projekta izstrādē</w:t>
            </w:r>
          </w:p>
        </w:tc>
        <w:tc>
          <w:tcPr>
            <w:tcW w:w="5576" w:type="dxa"/>
          </w:tcPr>
          <w:p w14:paraId="050BBB98" w14:textId="1CC6F686" w:rsidR="00394F72" w:rsidRPr="002F0C83" w:rsidRDefault="00394F72" w:rsidP="00035347">
            <w:pPr>
              <w:ind w:left="57" w:firstLine="284"/>
              <w:rPr>
                <w:szCs w:val="28"/>
              </w:rPr>
            </w:pPr>
          </w:p>
        </w:tc>
      </w:tr>
      <w:tr w:rsidR="002F0C83" w:rsidRPr="002F0C83" w14:paraId="5F18879D" w14:textId="77777777" w:rsidTr="00B35A2B">
        <w:trPr>
          <w:trHeight w:val="284"/>
        </w:trPr>
        <w:tc>
          <w:tcPr>
            <w:tcW w:w="829" w:type="dxa"/>
          </w:tcPr>
          <w:p w14:paraId="5D469C09" w14:textId="77777777" w:rsidR="00394F72" w:rsidRPr="002F0C83" w:rsidRDefault="00394F72" w:rsidP="00592E2E">
            <w:pPr>
              <w:spacing w:before="100" w:beforeAutospacing="1" w:after="100" w:afterAutospacing="1"/>
              <w:ind w:firstLine="29"/>
              <w:rPr>
                <w:szCs w:val="28"/>
              </w:rPr>
            </w:pPr>
            <w:r w:rsidRPr="002F0C83">
              <w:rPr>
                <w:szCs w:val="28"/>
              </w:rPr>
              <w:t>3.</w:t>
            </w:r>
          </w:p>
        </w:tc>
        <w:tc>
          <w:tcPr>
            <w:tcW w:w="3240" w:type="dxa"/>
          </w:tcPr>
          <w:p w14:paraId="78DCF283" w14:textId="77777777" w:rsidR="00394F72" w:rsidRPr="002F0C83" w:rsidRDefault="00394F72" w:rsidP="0011361F">
            <w:pPr>
              <w:spacing w:before="100" w:beforeAutospacing="1" w:after="100" w:afterAutospacing="1"/>
              <w:ind w:left="-86" w:firstLine="284"/>
              <w:jc w:val="left"/>
              <w:rPr>
                <w:szCs w:val="28"/>
              </w:rPr>
            </w:pPr>
            <w:r w:rsidRPr="002F0C83">
              <w:rPr>
                <w:szCs w:val="28"/>
                <w:shd w:val="clear" w:color="auto" w:fill="FFFFFF"/>
              </w:rPr>
              <w:t>Sabiedrības līdzdalības rezultāti</w:t>
            </w:r>
          </w:p>
        </w:tc>
        <w:tc>
          <w:tcPr>
            <w:tcW w:w="5576" w:type="dxa"/>
          </w:tcPr>
          <w:p w14:paraId="4F508559" w14:textId="17EC24E2" w:rsidR="00394F72" w:rsidRPr="002F0C83" w:rsidRDefault="00394F72" w:rsidP="00485A47">
            <w:pPr>
              <w:ind w:left="57" w:firstLine="284"/>
              <w:rPr>
                <w:szCs w:val="28"/>
              </w:rPr>
            </w:pPr>
          </w:p>
        </w:tc>
      </w:tr>
      <w:tr w:rsidR="002F0C83" w:rsidRPr="002F0C83" w14:paraId="34D6D15B" w14:textId="77777777" w:rsidTr="00B35A2B">
        <w:trPr>
          <w:trHeight w:val="284"/>
        </w:trPr>
        <w:tc>
          <w:tcPr>
            <w:tcW w:w="829" w:type="dxa"/>
          </w:tcPr>
          <w:p w14:paraId="4B177B89" w14:textId="77777777" w:rsidR="00394F72" w:rsidRPr="002F0C83" w:rsidRDefault="00394F72" w:rsidP="00592E2E">
            <w:pPr>
              <w:spacing w:before="100" w:beforeAutospacing="1" w:after="100" w:afterAutospacing="1"/>
              <w:ind w:firstLine="29"/>
              <w:rPr>
                <w:szCs w:val="28"/>
              </w:rPr>
            </w:pPr>
            <w:r w:rsidRPr="002F0C83">
              <w:rPr>
                <w:szCs w:val="28"/>
              </w:rPr>
              <w:t>4.</w:t>
            </w:r>
          </w:p>
        </w:tc>
        <w:tc>
          <w:tcPr>
            <w:tcW w:w="3240" w:type="dxa"/>
          </w:tcPr>
          <w:p w14:paraId="5EEB0704" w14:textId="77777777" w:rsidR="00394F72" w:rsidRPr="002F0C83" w:rsidRDefault="00394F72" w:rsidP="0011361F">
            <w:pPr>
              <w:spacing w:before="100" w:beforeAutospacing="1" w:after="100" w:afterAutospacing="1"/>
              <w:ind w:left="-86" w:firstLine="284"/>
              <w:jc w:val="left"/>
              <w:rPr>
                <w:szCs w:val="28"/>
              </w:rPr>
            </w:pPr>
            <w:r w:rsidRPr="002F0C83">
              <w:rPr>
                <w:szCs w:val="28"/>
                <w:shd w:val="clear" w:color="auto" w:fill="FFFFFF"/>
              </w:rPr>
              <w:t>Cita informācija</w:t>
            </w:r>
          </w:p>
        </w:tc>
        <w:tc>
          <w:tcPr>
            <w:tcW w:w="5576" w:type="dxa"/>
          </w:tcPr>
          <w:p w14:paraId="797912E5" w14:textId="594FC067" w:rsidR="00394F72" w:rsidRPr="002F0C83" w:rsidRDefault="00394F72" w:rsidP="00485A47">
            <w:pPr>
              <w:spacing w:before="100" w:beforeAutospacing="1" w:after="100" w:afterAutospacing="1"/>
              <w:ind w:firstLine="345"/>
              <w:rPr>
                <w:szCs w:val="28"/>
              </w:rPr>
            </w:pPr>
          </w:p>
        </w:tc>
      </w:tr>
    </w:tbl>
    <w:p w14:paraId="302A54C5" w14:textId="77777777" w:rsidR="008D64D3" w:rsidRPr="002F0C83" w:rsidRDefault="008D64D3" w:rsidP="00F50C84">
      <w:pPr>
        <w:ind w:firstLine="0"/>
        <w:jc w:val="left"/>
        <w:rPr>
          <w:szCs w:val="28"/>
          <w:lang w:eastAsia="lv-LV"/>
        </w:rPr>
      </w:pPr>
    </w:p>
    <w:p w14:paraId="6302D2B2" w14:textId="77777777" w:rsidR="008D64D3" w:rsidRPr="002F0C83" w:rsidRDefault="008D64D3" w:rsidP="00F50C84">
      <w:pPr>
        <w:ind w:firstLine="0"/>
        <w:jc w:val="left"/>
        <w:rPr>
          <w:szCs w:val="28"/>
          <w:lang w:eastAsia="lv-LV"/>
        </w:rPr>
      </w:pPr>
    </w:p>
    <w:tbl>
      <w:tblPr>
        <w:tblStyle w:val="TableGrid"/>
        <w:tblW w:w="5320" w:type="pct"/>
        <w:tblInd w:w="-289" w:type="dxa"/>
        <w:tblLook w:val="00A0" w:firstRow="1" w:lastRow="0" w:firstColumn="1" w:lastColumn="0" w:noHBand="0" w:noVBand="0"/>
      </w:tblPr>
      <w:tblGrid>
        <w:gridCol w:w="964"/>
        <w:gridCol w:w="3251"/>
        <w:gridCol w:w="5666"/>
      </w:tblGrid>
      <w:tr w:rsidR="002F0C83" w:rsidRPr="002F0C83" w14:paraId="583EA3E9" w14:textId="77777777" w:rsidTr="00B35A2B">
        <w:trPr>
          <w:trHeight w:val="375"/>
        </w:trPr>
        <w:tc>
          <w:tcPr>
            <w:tcW w:w="5000" w:type="pct"/>
            <w:gridSpan w:val="3"/>
          </w:tcPr>
          <w:p w14:paraId="7E59DB4A" w14:textId="77777777" w:rsidR="00965309" w:rsidRPr="002F0C83" w:rsidRDefault="00510DE8" w:rsidP="00862D0F">
            <w:pPr>
              <w:spacing w:before="100" w:beforeAutospacing="1" w:after="100" w:afterAutospacing="1"/>
              <w:ind w:firstLine="0"/>
              <w:jc w:val="center"/>
              <w:rPr>
                <w:b/>
                <w:bCs/>
                <w:szCs w:val="28"/>
                <w:lang w:eastAsia="lv-LV"/>
              </w:rPr>
            </w:pPr>
            <w:r w:rsidRPr="002F0C83">
              <w:rPr>
                <w:b/>
                <w:bCs/>
                <w:szCs w:val="28"/>
                <w:lang w:eastAsia="lv-LV"/>
              </w:rPr>
              <w:t>VII</w:t>
            </w:r>
            <w:r w:rsidR="00965309" w:rsidRPr="002F0C83">
              <w:rPr>
                <w:b/>
                <w:bCs/>
                <w:szCs w:val="28"/>
                <w:lang w:eastAsia="lv-LV"/>
              </w:rPr>
              <w:t>. Tiesību akta projekta izpildes nodrošināšana un tās ietekme uz institūcijām</w:t>
            </w:r>
          </w:p>
        </w:tc>
      </w:tr>
      <w:tr w:rsidR="002F0C83" w:rsidRPr="002F0C83" w14:paraId="0472BB1C" w14:textId="77777777" w:rsidTr="00B35A2B">
        <w:trPr>
          <w:trHeight w:val="420"/>
        </w:trPr>
        <w:tc>
          <w:tcPr>
            <w:tcW w:w="488" w:type="pct"/>
          </w:tcPr>
          <w:p w14:paraId="76230F90" w14:textId="77777777" w:rsidR="00965309" w:rsidRPr="002F0C83" w:rsidRDefault="00965309" w:rsidP="00862D0F">
            <w:pPr>
              <w:ind w:firstLine="0"/>
              <w:jc w:val="left"/>
              <w:rPr>
                <w:szCs w:val="28"/>
                <w:lang w:eastAsia="lv-LV"/>
              </w:rPr>
            </w:pPr>
            <w:r w:rsidRPr="002F0C83">
              <w:rPr>
                <w:szCs w:val="28"/>
                <w:lang w:eastAsia="lv-LV"/>
              </w:rPr>
              <w:t>1.</w:t>
            </w:r>
          </w:p>
        </w:tc>
        <w:tc>
          <w:tcPr>
            <w:tcW w:w="1645" w:type="pct"/>
          </w:tcPr>
          <w:p w14:paraId="3A18F30F" w14:textId="77777777" w:rsidR="00965309" w:rsidRPr="002F0C83" w:rsidRDefault="00965309" w:rsidP="00862D0F">
            <w:pPr>
              <w:ind w:firstLine="0"/>
              <w:jc w:val="left"/>
              <w:rPr>
                <w:szCs w:val="28"/>
                <w:lang w:eastAsia="lv-LV"/>
              </w:rPr>
            </w:pPr>
            <w:r w:rsidRPr="002F0C83">
              <w:rPr>
                <w:szCs w:val="28"/>
                <w:lang w:eastAsia="lv-LV"/>
              </w:rPr>
              <w:t>Projekta izpildē iesaistītās institūcijas</w:t>
            </w:r>
          </w:p>
        </w:tc>
        <w:tc>
          <w:tcPr>
            <w:tcW w:w="2867" w:type="pct"/>
          </w:tcPr>
          <w:p w14:paraId="6A316814" w14:textId="0335E012" w:rsidR="00965309" w:rsidRPr="002F0C83" w:rsidRDefault="00BB386E" w:rsidP="006F2559">
            <w:pPr>
              <w:ind w:hanging="105"/>
              <w:rPr>
                <w:szCs w:val="28"/>
                <w:lang w:eastAsia="lv-LV"/>
              </w:rPr>
            </w:pPr>
            <w:r>
              <w:rPr>
                <w:szCs w:val="28"/>
                <w:lang w:eastAsia="lv-LV"/>
              </w:rPr>
              <w:t>Neatliekamās medicīniskās palīdzības dienests</w:t>
            </w:r>
          </w:p>
        </w:tc>
      </w:tr>
      <w:tr w:rsidR="002F0C83" w:rsidRPr="002F0C83" w14:paraId="159F9FC9" w14:textId="77777777" w:rsidTr="00B35A2B">
        <w:trPr>
          <w:trHeight w:val="450"/>
        </w:trPr>
        <w:tc>
          <w:tcPr>
            <w:tcW w:w="488" w:type="pct"/>
          </w:tcPr>
          <w:p w14:paraId="4080CD9B" w14:textId="77777777" w:rsidR="00965309" w:rsidRPr="002F0C83" w:rsidRDefault="00965309" w:rsidP="00862D0F">
            <w:pPr>
              <w:ind w:firstLine="0"/>
              <w:jc w:val="left"/>
              <w:rPr>
                <w:szCs w:val="28"/>
                <w:lang w:eastAsia="lv-LV"/>
              </w:rPr>
            </w:pPr>
            <w:r w:rsidRPr="002F0C83">
              <w:rPr>
                <w:szCs w:val="28"/>
                <w:lang w:eastAsia="lv-LV"/>
              </w:rPr>
              <w:t>2.</w:t>
            </w:r>
          </w:p>
        </w:tc>
        <w:tc>
          <w:tcPr>
            <w:tcW w:w="1645" w:type="pct"/>
          </w:tcPr>
          <w:p w14:paraId="285C8223" w14:textId="77777777" w:rsidR="00965309" w:rsidRPr="002F0C83" w:rsidRDefault="00965309" w:rsidP="00FF7CC5">
            <w:pPr>
              <w:ind w:firstLine="0"/>
              <w:rPr>
                <w:szCs w:val="28"/>
                <w:lang w:eastAsia="lv-LV"/>
              </w:rPr>
            </w:pPr>
            <w:r w:rsidRPr="002F0C83">
              <w:rPr>
                <w:szCs w:val="28"/>
                <w:lang w:eastAsia="lv-LV"/>
              </w:rPr>
              <w:t>Projekta izpildes ietekme uz pārvaldes funkcijām un institucionālo struktūru.</w:t>
            </w:r>
            <w:r w:rsidR="00FF7CC5" w:rsidRPr="002F0C83">
              <w:rPr>
                <w:szCs w:val="28"/>
                <w:lang w:eastAsia="lv-LV"/>
              </w:rPr>
              <w:t xml:space="preserve"> </w:t>
            </w:r>
            <w:r w:rsidRPr="002F0C83">
              <w:rPr>
                <w:szCs w:val="28"/>
                <w:lang w:eastAsia="lv-LV"/>
              </w:rPr>
              <w:t xml:space="preserve">Jaunu institūciju izveide, esošu institūciju likvidācija vai reorganizācija, to ietekme uz institūcijas </w:t>
            </w:r>
            <w:r w:rsidRPr="002F0C83">
              <w:rPr>
                <w:szCs w:val="28"/>
                <w:lang w:eastAsia="lv-LV"/>
              </w:rPr>
              <w:lastRenderedPageBreak/>
              <w:t>cilvēkresursiem.</w:t>
            </w:r>
          </w:p>
        </w:tc>
        <w:tc>
          <w:tcPr>
            <w:tcW w:w="2867" w:type="pct"/>
          </w:tcPr>
          <w:p w14:paraId="7FF92F7C" w14:textId="77777777" w:rsidR="00965309" w:rsidRPr="002F0C83" w:rsidRDefault="00390C55" w:rsidP="002467CA">
            <w:pPr>
              <w:ind w:left="98" w:right="140" w:hanging="105"/>
              <w:rPr>
                <w:szCs w:val="28"/>
              </w:rPr>
            </w:pPr>
            <w:r w:rsidRPr="00E35C36">
              <w:rPr>
                <w:rFonts w:eastAsia="Times New Roman"/>
                <w:bCs/>
                <w:szCs w:val="28"/>
                <w:lang w:eastAsia="lv-LV"/>
              </w:rPr>
              <w:lastRenderedPageBreak/>
              <w:t>Jaunas funkcijas un uzdevumi netiek radīti</w:t>
            </w:r>
            <w:r w:rsidR="002467CA" w:rsidRPr="00E35C36">
              <w:rPr>
                <w:rFonts w:eastAsia="Times New Roman"/>
                <w:bCs/>
                <w:szCs w:val="28"/>
                <w:lang w:eastAsia="lv-LV"/>
              </w:rPr>
              <w:t>, i</w:t>
            </w:r>
            <w:r w:rsidRPr="00E35C36">
              <w:rPr>
                <w:rFonts w:eastAsia="Times New Roman"/>
                <w:bCs/>
                <w:szCs w:val="28"/>
                <w:lang w:eastAsia="lv-LV"/>
              </w:rPr>
              <w:t>nstit</w:t>
            </w:r>
            <w:r w:rsidR="0071489B" w:rsidRPr="00E35C36">
              <w:rPr>
                <w:rFonts w:eastAsia="Times New Roman"/>
                <w:bCs/>
                <w:szCs w:val="28"/>
                <w:lang w:eastAsia="lv-LV"/>
              </w:rPr>
              <w:t>ūcijai pieejamos cilvēkresursus</w:t>
            </w:r>
            <w:r w:rsidR="002467CA" w:rsidRPr="00E35C36">
              <w:rPr>
                <w:rFonts w:eastAsia="Times New Roman"/>
                <w:bCs/>
                <w:szCs w:val="28"/>
                <w:lang w:eastAsia="lv-LV"/>
              </w:rPr>
              <w:t xml:space="preserve"> </w:t>
            </w:r>
            <w:r w:rsidRPr="00E35C36">
              <w:rPr>
                <w:rFonts w:eastAsia="Times New Roman"/>
                <w:bCs/>
                <w:szCs w:val="28"/>
                <w:lang w:eastAsia="lv-LV"/>
              </w:rPr>
              <w:t>neietekmē</w:t>
            </w:r>
            <w:r w:rsidR="002467CA" w:rsidRPr="00E35C36">
              <w:rPr>
                <w:rFonts w:eastAsia="Times New Roman"/>
                <w:bCs/>
                <w:szCs w:val="28"/>
                <w:lang w:eastAsia="lv-LV"/>
              </w:rPr>
              <w:t>,</w:t>
            </w:r>
            <w:r w:rsidR="00B701C1" w:rsidRPr="00E35C36">
              <w:rPr>
                <w:rFonts w:eastAsia="Times New Roman"/>
                <w:bCs/>
                <w:szCs w:val="28"/>
                <w:lang w:eastAsia="lv-LV"/>
              </w:rPr>
              <w:t xml:space="preserve"> </w:t>
            </w:r>
            <w:r w:rsidR="002467CA" w:rsidRPr="00E35C36">
              <w:rPr>
                <w:rFonts w:eastAsia="Times New Roman"/>
                <w:bCs/>
                <w:szCs w:val="28"/>
                <w:lang w:eastAsia="lv-LV"/>
              </w:rPr>
              <w:t>j</w:t>
            </w:r>
            <w:r w:rsidRPr="00E35C36">
              <w:rPr>
                <w:rFonts w:eastAsia="Times New Roman"/>
                <w:bCs/>
                <w:szCs w:val="28"/>
                <w:lang w:eastAsia="lv-LV"/>
              </w:rPr>
              <w:t xml:space="preserve">aunas institūcijas netiks veidotas. </w:t>
            </w:r>
            <w:r w:rsidR="002467CA" w:rsidRPr="00E35C36">
              <w:rPr>
                <w:rFonts w:eastAsia="Times New Roman"/>
                <w:bCs/>
                <w:szCs w:val="28"/>
                <w:lang w:eastAsia="lv-LV"/>
              </w:rPr>
              <w:t>E</w:t>
            </w:r>
            <w:r w:rsidRPr="00E35C36">
              <w:rPr>
                <w:szCs w:val="28"/>
              </w:rPr>
              <w:t>sošo institūciju likvidācija vai reorganizācija nav plānota.</w:t>
            </w:r>
            <w:r w:rsidR="00B701C1" w:rsidRPr="002F0C83">
              <w:rPr>
                <w:szCs w:val="28"/>
              </w:rPr>
              <w:t xml:space="preserve"> </w:t>
            </w:r>
          </w:p>
        </w:tc>
      </w:tr>
      <w:tr w:rsidR="002F0C83" w:rsidRPr="002F0C83" w14:paraId="45F7FAA8" w14:textId="77777777" w:rsidTr="00B35A2B">
        <w:trPr>
          <w:trHeight w:val="390"/>
        </w:trPr>
        <w:tc>
          <w:tcPr>
            <w:tcW w:w="488" w:type="pct"/>
          </w:tcPr>
          <w:p w14:paraId="27C19FB0" w14:textId="77777777" w:rsidR="00965309" w:rsidRPr="002F0C83" w:rsidRDefault="00965309" w:rsidP="00862D0F">
            <w:pPr>
              <w:ind w:firstLine="0"/>
              <w:jc w:val="left"/>
              <w:rPr>
                <w:szCs w:val="28"/>
                <w:lang w:eastAsia="lv-LV"/>
              </w:rPr>
            </w:pPr>
            <w:r w:rsidRPr="002F0C83">
              <w:rPr>
                <w:szCs w:val="28"/>
                <w:lang w:eastAsia="lv-LV"/>
              </w:rPr>
              <w:t>3.</w:t>
            </w:r>
          </w:p>
        </w:tc>
        <w:tc>
          <w:tcPr>
            <w:tcW w:w="1645" w:type="pct"/>
          </w:tcPr>
          <w:p w14:paraId="4A17E938" w14:textId="77777777" w:rsidR="00965309" w:rsidRPr="002F0C83" w:rsidRDefault="00965309" w:rsidP="00862D0F">
            <w:pPr>
              <w:ind w:firstLine="0"/>
              <w:jc w:val="left"/>
              <w:rPr>
                <w:szCs w:val="28"/>
                <w:lang w:eastAsia="lv-LV"/>
              </w:rPr>
            </w:pPr>
            <w:r w:rsidRPr="002F0C83">
              <w:rPr>
                <w:szCs w:val="28"/>
                <w:lang w:eastAsia="lv-LV"/>
              </w:rPr>
              <w:t>Cita informācija</w:t>
            </w:r>
          </w:p>
        </w:tc>
        <w:tc>
          <w:tcPr>
            <w:tcW w:w="2867" w:type="pct"/>
          </w:tcPr>
          <w:p w14:paraId="125AF1B9" w14:textId="77777777" w:rsidR="00965309" w:rsidRPr="002F0C83" w:rsidRDefault="00965309" w:rsidP="00862D0F">
            <w:pPr>
              <w:spacing w:before="100" w:beforeAutospacing="1" w:after="100" w:afterAutospacing="1"/>
              <w:ind w:firstLine="0"/>
              <w:jc w:val="left"/>
              <w:rPr>
                <w:szCs w:val="28"/>
                <w:lang w:eastAsia="lv-LV"/>
              </w:rPr>
            </w:pPr>
            <w:r w:rsidRPr="002F0C83">
              <w:rPr>
                <w:szCs w:val="28"/>
                <w:lang w:eastAsia="lv-LV"/>
              </w:rPr>
              <w:t>Nav.</w:t>
            </w:r>
          </w:p>
        </w:tc>
      </w:tr>
    </w:tbl>
    <w:p w14:paraId="6D6B36BB" w14:textId="77777777" w:rsidR="00716858" w:rsidRDefault="00716858" w:rsidP="00716858">
      <w:pPr>
        <w:ind w:firstLine="0"/>
        <w:rPr>
          <w:szCs w:val="28"/>
        </w:rPr>
      </w:pPr>
    </w:p>
    <w:p w14:paraId="68CC1130" w14:textId="77777777" w:rsidR="00716858" w:rsidRDefault="00716858" w:rsidP="00716858">
      <w:pPr>
        <w:ind w:firstLine="0"/>
        <w:rPr>
          <w:szCs w:val="28"/>
        </w:rPr>
      </w:pPr>
    </w:p>
    <w:p w14:paraId="0E5CC437" w14:textId="77777777" w:rsidR="00716858" w:rsidRDefault="00716858" w:rsidP="00716858">
      <w:pPr>
        <w:ind w:firstLine="0"/>
        <w:rPr>
          <w:szCs w:val="28"/>
        </w:rPr>
      </w:pPr>
    </w:p>
    <w:p w14:paraId="2FCFC293" w14:textId="0B719D8B" w:rsidR="00716858" w:rsidRPr="00716858" w:rsidRDefault="00745CD2" w:rsidP="00716858">
      <w:pPr>
        <w:ind w:firstLine="0"/>
        <w:rPr>
          <w:szCs w:val="28"/>
        </w:rPr>
      </w:pPr>
      <w:r>
        <w:rPr>
          <w:szCs w:val="28"/>
        </w:rPr>
        <w:t xml:space="preserve"> </w:t>
      </w:r>
      <w:r w:rsidR="00716858" w:rsidRPr="00716858">
        <w:rPr>
          <w:szCs w:val="28"/>
        </w:rPr>
        <w:t xml:space="preserve">Ministru prezidents                                                            Arturs Krišjānis Kariņš </w:t>
      </w:r>
    </w:p>
    <w:p w14:paraId="50684E5A" w14:textId="77777777" w:rsidR="00716858" w:rsidRPr="00716858" w:rsidRDefault="00716858" w:rsidP="00716858">
      <w:pPr>
        <w:ind w:firstLine="0"/>
        <w:rPr>
          <w:szCs w:val="28"/>
        </w:rPr>
      </w:pPr>
    </w:p>
    <w:p w14:paraId="4C92C170" w14:textId="7A0E13AD" w:rsidR="00716858" w:rsidRDefault="00716858" w:rsidP="00716858">
      <w:pPr>
        <w:ind w:firstLine="0"/>
        <w:rPr>
          <w:szCs w:val="28"/>
        </w:rPr>
      </w:pPr>
      <w:r w:rsidRPr="00716858">
        <w:rPr>
          <w:szCs w:val="28"/>
        </w:rPr>
        <w:t xml:space="preserve">Veselības ministre </w:t>
      </w:r>
      <w:r w:rsidRPr="00716858">
        <w:rPr>
          <w:szCs w:val="28"/>
        </w:rPr>
        <w:tab/>
        <w:t xml:space="preserve">    </w:t>
      </w:r>
      <w:r>
        <w:rPr>
          <w:szCs w:val="28"/>
        </w:rPr>
        <w:tab/>
      </w:r>
      <w:r>
        <w:rPr>
          <w:szCs w:val="28"/>
        </w:rPr>
        <w:tab/>
      </w:r>
      <w:r>
        <w:rPr>
          <w:szCs w:val="28"/>
        </w:rPr>
        <w:tab/>
      </w:r>
      <w:r>
        <w:rPr>
          <w:szCs w:val="28"/>
        </w:rPr>
        <w:tab/>
      </w:r>
      <w:r>
        <w:rPr>
          <w:szCs w:val="28"/>
        </w:rPr>
        <w:tab/>
      </w:r>
      <w:r>
        <w:rPr>
          <w:szCs w:val="28"/>
        </w:rPr>
        <w:tab/>
      </w:r>
      <w:r>
        <w:rPr>
          <w:szCs w:val="28"/>
        </w:rPr>
        <w:tab/>
      </w:r>
      <w:r w:rsidRPr="00716858">
        <w:rPr>
          <w:szCs w:val="28"/>
        </w:rPr>
        <w:t xml:space="preserve">  Ilze Viņķele </w:t>
      </w:r>
    </w:p>
    <w:p w14:paraId="0915D208" w14:textId="77777777" w:rsidR="00222052" w:rsidRPr="00716858" w:rsidRDefault="00222052" w:rsidP="00716858">
      <w:pPr>
        <w:ind w:firstLine="0"/>
        <w:rPr>
          <w:szCs w:val="28"/>
        </w:rPr>
      </w:pPr>
    </w:p>
    <w:p w14:paraId="3513D15C" w14:textId="77777777" w:rsidR="00716858" w:rsidRPr="00716858" w:rsidRDefault="00716858" w:rsidP="00716858">
      <w:pPr>
        <w:ind w:firstLine="0"/>
        <w:rPr>
          <w:szCs w:val="28"/>
        </w:rPr>
      </w:pPr>
    </w:p>
    <w:p w14:paraId="545390EF" w14:textId="3D54900F" w:rsidR="00716858" w:rsidRDefault="00716858" w:rsidP="00716858">
      <w:pPr>
        <w:ind w:firstLine="0"/>
        <w:rPr>
          <w:szCs w:val="28"/>
        </w:rPr>
      </w:pPr>
      <w:r w:rsidRPr="00716858">
        <w:rPr>
          <w:szCs w:val="28"/>
        </w:rPr>
        <w:t>Iesniedzējs: Veselības ministre</w:t>
      </w:r>
      <w:r w:rsidRPr="00716858">
        <w:rPr>
          <w:szCs w:val="28"/>
        </w:rPr>
        <w:tab/>
        <w:t xml:space="preserve">      </w:t>
      </w:r>
      <w:r>
        <w:rPr>
          <w:szCs w:val="28"/>
        </w:rPr>
        <w:tab/>
      </w:r>
      <w:r>
        <w:rPr>
          <w:szCs w:val="28"/>
        </w:rPr>
        <w:tab/>
      </w:r>
      <w:r>
        <w:rPr>
          <w:szCs w:val="28"/>
        </w:rPr>
        <w:tab/>
      </w:r>
      <w:r>
        <w:rPr>
          <w:szCs w:val="28"/>
        </w:rPr>
        <w:tab/>
      </w:r>
      <w:r>
        <w:rPr>
          <w:szCs w:val="28"/>
        </w:rPr>
        <w:tab/>
        <w:t xml:space="preserve">  </w:t>
      </w:r>
      <w:r w:rsidRPr="00716858">
        <w:rPr>
          <w:szCs w:val="28"/>
        </w:rPr>
        <w:t xml:space="preserve">Ilze Viņķele </w:t>
      </w:r>
    </w:p>
    <w:p w14:paraId="702773B3" w14:textId="77777777" w:rsidR="00716858" w:rsidRPr="00716858" w:rsidRDefault="00716858" w:rsidP="00716858">
      <w:pPr>
        <w:ind w:firstLine="0"/>
        <w:rPr>
          <w:szCs w:val="28"/>
        </w:rPr>
      </w:pPr>
    </w:p>
    <w:p w14:paraId="24EC0ADA" w14:textId="16C9231B" w:rsidR="00716858" w:rsidRPr="00716858" w:rsidRDefault="00716858" w:rsidP="00716858">
      <w:pPr>
        <w:ind w:firstLine="0"/>
        <w:rPr>
          <w:szCs w:val="28"/>
        </w:rPr>
      </w:pPr>
      <w:r w:rsidRPr="00716858">
        <w:rPr>
          <w:szCs w:val="28"/>
        </w:rPr>
        <w:t xml:space="preserve">Vīza: Valsts sekretāre                                        </w:t>
      </w:r>
      <w:r>
        <w:rPr>
          <w:szCs w:val="28"/>
        </w:rPr>
        <w:t xml:space="preserve"> </w:t>
      </w:r>
      <w:r w:rsidRPr="00716858">
        <w:rPr>
          <w:szCs w:val="28"/>
        </w:rPr>
        <w:t xml:space="preserve">         Daina </w:t>
      </w:r>
      <w:proofErr w:type="spellStart"/>
      <w:r w:rsidRPr="00716858">
        <w:rPr>
          <w:szCs w:val="28"/>
        </w:rPr>
        <w:t>Mūrmane-Umbraško</w:t>
      </w:r>
      <w:proofErr w:type="spellEnd"/>
    </w:p>
    <w:p w14:paraId="5557DE90" w14:textId="77777777" w:rsidR="00965309" w:rsidRPr="002F0C83" w:rsidRDefault="00965309" w:rsidP="00226A78">
      <w:pPr>
        <w:ind w:firstLine="0"/>
        <w:rPr>
          <w:szCs w:val="28"/>
        </w:rPr>
      </w:pPr>
    </w:p>
    <w:p w14:paraId="2061311F" w14:textId="0CF9950A" w:rsidR="00804DB9" w:rsidRPr="002F0C83" w:rsidRDefault="00804DB9" w:rsidP="00A36B55">
      <w:pPr>
        <w:tabs>
          <w:tab w:val="center" w:pos="4535"/>
        </w:tabs>
        <w:ind w:firstLine="0"/>
        <w:jc w:val="left"/>
        <w:rPr>
          <w:rFonts w:eastAsia="Times New Roman"/>
          <w:szCs w:val="28"/>
          <w:lang w:eastAsia="lv-LV"/>
        </w:rPr>
      </w:pPr>
    </w:p>
    <w:sectPr w:rsidR="00804DB9" w:rsidRPr="002F0C83" w:rsidSect="00E86A6C">
      <w:headerReference w:type="default" r:id="rId9"/>
      <w:footerReference w:type="default" r:id="rId10"/>
      <w:pgSz w:w="11906" w:h="16838"/>
      <w:pgMar w:top="1134" w:right="1134" w:bottom="1134"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781920" w14:textId="77777777" w:rsidR="009562E9" w:rsidRDefault="009562E9" w:rsidP="00F3628F">
      <w:r>
        <w:separator/>
      </w:r>
    </w:p>
  </w:endnote>
  <w:endnote w:type="continuationSeparator" w:id="0">
    <w:p w14:paraId="6D170C4C" w14:textId="77777777" w:rsidR="009562E9" w:rsidRDefault="009562E9" w:rsidP="00F362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180D21" w14:textId="02282B41" w:rsidR="00DB0B0B" w:rsidRPr="001D7E03" w:rsidRDefault="00ED4313" w:rsidP="009C6E84">
    <w:pPr>
      <w:pStyle w:val="Footer"/>
      <w:ind w:firstLine="0"/>
    </w:pPr>
    <w:r>
      <w:rPr>
        <w:sz w:val="20"/>
        <w:szCs w:val="20"/>
      </w:rPr>
      <w:t xml:space="preserve"> </w:t>
    </w:r>
    <w:r w:rsidR="00716858" w:rsidRPr="00716858">
      <w:rPr>
        <w:sz w:val="20"/>
        <w:szCs w:val="20"/>
      </w:rPr>
      <w:t>VMnot_</w:t>
    </w:r>
    <w:r w:rsidR="0015758D">
      <w:rPr>
        <w:sz w:val="20"/>
        <w:szCs w:val="20"/>
      </w:rPr>
      <w:t>01</w:t>
    </w:r>
    <w:r w:rsidR="00716858" w:rsidRPr="00716858">
      <w:rPr>
        <w:sz w:val="20"/>
        <w:szCs w:val="20"/>
      </w:rPr>
      <w:t>0</w:t>
    </w:r>
    <w:r w:rsidR="0015758D">
      <w:rPr>
        <w:sz w:val="20"/>
        <w:szCs w:val="20"/>
      </w:rPr>
      <w:t>3</w:t>
    </w:r>
    <w:r w:rsidR="00716858" w:rsidRPr="00716858">
      <w:rPr>
        <w:sz w:val="20"/>
        <w:szCs w:val="20"/>
      </w:rPr>
      <w:t>19_VMR</w:t>
    </w:r>
  </w:p>
  <w:p w14:paraId="68BC8606" w14:textId="77777777" w:rsidR="00ED4313" w:rsidRPr="00E86A6C" w:rsidRDefault="00ED4313" w:rsidP="00ED4313">
    <w:pPr>
      <w:pStyle w:val="Footer"/>
      <w:ind w:firstLine="0"/>
      <w:rPr>
        <w:sz w:val="20"/>
        <w:szCs w:val="20"/>
      </w:rPr>
    </w:pPr>
  </w:p>
  <w:p w14:paraId="236E889F" w14:textId="77777777" w:rsidR="00965309" w:rsidRPr="00745CD2" w:rsidRDefault="00965309" w:rsidP="00E86A6C">
    <w:pPr>
      <w:pStyle w:val="Footer"/>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F7DAFD" w14:textId="77777777" w:rsidR="009562E9" w:rsidRDefault="009562E9" w:rsidP="00F3628F">
      <w:r>
        <w:separator/>
      </w:r>
    </w:p>
  </w:footnote>
  <w:footnote w:type="continuationSeparator" w:id="0">
    <w:p w14:paraId="150A0D90" w14:textId="77777777" w:rsidR="009562E9" w:rsidRDefault="009562E9" w:rsidP="00F362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1FF030" w14:textId="77777777" w:rsidR="00965309" w:rsidRPr="00F50C84" w:rsidRDefault="00965309">
    <w:pPr>
      <w:pStyle w:val="Header"/>
      <w:jc w:val="center"/>
      <w:rPr>
        <w:sz w:val="24"/>
        <w:szCs w:val="24"/>
      </w:rPr>
    </w:pPr>
    <w:r w:rsidRPr="00F50C84">
      <w:rPr>
        <w:sz w:val="24"/>
        <w:szCs w:val="24"/>
      </w:rPr>
      <w:fldChar w:fldCharType="begin"/>
    </w:r>
    <w:r w:rsidRPr="00F50C84">
      <w:rPr>
        <w:sz w:val="24"/>
        <w:szCs w:val="24"/>
      </w:rPr>
      <w:instrText xml:space="preserve"> PAGE   \* MERGEFORMAT </w:instrText>
    </w:r>
    <w:r w:rsidRPr="00F50C84">
      <w:rPr>
        <w:sz w:val="24"/>
        <w:szCs w:val="24"/>
      </w:rPr>
      <w:fldChar w:fldCharType="separate"/>
    </w:r>
    <w:r w:rsidR="00CA478B">
      <w:rPr>
        <w:noProof/>
        <w:sz w:val="24"/>
        <w:szCs w:val="24"/>
      </w:rPr>
      <w:t>8</w:t>
    </w:r>
    <w:r w:rsidRPr="00F50C84">
      <w:rPr>
        <w:sz w:val="24"/>
        <w:szCs w:val="24"/>
      </w:rPr>
      <w:fldChar w:fldCharType="end"/>
    </w:r>
  </w:p>
  <w:p w14:paraId="6B4E35E1" w14:textId="77777777" w:rsidR="00965309" w:rsidRPr="00F50C84" w:rsidRDefault="00965309">
    <w:pPr>
      <w:pStyle w:val="Header"/>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6C20B5"/>
    <w:multiLevelType w:val="hybridMultilevel"/>
    <w:tmpl w:val="EF506138"/>
    <w:lvl w:ilvl="0" w:tplc="0426000F">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 w15:restartNumberingAfterBreak="0">
    <w:nsid w:val="12E459FF"/>
    <w:multiLevelType w:val="hybridMultilevel"/>
    <w:tmpl w:val="8C66A744"/>
    <w:lvl w:ilvl="0" w:tplc="F0F69BB8">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149C6A7B"/>
    <w:multiLevelType w:val="multilevel"/>
    <w:tmpl w:val="0426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7AC5D0B"/>
    <w:multiLevelType w:val="hybridMultilevel"/>
    <w:tmpl w:val="F5D8F722"/>
    <w:lvl w:ilvl="0" w:tplc="458806FA">
      <w:start w:val="2014"/>
      <w:numFmt w:val="bullet"/>
      <w:lvlText w:val="-"/>
      <w:lvlJc w:val="left"/>
      <w:pPr>
        <w:ind w:left="502" w:hanging="360"/>
      </w:pPr>
      <w:rPr>
        <w:rFonts w:ascii="Times New Roman" w:eastAsia="Times New Roman" w:hAnsi="Times New Roman" w:hint="default"/>
      </w:rPr>
    </w:lvl>
    <w:lvl w:ilvl="1" w:tplc="04260003" w:tentative="1">
      <w:start w:val="1"/>
      <w:numFmt w:val="bullet"/>
      <w:lvlText w:val="o"/>
      <w:lvlJc w:val="left"/>
      <w:pPr>
        <w:ind w:left="1222" w:hanging="360"/>
      </w:pPr>
      <w:rPr>
        <w:rFonts w:ascii="Courier New" w:hAnsi="Courier New" w:hint="default"/>
      </w:rPr>
    </w:lvl>
    <w:lvl w:ilvl="2" w:tplc="04260005" w:tentative="1">
      <w:start w:val="1"/>
      <w:numFmt w:val="bullet"/>
      <w:lvlText w:val=""/>
      <w:lvlJc w:val="left"/>
      <w:pPr>
        <w:ind w:left="1942" w:hanging="360"/>
      </w:pPr>
      <w:rPr>
        <w:rFonts w:ascii="Wingdings" w:hAnsi="Wingdings" w:hint="default"/>
      </w:rPr>
    </w:lvl>
    <w:lvl w:ilvl="3" w:tplc="04260001" w:tentative="1">
      <w:start w:val="1"/>
      <w:numFmt w:val="bullet"/>
      <w:lvlText w:val=""/>
      <w:lvlJc w:val="left"/>
      <w:pPr>
        <w:ind w:left="2662" w:hanging="360"/>
      </w:pPr>
      <w:rPr>
        <w:rFonts w:ascii="Symbol" w:hAnsi="Symbol" w:hint="default"/>
      </w:rPr>
    </w:lvl>
    <w:lvl w:ilvl="4" w:tplc="04260003" w:tentative="1">
      <w:start w:val="1"/>
      <w:numFmt w:val="bullet"/>
      <w:lvlText w:val="o"/>
      <w:lvlJc w:val="left"/>
      <w:pPr>
        <w:ind w:left="3382" w:hanging="360"/>
      </w:pPr>
      <w:rPr>
        <w:rFonts w:ascii="Courier New" w:hAnsi="Courier New" w:hint="default"/>
      </w:rPr>
    </w:lvl>
    <w:lvl w:ilvl="5" w:tplc="04260005" w:tentative="1">
      <w:start w:val="1"/>
      <w:numFmt w:val="bullet"/>
      <w:lvlText w:val=""/>
      <w:lvlJc w:val="left"/>
      <w:pPr>
        <w:ind w:left="4102" w:hanging="360"/>
      </w:pPr>
      <w:rPr>
        <w:rFonts w:ascii="Wingdings" w:hAnsi="Wingdings" w:hint="default"/>
      </w:rPr>
    </w:lvl>
    <w:lvl w:ilvl="6" w:tplc="04260001" w:tentative="1">
      <w:start w:val="1"/>
      <w:numFmt w:val="bullet"/>
      <w:lvlText w:val=""/>
      <w:lvlJc w:val="left"/>
      <w:pPr>
        <w:ind w:left="4822" w:hanging="360"/>
      </w:pPr>
      <w:rPr>
        <w:rFonts w:ascii="Symbol" w:hAnsi="Symbol" w:hint="default"/>
      </w:rPr>
    </w:lvl>
    <w:lvl w:ilvl="7" w:tplc="04260003" w:tentative="1">
      <w:start w:val="1"/>
      <w:numFmt w:val="bullet"/>
      <w:lvlText w:val="o"/>
      <w:lvlJc w:val="left"/>
      <w:pPr>
        <w:ind w:left="5542" w:hanging="360"/>
      </w:pPr>
      <w:rPr>
        <w:rFonts w:ascii="Courier New" w:hAnsi="Courier New" w:hint="default"/>
      </w:rPr>
    </w:lvl>
    <w:lvl w:ilvl="8" w:tplc="04260005" w:tentative="1">
      <w:start w:val="1"/>
      <w:numFmt w:val="bullet"/>
      <w:lvlText w:val=""/>
      <w:lvlJc w:val="left"/>
      <w:pPr>
        <w:ind w:left="6262" w:hanging="360"/>
      </w:pPr>
      <w:rPr>
        <w:rFonts w:ascii="Wingdings" w:hAnsi="Wingdings" w:hint="default"/>
      </w:rPr>
    </w:lvl>
  </w:abstractNum>
  <w:abstractNum w:abstractNumId="4" w15:restartNumberingAfterBreak="0">
    <w:nsid w:val="3A2C5AA4"/>
    <w:multiLevelType w:val="hybridMultilevel"/>
    <w:tmpl w:val="EF506138"/>
    <w:lvl w:ilvl="0" w:tplc="0426000F">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5" w15:restartNumberingAfterBreak="0">
    <w:nsid w:val="49713258"/>
    <w:multiLevelType w:val="hybridMultilevel"/>
    <w:tmpl w:val="8C2AD162"/>
    <w:lvl w:ilvl="0" w:tplc="04260011">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6" w15:restartNumberingAfterBreak="0">
    <w:nsid w:val="4BC74D31"/>
    <w:multiLevelType w:val="hybridMultilevel"/>
    <w:tmpl w:val="A57860EA"/>
    <w:lvl w:ilvl="0" w:tplc="8EDC1F42">
      <w:start w:val="1"/>
      <w:numFmt w:val="decimal"/>
      <w:lvlText w:val="%1)"/>
      <w:lvlJc w:val="left"/>
      <w:pPr>
        <w:ind w:left="760" w:hanging="360"/>
      </w:pPr>
      <w:rPr>
        <w:rFonts w:hint="default"/>
      </w:rPr>
    </w:lvl>
    <w:lvl w:ilvl="1" w:tplc="04260019" w:tentative="1">
      <w:start w:val="1"/>
      <w:numFmt w:val="lowerLetter"/>
      <w:lvlText w:val="%2."/>
      <w:lvlJc w:val="left"/>
      <w:pPr>
        <w:ind w:left="1480" w:hanging="360"/>
      </w:pPr>
    </w:lvl>
    <w:lvl w:ilvl="2" w:tplc="0426001B" w:tentative="1">
      <w:start w:val="1"/>
      <w:numFmt w:val="lowerRoman"/>
      <w:lvlText w:val="%3."/>
      <w:lvlJc w:val="right"/>
      <w:pPr>
        <w:ind w:left="2200" w:hanging="180"/>
      </w:pPr>
    </w:lvl>
    <w:lvl w:ilvl="3" w:tplc="0426000F" w:tentative="1">
      <w:start w:val="1"/>
      <w:numFmt w:val="decimal"/>
      <w:lvlText w:val="%4."/>
      <w:lvlJc w:val="left"/>
      <w:pPr>
        <w:ind w:left="2920" w:hanging="360"/>
      </w:pPr>
    </w:lvl>
    <w:lvl w:ilvl="4" w:tplc="04260019" w:tentative="1">
      <w:start w:val="1"/>
      <w:numFmt w:val="lowerLetter"/>
      <w:lvlText w:val="%5."/>
      <w:lvlJc w:val="left"/>
      <w:pPr>
        <w:ind w:left="3640" w:hanging="360"/>
      </w:pPr>
    </w:lvl>
    <w:lvl w:ilvl="5" w:tplc="0426001B" w:tentative="1">
      <w:start w:val="1"/>
      <w:numFmt w:val="lowerRoman"/>
      <w:lvlText w:val="%6."/>
      <w:lvlJc w:val="right"/>
      <w:pPr>
        <w:ind w:left="4360" w:hanging="180"/>
      </w:pPr>
    </w:lvl>
    <w:lvl w:ilvl="6" w:tplc="0426000F" w:tentative="1">
      <w:start w:val="1"/>
      <w:numFmt w:val="decimal"/>
      <w:lvlText w:val="%7."/>
      <w:lvlJc w:val="left"/>
      <w:pPr>
        <w:ind w:left="5080" w:hanging="360"/>
      </w:pPr>
    </w:lvl>
    <w:lvl w:ilvl="7" w:tplc="04260019" w:tentative="1">
      <w:start w:val="1"/>
      <w:numFmt w:val="lowerLetter"/>
      <w:lvlText w:val="%8."/>
      <w:lvlJc w:val="left"/>
      <w:pPr>
        <w:ind w:left="5800" w:hanging="360"/>
      </w:pPr>
    </w:lvl>
    <w:lvl w:ilvl="8" w:tplc="0426001B" w:tentative="1">
      <w:start w:val="1"/>
      <w:numFmt w:val="lowerRoman"/>
      <w:lvlText w:val="%9."/>
      <w:lvlJc w:val="right"/>
      <w:pPr>
        <w:ind w:left="6520" w:hanging="180"/>
      </w:pPr>
    </w:lvl>
  </w:abstractNum>
  <w:abstractNum w:abstractNumId="7" w15:restartNumberingAfterBreak="0">
    <w:nsid w:val="4FCE6809"/>
    <w:multiLevelType w:val="hybridMultilevel"/>
    <w:tmpl w:val="185A8E2A"/>
    <w:lvl w:ilvl="0" w:tplc="5AD07B06">
      <w:start w:val="2013"/>
      <w:numFmt w:val="bullet"/>
      <w:lvlText w:val="-"/>
      <w:lvlJc w:val="left"/>
      <w:pPr>
        <w:ind w:left="760" w:hanging="360"/>
      </w:pPr>
      <w:rPr>
        <w:rFonts w:ascii="Times New Roman" w:eastAsia="Calibri" w:hAnsi="Times New Roman" w:cs="Times New Roman" w:hint="default"/>
      </w:rPr>
    </w:lvl>
    <w:lvl w:ilvl="1" w:tplc="04260003" w:tentative="1">
      <w:start w:val="1"/>
      <w:numFmt w:val="bullet"/>
      <w:lvlText w:val="o"/>
      <w:lvlJc w:val="left"/>
      <w:pPr>
        <w:ind w:left="1480" w:hanging="360"/>
      </w:pPr>
      <w:rPr>
        <w:rFonts w:ascii="Courier New" w:hAnsi="Courier New" w:cs="Courier New" w:hint="default"/>
      </w:rPr>
    </w:lvl>
    <w:lvl w:ilvl="2" w:tplc="04260005" w:tentative="1">
      <w:start w:val="1"/>
      <w:numFmt w:val="bullet"/>
      <w:lvlText w:val=""/>
      <w:lvlJc w:val="left"/>
      <w:pPr>
        <w:ind w:left="2200" w:hanging="360"/>
      </w:pPr>
      <w:rPr>
        <w:rFonts w:ascii="Wingdings" w:hAnsi="Wingdings" w:hint="default"/>
      </w:rPr>
    </w:lvl>
    <w:lvl w:ilvl="3" w:tplc="04260001" w:tentative="1">
      <w:start w:val="1"/>
      <w:numFmt w:val="bullet"/>
      <w:lvlText w:val=""/>
      <w:lvlJc w:val="left"/>
      <w:pPr>
        <w:ind w:left="2920" w:hanging="360"/>
      </w:pPr>
      <w:rPr>
        <w:rFonts w:ascii="Symbol" w:hAnsi="Symbol" w:hint="default"/>
      </w:rPr>
    </w:lvl>
    <w:lvl w:ilvl="4" w:tplc="04260003" w:tentative="1">
      <w:start w:val="1"/>
      <w:numFmt w:val="bullet"/>
      <w:lvlText w:val="o"/>
      <w:lvlJc w:val="left"/>
      <w:pPr>
        <w:ind w:left="3640" w:hanging="360"/>
      </w:pPr>
      <w:rPr>
        <w:rFonts w:ascii="Courier New" w:hAnsi="Courier New" w:cs="Courier New" w:hint="default"/>
      </w:rPr>
    </w:lvl>
    <w:lvl w:ilvl="5" w:tplc="04260005" w:tentative="1">
      <w:start w:val="1"/>
      <w:numFmt w:val="bullet"/>
      <w:lvlText w:val=""/>
      <w:lvlJc w:val="left"/>
      <w:pPr>
        <w:ind w:left="4360" w:hanging="360"/>
      </w:pPr>
      <w:rPr>
        <w:rFonts w:ascii="Wingdings" w:hAnsi="Wingdings" w:hint="default"/>
      </w:rPr>
    </w:lvl>
    <w:lvl w:ilvl="6" w:tplc="04260001" w:tentative="1">
      <w:start w:val="1"/>
      <w:numFmt w:val="bullet"/>
      <w:lvlText w:val=""/>
      <w:lvlJc w:val="left"/>
      <w:pPr>
        <w:ind w:left="5080" w:hanging="360"/>
      </w:pPr>
      <w:rPr>
        <w:rFonts w:ascii="Symbol" w:hAnsi="Symbol" w:hint="default"/>
      </w:rPr>
    </w:lvl>
    <w:lvl w:ilvl="7" w:tplc="04260003" w:tentative="1">
      <w:start w:val="1"/>
      <w:numFmt w:val="bullet"/>
      <w:lvlText w:val="o"/>
      <w:lvlJc w:val="left"/>
      <w:pPr>
        <w:ind w:left="5800" w:hanging="360"/>
      </w:pPr>
      <w:rPr>
        <w:rFonts w:ascii="Courier New" w:hAnsi="Courier New" w:cs="Courier New" w:hint="default"/>
      </w:rPr>
    </w:lvl>
    <w:lvl w:ilvl="8" w:tplc="04260005" w:tentative="1">
      <w:start w:val="1"/>
      <w:numFmt w:val="bullet"/>
      <w:lvlText w:val=""/>
      <w:lvlJc w:val="left"/>
      <w:pPr>
        <w:ind w:left="6520" w:hanging="360"/>
      </w:pPr>
      <w:rPr>
        <w:rFonts w:ascii="Wingdings" w:hAnsi="Wingdings" w:hint="default"/>
      </w:rPr>
    </w:lvl>
  </w:abstractNum>
  <w:abstractNum w:abstractNumId="8" w15:restartNumberingAfterBreak="0">
    <w:nsid w:val="6E0D3663"/>
    <w:multiLevelType w:val="hybridMultilevel"/>
    <w:tmpl w:val="89CCBAB0"/>
    <w:lvl w:ilvl="0" w:tplc="F0F69BB8">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9" w15:restartNumberingAfterBreak="0">
    <w:nsid w:val="7A1D6E08"/>
    <w:multiLevelType w:val="hybridMultilevel"/>
    <w:tmpl w:val="FAA0778A"/>
    <w:lvl w:ilvl="0" w:tplc="E4AE95D8">
      <w:start w:val="1"/>
      <w:numFmt w:val="decimal"/>
      <w:lvlText w:val="%1."/>
      <w:lvlJc w:val="left"/>
      <w:pPr>
        <w:ind w:left="1080" w:hanging="360"/>
      </w:pPr>
      <w:rPr>
        <w:rFonts w:cs="Times New Roman" w:hint="default"/>
        <w:color w:val="000000"/>
      </w:rPr>
    </w:lvl>
    <w:lvl w:ilvl="1" w:tplc="04260019" w:tentative="1">
      <w:start w:val="1"/>
      <w:numFmt w:val="lowerLetter"/>
      <w:lvlText w:val="%2."/>
      <w:lvlJc w:val="left"/>
      <w:pPr>
        <w:ind w:left="1800" w:hanging="360"/>
      </w:pPr>
      <w:rPr>
        <w:rFonts w:cs="Times New Roman"/>
      </w:rPr>
    </w:lvl>
    <w:lvl w:ilvl="2" w:tplc="0426001B" w:tentative="1">
      <w:start w:val="1"/>
      <w:numFmt w:val="lowerRoman"/>
      <w:lvlText w:val="%3."/>
      <w:lvlJc w:val="right"/>
      <w:pPr>
        <w:ind w:left="2520" w:hanging="180"/>
      </w:pPr>
      <w:rPr>
        <w:rFonts w:cs="Times New Roman"/>
      </w:rPr>
    </w:lvl>
    <w:lvl w:ilvl="3" w:tplc="0426000F" w:tentative="1">
      <w:start w:val="1"/>
      <w:numFmt w:val="decimal"/>
      <w:lvlText w:val="%4."/>
      <w:lvlJc w:val="left"/>
      <w:pPr>
        <w:ind w:left="3240" w:hanging="360"/>
      </w:pPr>
      <w:rPr>
        <w:rFonts w:cs="Times New Roman"/>
      </w:rPr>
    </w:lvl>
    <w:lvl w:ilvl="4" w:tplc="04260019" w:tentative="1">
      <w:start w:val="1"/>
      <w:numFmt w:val="lowerLetter"/>
      <w:lvlText w:val="%5."/>
      <w:lvlJc w:val="left"/>
      <w:pPr>
        <w:ind w:left="3960" w:hanging="360"/>
      </w:pPr>
      <w:rPr>
        <w:rFonts w:cs="Times New Roman"/>
      </w:rPr>
    </w:lvl>
    <w:lvl w:ilvl="5" w:tplc="0426001B" w:tentative="1">
      <w:start w:val="1"/>
      <w:numFmt w:val="lowerRoman"/>
      <w:lvlText w:val="%6."/>
      <w:lvlJc w:val="right"/>
      <w:pPr>
        <w:ind w:left="4680" w:hanging="180"/>
      </w:pPr>
      <w:rPr>
        <w:rFonts w:cs="Times New Roman"/>
      </w:rPr>
    </w:lvl>
    <w:lvl w:ilvl="6" w:tplc="0426000F" w:tentative="1">
      <w:start w:val="1"/>
      <w:numFmt w:val="decimal"/>
      <w:lvlText w:val="%7."/>
      <w:lvlJc w:val="left"/>
      <w:pPr>
        <w:ind w:left="5400" w:hanging="360"/>
      </w:pPr>
      <w:rPr>
        <w:rFonts w:cs="Times New Roman"/>
      </w:rPr>
    </w:lvl>
    <w:lvl w:ilvl="7" w:tplc="04260019" w:tentative="1">
      <w:start w:val="1"/>
      <w:numFmt w:val="lowerLetter"/>
      <w:lvlText w:val="%8."/>
      <w:lvlJc w:val="left"/>
      <w:pPr>
        <w:ind w:left="6120" w:hanging="360"/>
      </w:pPr>
      <w:rPr>
        <w:rFonts w:cs="Times New Roman"/>
      </w:rPr>
    </w:lvl>
    <w:lvl w:ilvl="8" w:tplc="0426001B" w:tentative="1">
      <w:start w:val="1"/>
      <w:numFmt w:val="lowerRoman"/>
      <w:lvlText w:val="%9."/>
      <w:lvlJc w:val="right"/>
      <w:pPr>
        <w:ind w:left="6840" w:hanging="180"/>
      </w:pPr>
      <w:rPr>
        <w:rFonts w:cs="Times New Roman"/>
      </w:rPr>
    </w:lvl>
  </w:abstractNum>
  <w:abstractNum w:abstractNumId="10" w15:restartNumberingAfterBreak="0">
    <w:nsid w:val="7AA43FC3"/>
    <w:multiLevelType w:val="hybridMultilevel"/>
    <w:tmpl w:val="CA84BF3A"/>
    <w:lvl w:ilvl="0" w:tplc="F0F69BB8">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hint="default"/>
      </w:rPr>
    </w:lvl>
    <w:lvl w:ilvl="8" w:tplc="04260005" w:tentative="1">
      <w:start w:val="1"/>
      <w:numFmt w:val="bullet"/>
      <w:lvlText w:val=""/>
      <w:lvlJc w:val="left"/>
      <w:pPr>
        <w:ind w:left="7200" w:hanging="360"/>
      </w:pPr>
      <w:rPr>
        <w:rFonts w:ascii="Wingdings" w:hAnsi="Wingdings" w:hint="default"/>
      </w:rPr>
    </w:lvl>
  </w:abstractNum>
  <w:num w:numId="1">
    <w:abstractNumId w:val="3"/>
  </w:num>
  <w:num w:numId="2">
    <w:abstractNumId w:val="0"/>
  </w:num>
  <w:num w:numId="3">
    <w:abstractNumId w:val="9"/>
  </w:num>
  <w:num w:numId="4">
    <w:abstractNumId w:val="5"/>
  </w:num>
  <w:num w:numId="5">
    <w:abstractNumId w:val="1"/>
  </w:num>
  <w:num w:numId="6">
    <w:abstractNumId w:val="10"/>
  </w:num>
  <w:num w:numId="7">
    <w:abstractNumId w:val="8"/>
  </w:num>
  <w:num w:numId="8">
    <w:abstractNumId w:val="4"/>
  </w:num>
  <w:num w:numId="9">
    <w:abstractNumId w:val="6"/>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62D0F"/>
    <w:rsid w:val="00001823"/>
    <w:rsid w:val="00003E54"/>
    <w:rsid w:val="00004C67"/>
    <w:rsid w:val="0001142B"/>
    <w:rsid w:val="00014459"/>
    <w:rsid w:val="00014974"/>
    <w:rsid w:val="00026965"/>
    <w:rsid w:val="00026B5B"/>
    <w:rsid w:val="0003289D"/>
    <w:rsid w:val="00035347"/>
    <w:rsid w:val="0004061E"/>
    <w:rsid w:val="0004231E"/>
    <w:rsid w:val="000446D7"/>
    <w:rsid w:val="000513C2"/>
    <w:rsid w:val="000562FA"/>
    <w:rsid w:val="000662E7"/>
    <w:rsid w:val="00066EB5"/>
    <w:rsid w:val="00067791"/>
    <w:rsid w:val="00071778"/>
    <w:rsid w:val="0007566F"/>
    <w:rsid w:val="00083D16"/>
    <w:rsid w:val="0008799E"/>
    <w:rsid w:val="00095E60"/>
    <w:rsid w:val="000A4DBF"/>
    <w:rsid w:val="000A6C4A"/>
    <w:rsid w:val="000A73A1"/>
    <w:rsid w:val="000B32E5"/>
    <w:rsid w:val="000B3750"/>
    <w:rsid w:val="000C02DA"/>
    <w:rsid w:val="000C1801"/>
    <w:rsid w:val="000C4566"/>
    <w:rsid w:val="000C6111"/>
    <w:rsid w:val="000D28E0"/>
    <w:rsid w:val="000D513D"/>
    <w:rsid w:val="000D79E6"/>
    <w:rsid w:val="000E5184"/>
    <w:rsid w:val="000E5608"/>
    <w:rsid w:val="000E7ED0"/>
    <w:rsid w:val="000F193C"/>
    <w:rsid w:val="000F6679"/>
    <w:rsid w:val="001112B3"/>
    <w:rsid w:val="0011361F"/>
    <w:rsid w:val="00115FE3"/>
    <w:rsid w:val="00117830"/>
    <w:rsid w:val="00117AFC"/>
    <w:rsid w:val="00117B65"/>
    <w:rsid w:val="00120439"/>
    <w:rsid w:val="001210A2"/>
    <w:rsid w:val="00126571"/>
    <w:rsid w:val="0013070F"/>
    <w:rsid w:val="001347D1"/>
    <w:rsid w:val="0013550B"/>
    <w:rsid w:val="0013569A"/>
    <w:rsid w:val="00140597"/>
    <w:rsid w:val="00141133"/>
    <w:rsid w:val="0014431E"/>
    <w:rsid w:val="00151C8F"/>
    <w:rsid w:val="001538D6"/>
    <w:rsid w:val="0015758D"/>
    <w:rsid w:val="00157B3D"/>
    <w:rsid w:val="00161FC1"/>
    <w:rsid w:val="00164382"/>
    <w:rsid w:val="00171E4F"/>
    <w:rsid w:val="0017251A"/>
    <w:rsid w:val="00173968"/>
    <w:rsid w:val="001816BD"/>
    <w:rsid w:val="00183AE1"/>
    <w:rsid w:val="001865B0"/>
    <w:rsid w:val="001963E5"/>
    <w:rsid w:val="0019763B"/>
    <w:rsid w:val="001A0BAB"/>
    <w:rsid w:val="001A1E8C"/>
    <w:rsid w:val="001A4487"/>
    <w:rsid w:val="001B71B1"/>
    <w:rsid w:val="001C1E10"/>
    <w:rsid w:val="001C4938"/>
    <w:rsid w:val="001C56BA"/>
    <w:rsid w:val="001C58DA"/>
    <w:rsid w:val="001D0E04"/>
    <w:rsid w:val="001D510D"/>
    <w:rsid w:val="001D5646"/>
    <w:rsid w:val="001D681A"/>
    <w:rsid w:val="001E4331"/>
    <w:rsid w:val="001E4DC4"/>
    <w:rsid w:val="001F5735"/>
    <w:rsid w:val="001F676B"/>
    <w:rsid w:val="00205CD5"/>
    <w:rsid w:val="00206680"/>
    <w:rsid w:val="0021213F"/>
    <w:rsid w:val="002121FE"/>
    <w:rsid w:val="00212950"/>
    <w:rsid w:val="00216126"/>
    <w:rsid w:val="002171F7"/>
    <w:rsid w:val="00217FB7"/>
    <w:rsid w:val="00221A97"/>
    <w:rsid w:val="00221C68"/>
    <w:rsid w:val="00222052"/>
    <w:rsid w:val="00223C57"/>
    <w:rsid w:val="00226A78"/>
    <w:rsid w:val="00226D12"/>
    <w:rsid w:val="00226F66"/>
    <w:rsid w:val="00227ED8"/>
    <w:rsid w:val="00230A1F"/>
    <w:rsid w:val="00230A3D"/>
    <w:rsid w:val="00234547"/>
    <w:rsid w:val="00243873"/>
    <w:rsid w:val="002467CA"/>
    <w:rsid w:val="002572D4"/>
    <w:rsid w:val="0025773E"/>
    <w:rsid w:val="0027319E"/>
    <w:rsid w:val="0027455A"/>
    <w:rsid w:val="0027656E"/>
    <w:rsid w:val="00282ADF"/>
    <w:rsid w:val="002836E1"/>
    <w:rsid w:val="00294B40"/>
    <w:rsid w:val="00295EA0"/>
    <w:rsid w:val="00296449"/>
    <w:rsid w:val="00297E57"/>
    <w:rsid w:val="002A3D3A"/>
    <w:rsid w:val="002A5A1F"/>
    <w:rsid w:val="002A6CD7"/>
    <w:rsid w:val="002B51B0"/>
    <w:rsid w:val="002B7587"/>
    <w:rsid w:val="002B7BE5"/>
    <w:rsid w:val="002C01C2"/>
    <w:rsid w:val="002C0F74"/>
    <w:rsid w:val="002C20B4"/>
    <w:rsid w:val="002C307E"/>
    <w:rsid w:val="002D2B36"/>
    <w:rsid w:val="002D7A33"/>
    <w:rsid w:val="002E13FB"/>
    <w:rsid w:val="002E485F"/>
    <w:rsid w:val="002E4A57"/>
    <w:rsid w:val="002F06E1"/>
    <w:rsid w:val="002F0C83"/>
    <w:rsid w:val="003102AA"/>
    <w:rsid w:val="003124CB"/>
    <w:rsid w:val="00312F31"/>
    <w:rsid w:val="00313576"/>
    <w:rsid w:val="003149E9"/>
    <w:rsid w:val="00321EEC"/>
    <w:rsid w:val="003235AA"/>
    <w:rsid w:val="003265F3"/>
    <w:rsid w:val="00327260"/>
    <w:rsid w:val="00332417"/>
    <w:rsid w:val="003417A9"/>
    <w:rsid w:val="00343088"/>
    <w:rsid w:val="00344F39"/>
    <w:rsid w:val="00345C48"/>
    <w:rsid w:val="0035199A"/>
    <w:rsid w:val="00355F5D"/>
    <w:rsid w:val="0036053F"/>
    <w:rsid w:val="0036204A"/>
    <w:rsid w:val="00363DCC"/>
    <w:rsid w:val="00364ADC"/>
    <w:rsid w:val="0037222C"/>
    <w:rsid w:val="00372AE8"/>
    <w:rsid w:val="00372B9A"/>
    <w:rsid w:val="00374EE1"/>
    <w:rsid w:val="00381DB1"/>
    <w:rsid w:val="00382B50"/>
    <w:rsid w:val="0039002B"/>
    <w:rsid w:val="00390C55"/>
    <w:rsid w:val="00393EF8"/>
    <w:rsid w:val="00394F72"/>
    <w:rsid w:val="003A451A"/>
    <w:rsid w:val="003A6E22"/>
    <w:rsid w:val="003B0273"/>
    <w:rsid w:val="003C3021"/>
    <w:rsid w:val="003C3CD4"/>
    <w:rsid w:val="003C5128"/>
    <w:rsid w:val="003C530F"/>
    <w:rsid w:val="003D171B"/>
    <w:rsid w:val="003D6EA8"/>
    <w:rsid w:val="003E4DB6"/>
    <w:rsid w:val="003F51CB"/>
    <w:rsid w:val="00407DCE"/>
    <w:rsid w:val="004118C9"/>
    <w:rsid w:val="004146D9"/>
    <w:rsid w:val="00414930"/>
    <w:rsid w:val="00420A06"/>
    <w:rsid w:val="004261EB"/>
    <w:rsid w:val="00430257"/>
    <w:rsid w:val="0044584E"/>
    <w:rsid w:val="00446D53"/>
    <w:rsid w:val="00451713"/>
    <w:rsid w:val="00457411"/>
    <w:rsid w:val="004600AA"/>
    <w:rsid w:val="004625F8"/>
    <w:rsid w:val="004667A3"/>
    <w:rsid w:val="00466B65"/>
    <w:rsid w:val="004671FE"/>
    <w:rsid w:val="004701FD"/>
    <w:rsid w:val="004734AF"/>
    <w:rsid w:val="00476B02"/>
    <w:rsid w:val="00476E9D"/>
    <w:rsid w:val="004774B2"/>
    <w:rsid w:val="00477F1A"/>
    <w:rsid w:val="00483928"/>
    <w:rsid w:val="00483FFF"/>
    <w:rsid w:val="00490159"/>
    <w:rsid w:val="004941F8"/>
    <w:rsid w:val="004A7072"/>
    <w:rsid w:val="004B1DA3"/>
    <w:rsid w:val="004C0637"/>
    <w:rsid w:val="004C1396"/>
    <w:rsid w:val="004C2FE0"/>
    <w:rsid w:val="004C4A34"/>
    <w:rsid w:val="004C5BEA"/>
    <w:rsid w:val="004D2053"/>
    <w:rsid w:val="004D5AEA"/>
    <w:rsid w:val="004D79D0"/>
    <w:rsid w:val="004F2459"/>
    <w:rsid w:val="004F4946"/>
    <w:rsid w:val="004F55B2"/>
    <w:rsid w:val="004F62C2"/>
    <w:rsid w:val="004F6E52"/>
    <w:rsid w:val="00500AD3"/>
    <w:rsid w:val="00506EE0"/>
    <w:rsid w:val="00507BA0"/>
    <w:rsid w:val="00510DE8"/>
    <w:rsid w:val="00512301"/>
    <w:rsid w:val="00513086"/>
    <w:rsid w:val="00516DA6"/>
    <w:rsid w:val="005401E9"/>
    <w:rsid w:val="00541B5D"/>
    <w:rsid w:val="00544401"/>
    <w:rsid w:val="005509E0"/>
    <w:rsid w:val="005575B9"/>
    <w:rsid w:val="005612EA"/>
    <w:rsid w:val="005660AB"/>
    <w:rsid w:val="00567044"/>
    <w:rsid w:val="00567CC2"/>
    <w:rsid w:val="00571B50"/>
    <w:rsid w:val="00576B4F"/>
    <w:rsid w:val="00580DDF"/>
    <w:rsid w:val="00582BFC"/>
    <w:rsid w:val="00583874"/>
    <w:rsid w:val="00583CFA"/>
    <w:rsid w:val="005855AB"/>
    <w:rsid w:val="00587970"/>
    <w:rsid w:val="00587B5D"/>
    <w:rsid w:val="00590883"/>
    <w:rsid w:val="005915AB"/>
    <w:rsid w:val="00592E2E"/>
    <w:rsid w:val="005937BE"/>
    <w:rsid w:val="005978A6"/>
    <w:rsid w:val="005A2741"/>
    <w:rsid w:val="005B6A05"/>
    <w:rsid w:val="005B6FE3"/>
    <w:rsid w:val="005B7471"/>
    <w:rsid w:val="005B7774"/>
    <w:rsid w:val="005C313E"/>
    <w:rsid w:val="005C490D"/>
    <w:rsid w:val="005D08F3"/>
    <w:rsid w:val="005D443A"/>
    <w:rsid w:val="005D5148"/>
    <w:rsid w:val="005E0095"/>
    <w:rsid w:val="005E36D1"/>
    <w:rsid w:val="005F020D"/>
    <w:rsid w:val="005F032E"/>
    <w:rsid w:val="005F1404"/>
    <w:rsid w:val="00600CB6"/>
    <w:rsid w:val="006020DB"/>
    <w:rsid w:val="00616268"/>
    <w:rsid w:val="00616CC7"/>
    <w:rsid w:val="00617E10"/>
    <w:rsid w:val="006206EC"/>
    <w:rsid w:val="00621A58"/>
    <w:rsid w:val="00622F65"/>
    <w:rsid w:val="00623A32"/>
    <w:rsid w:val="006344D1"/>
    <w:rsid w:val="00635085"/>
    <w:rsid w:val="006462A7"/>
    <w:rsid w:val="006569D9"/>
    <w:rsid w:val="006569DF"/>
    <w:rsid w:val="006677FF"/>
    <w:rsid w:val="006810BE"/>
    <w:rsid w:val="00683920"/>
    <w:rsid w:val="00683BBE"/>
    <w:rsid w:val="006875A8"/>
    <w:rsid w:val="00687DEE"/>
    <w:rsid w:val="00691E48"/>
    <w:rsid w:val="0069295E"/>
    <w:rsid w:val="00692AEA"/>
    <w:rsid w:val="0069438C"/>
    <w:rsid w:val="006A290D"/>
    <w:rsid w:val="006A34A4"/>
    <w:rsid w:val="006A4326"/>
    <w:rsid w:val="006B01BA"/>
    <w:rsid w:val="006B279B"/>
    <w:rsid w:val="006C1D4B"/>
    <w:rsid w:val="006C7180"/>
    <w:rsid w:val="006C76BC"/>
    <w:rsid w:val="006D0EC5"/>
    <w:rsid w:val="006D3345"/>
    <w:rsid w:val="006D6A94"/>
    <w:rsid w:val="006E7F37"/>
    <w:rsid w:val="006F0E22"/>
    <w:rsid w:val="006F223E"/>
    <w:rsid w:val="006F2559"/>
    <w:rsid w:val="006F492E"/>
    <w:rsid w:val="0070036B"/>
    <w:rsid w:val="007032AC"/>
    <w:rsid w:val="007065F4"/>
    <w:rsid w:val="00707F33"/>
    <w:rsid w:val="0071307B"/>
    <w:rsid w:val="0071489B"/>
    <w:rsid w:val="00714D96"/>
    <w:rsid w:val="00715FE0"/>
    <w:rsid w:val="00716858"/>
    <w:rsid w:val="00721B5C"/>
    <w:rsid w:val="007258A2"/>
    <w:rsid w:val="00727142"/>
    <w:rsid w:val="00730ED7"/>
    <w:rsid w:val="0073352E"/>
    <w:rsid w:val="007341F5"/>
    <w:rsid w:val="007343A1"/>
    <w:rsid w:val="0073700E"/>
    <w:rsid w:val="00742175"/>
    <w:rsid w:val="0074397B"/>
    <w:rsid w:val="00745CD2"/>
    <w:rsid w:val="00750CCD"/>
    <w:rsid w:val="007518A8"/>
    <w:rsid w:val="007536A2"/>
    <w:rsid w:val="007552DE"/>
    <w:rsid w:val="00762DBF"/>
    <w:rsid w:val="0076636C"/>
    <w:rsid w:val="0076711D"/>
    <w:rsid w:val="007673B9"/>
    <w:rsid w:val="00767FD3"/>
    <w:rsid w:val="007747B8"/>
    <w:rsid w:val="0078077B"/>
    <w:rsid w:val="00781207"/>
    <w:rsid w:val="00785725"/>
    <w:rsid w:val="00787F59"/>
    <w:rsid w:val="00791DB5"/>
    <w:rsid w:val="007A37EB"/>
    <w:rsid w:val="007A7ADE"/>
    <w:rsid w:val="007B2C1F"/>
    <w:rsid w:val="007B5C2F"/>
    <w:rsid w:val="007C3329"/>
    <w:rsid w:val="007C435B"/>
    <w:rsid w:val="007C7F66"/>
    <w:rsid w:val="007D3319"/>
    <w:rsid w:val="007E03A6"/>
    <w:rsid w:val="007E0AEF"/>
    <w:rsid w:val="007E1F95"/>
    <w:rsid w:val="007E486A"/>
    <w:rsid w:val="007F3BE1"/>
    <w:rsid w:val="007F459D"/>
    <w:rsid w:val="007F50AD"/>
    <w:rsid w:val="007F5ACC"/>
    <w:rsid w:val="00800BE8"/>
    <w:rsid w:val="0080485C"/>
    <w:rsid w:val="00804DB9"/>
    <w:rsid w:val="00806E7A"/>
    <w:rsid w:val="0081050B"/>
    <w:rsid w:val="00816EF2"/>
    <w:rsid w:val="00817178"/>
    <w:rsid w:val="00821ED1"/>
    <w:rsid w:val="008230AB"/>
    <w:rsid w:val="0083114B"/>
    <w:rsid w:val="00831C91"/>
    <w:rsid w:val="0084143A"/>
    <w:rsid w:val="008420A0"/>
    <w:rsid w:val="00843D03"/>
    <w:rsid w:val="00844FE7"/>
    <w:rsid w:val="00845DE8"/>
    <w:rsid w:val="00850A1C"/>
    <w:rsid w:val="00862D0F"/>
    <w:rsid w:val="00864391"/>
    <w:rsid w:val="00864F23"/>
    <w:rsid w:val="008773AE"/>
    <w:rsid w:val="0088127D"/>
    <w:rsid w:val="0088221C"/>
    <w:rsid w:val="00887DF1"/>
    <w:rsid w:val="008925DF"/>
    <w:rsid w:val="00893484"/>
    <w:rsid w:val="008937C8"/>
    <w:rsid w:val="0089767B"/>
    <w:rsid w:val="008A295E"/>
    <w:rsid w:val="008A427F"/>
    <w:rsid w:val="008A504B"/>
    <w:rsid w:val="008A7E54"/>
    <w:rsid w:val="008B0502"/>
    <w:rsid w:val="008B1926"/>
    <w:rsid w:val="008B3B7C"/>
    <w:rsid w:val="008C16EE"/>
    <w:rsid w:val="008C7F21"/>
    <w:rsid w:val="008D46B1"/>
    <w:rsid w:val="008D4B3A"/>
    <w:rsid w:val="008D4F58"/>
    <w:rsid w:val="008D5E43"/>
    <w:rsid w:val="008D64D3"/>
    <w:rsid w:val="008D71A1"/>
    <w:rsid w:val="008D722E"/>
    <w:rsid w:val="008E2044"/>
    <w:rsid w:val="008E398C"/>
    <w:rsid w:val="008E402B"/>
    <w:rsid w:val="008E6A80"/>
    <w:rsid w:val="008F4718"/>
    <w:rsid w:val="008F4997"/>
    <w:rsid w:val="008F4F24"/>
    <w:rsid w:val="00901F01"/>
    <w:rsid w:val="00902BE1"/>
    <w:rsid w:val="009043E0"/>
    <w:rsid w:val="00907B1F"/>
    <w:rsid w:val="00915D58"/>
    <w:rsid w:val="0092222F"/>
    <w:rsid w:val="009310A1"/>
    <w:rsid w:val="00954D39"/>
    <w:rsid w:val="009562E9"/>
    <w:rsid w:val="009566B4"/>
    <w:rsid w:val="00957BD6"/>
    <w:rsid w:val="00961452"/>
    <w:rsid w:val="009629B8"/>
    <w:rsid w:val="00963E11"/>
    <w:rsid w:val="00965309"/>
    <w:rsid w:val="009677AF"/>
    <w:rsid w:val="00977A7F"/>
    <w:rsid w:val="00990253"/>
    <w:rsid w:val="0099080B"/>
    <w:rsid w:val="00995ECC"/>
    <w:rsid w:val="009A0E3A"/>
    <w:rsid w:val="009A3FF4"/>
    <w:rsid w:val="009A432F"/>
    <w:rsid w:val="009A6903"/>
    <w:rsid w:val="009B1349"/>
    <w:rsid w:val="009B2E47"/>
    <w:rsid w:val="009B479F"/>
    <w:rsid w:val="009C1D16"/>
    <w:rsid w:val="009C5B54"/>
    <w:rsid w:val="009C6E84"/>
    <w:rsid w:val="009D6FFF"/>
    <w:rsid w:val="009E49B1"/>
    <w:rsid w:val="009E5C09"/>
    <w:rsid w:val="009E6169"/>
    <w:rsid w:val="009F49C6"/>
    <w:rsid w:val="009F78BC"/>
    <w:rsid w:val="00A0497D"/>
    <w:rsid w:val="00A162F6"/>
    <w:rsid w:val="00A17D97"/>
    <w:rsid w:val="00A214AD"/>
    <w:rsid w:val="00A24594"/>
    <w:rsid w:val="00A26085"/>
    <w:rsid w:val="00A32A9E"/>
    <w:rsid w:val="00A36B55"/>
    <w:rsid w:val="00A46467"/>
    <w:rsid w:val="00A5312C"/>
    <w:rsid w:val="00A66DA8"/>
    <w:rsid w:val="00A67BC0"/>
    <w:rsid w:val="00A73787"/>
    <w:rsid w:val="00A76616"/>
    <w:rsid w:val="00A770C7"/>
    <w:rsid w:val="00A82305"/>
    <w:rsid w:val="00A900F4"/>
    <w:rsid w:val="00A908E4"/>
    <w:rsid w:val="00A91129"/>
    <w:rsid w:val="00A9381E"/>
    <w:rsid w:val="00A9559E"/>
    <w:rsid w:val="00A961E1"/>
    <w:rsid w:val="00A96403"/>
    <w:rsid w:val="00A974F2"/>
    <w:rsid w:val="00A97A9F"/>
    <w:rsid w:val="00AA12CF"/>
    <w:rsid w:val="00AB4E60"/>
    <w:rsid w:val="00AB6F4E"/>
    <w:rsid w:val="00AC62DD"/>
    <w:rsid w:val="00AD09BB"/>
    <w:rsid w:val="00AD27BF"/>
    <w:rsid w:val="00AD3CD4"/>
    <w:rsid w:val="00AE1672"/>
    <w:rsid w:val="00AE4184"/>
    <w:rsid w:val="00AF1141"/>
    <w:rsid w:val="00AF1735"/>
    <w:rsid w:val="00AF2B4C"/>
    <w:rsid w:val="00AF4B51"/>
    <w:rsid w:val="00AF6149"/>
    <w:rsid w:val="00AF7FCC"/>
    <w:rsid w:val="00B00591"/>
    <w:rsid w:val="00B0508E"/>
    <w:rsid w:val="00B140F4"/>
    <w:rsid w:val="00B16423"/>
    <w:rsid w:val="00B21D01"/>
    <w:rsid w:val="00B30091"/>
    <w:rsid w:val="00B311F6"/>
    <w:rsid w:val="00B32574"/>
    <w:rsid w:val="00B35A2B"/>
    <w:rsid w:val="00B37FF8"/>
    <w:rsid w:val="00B40AF0"/>
    <w:rsid w:val="00B5252B"/>
    <w:rsid w:val="00B54542"/>
    <w:rsid w:val="00B603FA"/>
    <w:rsid w:val="00B605EA"/>
    <w:rsid w:val="00B60731"/>
    <w:rsid w:val="00B64931"/>
    <w:rsid w:val="00B66D7F"/>
    <w:rsid w:val="00B701C1"/>
    <w:rsid w:val="00B725BF"/>
    <w:rsid w:val="00B75620"/>
    <w:rsid w:val="00B86329"/>
    <w:rsid w:val="00B91689"/>
    <w:rsid w:val="00B94FE3"/>
    <w:rsid w:val="00BA35CF"/>
    <w:rsid w:val="00BA4D7B"/>
    <w:rsid w:val="00BA5524"/>
    <w:rsid w:val="00BA60EB"/>
    <w:rsid w:val="00BA74DB"/>
    <w:rsid w:val="00BB35C5"/>
    <w:rsid w:val="00BB386E"/>
    <w:rsid w:val="00BB56D9"/>
    <w:rsid w:val="00BB5A7C"/>
    <w:rsid w:val="00BC1C8B"/>
    <w:rsid w:val="00BC485F"/>
    <w:rsid w:val="00BC7D5C"/>
    <w:rsid w:val="00BD0DC5"/>
    <w:rsid w:val="00BD46E8"/>
    <w:rsid w:val="00BD559E"/>
    <w:rsid w:val="00BE147B"/>
    <w:rsid w:val="00BE22DB"/>
    <w:rsid w:val="00BE3F75"/>
    <w:rsid w:val="00BE5F28"/>
    <w:rsid w:val="00BE6D54"/>
    <w:rsid w:val="00BF2ED7"/>
    <w:rsid w:val="00BF4C08"/>
    <w:rsid w:val="00C00BF4"/>
    <w:rsid w:val="00C139B6"/>
    <w:rsid w:val="00C14D81"/>
    <w:rsid w:val="00C20BB3"/>
    <w:rsid w:val="00C22A7A"/>
    <w:rsid w:val="00C26FF2"/>
    <w:rsid w:val="00C35F45"/>
    <w:rsid w:val="00C46783"/>
    <w:rsid w:val="00C469CC"/>
    <w:rsid w:val="00C5218C"/>
    <w:rsid w:val="00C52A7D"/>
    <w:rsid w:val="00C53E67"/>
    <w:rsid w:val="00C544AD"/>
    <w:rsid w:val="00C6177A"/>
    <w:rsid w:val="00C64146"/>
    <w:rsid w:val="00C7318E"/>
    <w:rsid w:val="00C735B1"/>
    <w:rsid w:val="00C75CD7"/>
    <w:rsid w:val="00C8042C"/>
    <w:rsid w:val="00CA000B"/>
    <w:rsid w:val="00CA2C35"/>
    <w:rsid w:val="00CA478B"/>
    <w:rsid w:val="00CB0FEC"/>
    <w:rsid w:val="00CB1055"/>
    <w:rsid w:val="00CC131A"/>
    <w:rsid w:val="00CC29F8"/>
    <w:rsid w:val="00CD3498"/>
    <w:rsid w:val="00CD5BF3"/>
    <w:rsid w:val="00CD6044"/>
    <w:rsid w:val="00CE29C6"/>
    <w:rsid w:val="00CE60DB"/>
    <w:rsid w:val="00CF1022"/>
    <w:rsid w:val="00CF35F7"/>
    <w:rsid w:val="00D03670"/>
    <w:rsid w:val="00D054EA"/>
    <w:rsid w:val="00D068AD"/>
    <w:rsid w:val="00D0737C"/>
    <w:rsid w:val="00D10525"/>
    <w:rsid w:val="00D12454"/>
    <w:rsid w:val="00D12AF7"/>
    <w:rsid w:val="00D1691E"/>
    <w:rsid w:val="00D16A1E"/>
    <w:rsid w:val="00D16D46"/>
    <w:rsid w:val="00D22081"/>
    <w:rsid w:val="00D22DA5"/>
    <w:rsid w:val="00D2380C"/>
    <w:rsid w:val="00D364F0"/>
    <w:rsid w:val="00D37BC1"/>
    <w:rsid w:val="00D40C1D"/>
    <w:rsid w:val="00D41C76"/>
    <w:rsid w:val="00D422B6"/>
    <w:rsid w:val="00D4453F"/>
    <w:rsid w:val="00D52F89"/>
    <w:rsid w:val="00D53CE1"/>
    <w:rsid w:val="00D5553F"/>
    <w:rsid w:val="00D559AC"/>
    <w:rsid w:val="00D57363"/>
    <w:rsid w:val="00D57AB5"/>
    <w:rsid w:val="00D63A07"/>
    <w:rsid w:val="00D67796"/>
    <w:rsid w:val="00D7472E"/>
    <w:rsid w:val="00D74B88"/>
    <w:rsid w:val="00D81EFA"/>
    <w:rsid w:val="00D82659"/>
    <w:rsid w:val="00D846DD"/>
    <w:rsid w:val="00D847A7"/>
    <w:rsid w:val="00D87E7A"/>
    <w:rsid w:val="00D910B0"/>
    <w:rsid w:val="00D92DCC"/>
    <w:rsid w:val="00DA01E7"/>
    <w:rsid w:val="00DA192D"/>
    <w:rsid w:val="00DB0B0B"/>
    <w:rsid w:val="00DB0ED8"/>
    <w:rsid w:val="00DB1169"/>
    <w:rsid w:val="00DC27BA"/>
    <w:rsid w:val="00DC53CC"/>
    <w:rsid w:val="00DC7DDC"/>
    <w:rsid w:val="00DD072D"/>
    <w:rsid w:val="00DD20F4"/>
    <w:rsid w:val="00DD22B3"/>
    <w:rsid w:val="00DD7078"/>
    <w:rsid w:val="00DE0A42"/>
    <w:rsid w:val="00DE35DD"/>
    <w:rsid w:val="00DF0D9F"/>
    <w:rsid w:val="00DF157D"/>
    <w:rsid w:val="00DF183D"/>
    <w:rsid w:val="00DF1871"/>
    <w:rsid w:val="00DF3ACB"/>
    <w:rsid w:val="00E0087E"/>
    <w:rsid w:val="00E100ED"/>
    <w:rsid w:val="00E13C98"/>
    <w:rsid w:val="00E13D23"/>
    <w:rsid w:val="00E13F52"/>
    <w:rsid w:val="00E21D7E"/>
    <w:rsid w:val="00E227DC"/>
    <w:rsid w:val="00E233AE"/>
    <w:rsid w:val="00E247A0"/>
    <w:rsid w:val="00E2692A"/>
    <w:rsid w:val="00E27ED1"/>
    <w:rsid w:val="00E3289B"/>
    <w:rsid w:val="00E33CF1"/>
    <w:rsid w:val="00E35C36"/>
    <w:rsid w:val="00E361DC"/>
    <w:rsid w:val="00E42023"/>
    <w:rsid w:val="00E4211A"/>
    <w:rsid w:val="00E51300"/>
    <w:rsid w:val="00E64875"/>
    <w:rsid w:val="00E65526"/>
    <w:rsid w:val="00E655B2"/>
    <w:rsid w:val="00E74BF6"/>
    <w:rsid w:val="00E81C0C"/>
    <w:rsid w:val="00E827E4"/>
    <w:rsid w:val="00E84650"/>
    <w:rsid w:val="00E86A6C"/>
    <w:rsid w:val="00E93F6A"/>
    <w:rsid w:val="00EA0FC6"/>
    <w:rsid w:val="00EA1991"/>
    <w:rsid w:val="00EA402B"/>
    <w:rsid w:val="00EA5740"/>
    <w:rsid w:val="00EB0963"/>
    <w:rsid w:val="00EC1DC1"/>
    <w:rsid w:val="00EC77EB"/>
    <w:rsid w:val="00ED4313"/>
    <w:rsid w:val="00ED72B8"/>
    <w:rsid w:val="00EE4AE7"/>
    <w:rsid w:val="00EE560E"/>
    <w:rsid w:val="00EE7995"/>
    <w:rsid w:val="00EF0B69"/>
    <w:rsid w:val="00EF35E7"/>
    <w:rsid w:val="00EF52DE"/>
    <w:rsid w:val="00EF5FCB"/>
    <w:rsid w:val="00F02221"/>
    <w:rsid w:val="00F0237B"/>
    <w:rsid w:val="00F03016"/>
    <w:rsid w:val="00F03494"/>
    <w:rsid w:val="00F03547"/>
    <w:rsid w:val="00F04140"/>
    <w:rsid w:val="00F1568B"/>
    <w:rsid w:val="00F170C9"/>
    <w:rsid w:val="00F26636"/>
    <w:rsid w:val="00F2747F"/>
    <w:rsid w:val="00F309CE"/>
    <w:rsid w:val="00F34631"/>
    <w:rsid w:val="00F3474A"/>
    <w:rsid w:val="00F34DCF"/>
    <w:rsid w:val="00F3628F"/>
    <w:rsid w:val="00F36502"/>
    <w:rsid w:val="00F37DCD"/>
    <w:rsid w:val="00F37EB7"/>
    <w:rsid w:val="00F4021C"/>
    <w:rsid w:val="00F42508"/>
    <w:rsid w:val="00F50C84"/>
    <w:rsid w:val="00F51BD6"/>
    <w:rsid w:val="00F5383B"/>
    <w:rsid w:val="00F559F6"/>
    <w:rsid w:val="00F6068A"/>
    <w:rsid w:val="00F61CEC"/>
    <w:rsid w:val="00F620BE"/>
    <w:rsid w:val="00F65DE8"/>
    <w:rsid w:val="00F66AD9"/>
    <w:rsid w:val="00F705E3"/>
    <w:rsid w:val="00F71F05"/>
    <w:rsid w:val="00F73CB8"/>
    <w:rsid w:val="00F771CE"/>
    <w:rsid w:val="00F77E88"/>
    <w:rsid w:val="00F8104D"/>
    <w:rsid w:val="00F81D8F"/>
    <w:rsid w:val="00F8250F"/>
    <w:rsid w:val="00F82CE9"/>
    <w:rsid w:val="00F83BDB"/>
    <w:rsid w:val="00F862E1"/>
    <w:rsid w:val="00F86830"/>
    <w:rsid w:val="00F86EBD"/>
    <w:rsid w:val="00F90E64"/>
    <w:rsid w:val="00F91E6F"/>
    <w:rsid w:val="00F93863"/>
    <w:rsid w:val="00F953D7"/>
    <w:rsid w:val="00FB256C"/>
    <w:rsid w:val="00FC5381"/>
    <w:rsid w:val="00FC640E"/>
    <w:rsid w:val="00FC6E7B"/>
    <w:rsid w:val="00FC7025"/>
    <w:rsid w:val="00FD14F9"/>
    <w:rsid w:val="00FD1865"/>
    <w:rsid w:val="00FD45F9"/>
    <w:rsid w:val="00FD4FF0"/>
    <w:rsid w:val="00FD61B9"/>
    <w:rsid w:val="00FE20DE"/>
    <w:rsid w:val="00FE68D5"/>
    <w:rsid w:val="00FE794E"/>
    <w:rsid w:val="00FF0E79"/>
    <w:rsid w:val="00FF7CC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67EACBC5"/>
  <w15:docId w15:val="{B74502CE-126A-4801-B8CF-6A8B9CDEB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sz w:val="22"/>
        <w:szCs w:val="22"/>
        <w:lang w:val="lv-LV" w:eastAsia="lv-LV"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14D96"/>
    <w:pPr>
      <w:ind w:firstLine="720"/>
      <w:jc w:val="both"/>
    </w:pPr>
    <w:rPr>
      <w:sz w:val="28"/>
      <w:lang w:eastAsia="en-US"/>
    </w:rPr>
  </w:style>
  <w:style w:type="paragraph" w:styleId="Heading5">
    <w:name w:val="heading 5"/>
    <w:basedOn w:val="Normal"/>
    <w:next w:val="Normal"/>
    <w:link w:val="Heading5Char"/>
    <w:qFormat/>
    <w:locked/>
    <w:rsid w:val="00864391"/>
    <w:pPr>
      <w:keepNext/>
      <w:autoSpaceDE w:val="0"/>
      <w:autoSpaceDN w:val="0"/>
      <w:adjustRightInd w:val="0"/>
      <w:ind w:firstLine="0"/>
      <w:jc w:val="center"/>
      <w:outlineLvl w:val="4"/>
    </w:pPr>
    <w:rPr>
      <w:rFonts w:eastAsia="Times New Roman"/>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char">
    <w:name w:val="normal--char"/>
    <w:uiPriority w:val="99"/>
    <w:rsid w:val="001D510D"/>
    <w:rPr>
      <w:rFonts w:ascii="Times New Roman" w:hAnsi="Times New Roman"/>
    </w:rPr>
  </w:style>
  <w:style w:type="paragraph" w:styleId="FootnoteText">
    <w:name w:val="footnote text"/>
    <w:basedOn w:val="Normal"/>
    <w:link w:val="FootnoteTextChar"/>
    <w:uiPriority w:val="99"/>
    <w:rsid w:val="00F3628F"/>
    <w:pPr>
      <w:ind w:firstLine="0"/>
      <w:jc w:val="left"/>
    </w:pPr>
    <w:rPr>
      <w:rFonts w:eastAsia="Times New Roman"/>
      <w:sz w:val="20"/>
      <w:szCs w:val="20"/>
      <w:lang w:eastAsia="lv-LV"/>
    </w:rPr>
  </w:style>
  <w:style w:type="character" w:customStyle="1" w:styleId="FootnoteTextChar">
    <w:name w:val="Footnote Text Char"/>
    <w:basedOn w:val="DefaultParagraphFont"/>
    <w:link w:val="FootnoteText"/>
    <w:uiPriority w:val="99"/>
    <w:locked/>
    <w:rsid w:val="00F3628F"/>
    <w:rPr>
      <w:rFonts w:eastAsia="Times New Roman" w:cs="Times New Roman"/>
      <w:sz w:val="20"/>
      <w:szCs w:val="20"/>
      <w:lang w:eastAsia="lv-LV"/>
    </w:rPr>
  </w:style>
  <w:style w:type="character" w:styleId="FootnoteReference">
    <w:name w:val="footnote reference"/>
    <w:aliases w:val="Footnote Reference Number"/>
    <w:basedOn w:val="DefaultParagraphFont"/>
    <w:uiPriority w:val="99"/>
    <w:rsid w:val="00F3628F"/>
    <w:rPr>
      <w:rFonts w:cs="Times New Roman"/>
      <w:vertAlign w:val="superscript"/>
    </w:rPr>
  </w:style>
  <w:style w:type="paragraph" w:customStyle="1" w:styleId="naisf">
    <w:name w:val="naisf"/>
    <w:basedOn w:val="Normal"/>
    <w:uiPriority w:val="99"/>
    <w:rsid w:val="00F3628F"/>
    <w:pPr>
      <w:spacing w:before="75" w:after="75"/>
      <w:ind w:firstLine="375"/>
    </w:pPr>
    <w:rPr>
      <w:sz w:val="24"/>
      <w:szCs w:val="24"/>
      <w:lang w:eastAsia="lv-LV"/>
    </w:rPr>
  </w:style>
  <w:style w:type="paragraph" w:styleId="ListParagraph">
    <w:name w:val="List Paragraph"/>
    <w:basedOn w:val="Normal"/>
    <w:uiPriority w:val="99"/>
    <w:qFormat/>
    <w:rsid w:val="00623A32"/>
    <w:pPr>
      <w:ind w:left="720"/>
      <w:contextualSpacing/>
    </w:pPr>
  </w:style>
  <w:style w:type="paragraph" w:customStyle="1" w:styleId="naisnod">
    <w:name w:val="naisnod"/>
    <w:basedOn w:val="Normal"/>
    <w:rsid w:val="003D6EA8"/>
    <w:pPr>
      <w:spacing w:before="100" w:beforeAutospacing="1" w:after="100" w:afterAutospacing="1"/>
      <w:ind w:firstLine="0"/>
      <w:jc w:val="left"/>
    </w:pPr>
    <w:rPr>
      <w:rFonts w:eastAsia="Times New Roman"/>
      <w:sz w:val="24"/>
      <w:szCs w:val="24"/>
      <w:lang w:eastAsia="lv-LV"/>
    </w:rPr>
  </w:style>
  <w:style w:type="paragraph" w:customStyle="1" w:styleId="naiskr">
    <w:name w:val="naiskr"/>
    <w:basedOn w:val="Normal"/>
    <w:uiPriority w:val="99"/>
    <w:rsid w:val="003D6EA8"/>
    <w:pPr>
      <w:spacing w:before="100" w:beforeAutospacing="1" w:after="100" w:afterAutospacing="1"/>
      <w:ind w:firstLine="0"/>
      <w:jc w:val="left"/>
    </w:pPr>
    <w:rPr>
      <w:rFonts w:eastAsia="Times New Roman"/>
      <w:sz w:val="24"/>
      <w:szCs w:val="24"/>
      <w:lang w:eastAsia="lv-LV"/>
    </w:rPr>
  </w:style>
  <w:style w:type="paragraph" w:styleId="NormalWeb">
    <w:name w:val="Normal (Web)"/>
    <w:basedOn w:val="Normal"/>
    <w:uiPriority w:val="99"/>
    <w:rsid w:val="003D6EA8"/>
    <w:pPr>
      <w:spacing w:before="100" w:beforeAutospacing="1" w:after="100" w:afterAutospacing="1"/>
      <w:ind w:firstLine="0"/>
      <w:jc w:val="left"/>
    </w:pPr>
    <w:rPr>
      <w:rFonts w:eastAsia="Times New Roman"/>
      <w:sz w:val="24"/>
      <w:szCs w:val="24"/>
      <w:lang w:eastAsia="lv-LV"/>
    </w:rPr>
  </w:style>
  <w:style w:type="paragraph" w:styleId="Header">
    <w:name w:val="header"/>
    <w:basedOn w:val="Normal"/>
    <w:link w:val="HeaderChar"/>
    <w:uiPriority w:val="99"/>
    <w:rsid w:val="00B605EA"/>
    <w:pPr>
      <w:tabs>
        <w:tab w:val="center" w:pos="4153"/>
        <w:tab w:val="right" w:pos="8306"/>
      </w:tabs>
    </w:pPr>
  </w:style>
  <w:style w:type="character" w:customStyle="1" w:styleId="HeaderChar">
    <w:name w:val="Header Char"/>
    <w:basedOn w:val="DefaultParagraphFont"/>
    <w:link w:val="Header"/>
    <w:uiPriority w:val="99"/>
    <w:locked/>
    <w:rsid w:val="00B605EA"/>
    <w:rPr>
      <w:rFonts w:cs="Times New Roman"/>
    </w:rPr>
  </w:style>
  <w:style w:type="paragraph" w:styleId="Footer">
    <w:name w:val="footer"/>
    <w:basedOn w:val="Normal"/>
    <w:link w:val="FooterChar"/>
    <w:uiPriority w:val="99"/>
    <w:rsid w:val="00B605EA"/>
    <w:pPr>
      <w:tabs>
        <w:tab w:val="center" w:pos="4153"/>
        <w:tab w:val="right" w:pos="8306"/>
      </w:tabs>
    </w:pPr>
  </w:style>
  <w:style w:type="character" w:customStyle="1" w:styleId="FooterChar">
    <w:name w:val="Footer Char"/>
    <w:basedOn w:val="DefaultParagraphFont"/>
    <w:link w:val="Footer"/>
    <w:uiPriority w:val="99"/>
    <w:locked/>
    <w:rsid w:val="00B605EA"/>
    <w:rPr>
      <w:rFonts w:cs="Times New Roman"/>
    </w:rPr>
  </w:style>
  <w:style w:type="paragraph" w:styleId="BalloonText">
    <w:name w:val="Balloon Text"/>
    <w:basedOn w:val="Normal"/>
    <w:link w:val="BalloonTextChar"/>
    <w:uiPriority w:val="99"/>
    <w:semiHidden/>
    <w:rsid w:val="00887DF1"/>
    <w:rPr>
      <w:rFonts w:ascii="Arial" w:hAnsi="Arial" w:cs="Arial"/>
      <w:sz w:val="18"/>
      <w:szCs w:val="18"/>
    </w:rPr>
  </w:style>
  <w:style w:type="character" w:customStyle="1" w:styleId="BalloonTextChar">
    <w:name w:val="Balloon Text Char"/>
    <w:basedOn w:val="DefaultParagraphFont"/>
    <w:link w:val="BalloonText"/>
    <w:uiPriority w:val="99"/>
    <w:semiHidden/>
    <w:locked/>
    <w:rsid w:val="00887DF1"/>
    <w:rPr>
      <w:rFonts w:ascii="Arial" w:hAnsi="Arial" w:cs="Arial"/>
      <w:sz w:val="18"/>
      <w:szCs w:val="18"/>
    </w:rPr>
  </w:style>
  <w:style w:type="character" w:styleId="Hyperlink">
    <w:name w:val="Hyperlink"/>
    <w:basedOn w:val="DefaultParagraphFont"/>
    <w:uiPriority w:val="99"/>
    <w:rsid w:val="00963E11"/>
    <w:rPr>
      <w:rFonts w:cs="Times New Roman"/>
      <w:color w:val="0563C1"/>
      <w:u w:val="single"/>
    </w:rPr>
  </w:style>
  <w:style w:type="character" w:customStyle="1" w:styleId="Heading5Char">
    <w:name w:val="Heading 5 Char"/>
    <w:basedOn w:val="DefaultParagraphFont"/>
    <w:link w:val="Heading5"/>
    <w:rsid w:val="00864391"/>
    <w:rPr>
      <w:rFonts w:eastAsia="Times New Roman"/>
      <w:b/>
      <w:bCs/>
      <w:sz w:val="28"/>
      <w:szCs w:val="28"/>
      <w:lang w:eastAsia="en-US"/>
    </w:rPr>
  </w:style>
  <w:style w:type="table" w:styleId="TableGrid">
    <w:name w:val="Table Grid"/>
    <w:basedOn w:val="TableNormal"/>
    <w:uiPriority w:val="39"/>
    <w:locked/>
    <w:rsid w:val="00394F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B5A7C"/>
    <w:rPr>
      <w:sz w:val="16"/>
      <w:szCs w:val="16"/>
    </w:rPr>
  </w:style>
  <w:style w:type="paragraph" w:styleId="CommentText">
    <w:name w:val="annotation text"/>
    <w:basedOn w:val="Normal"/>
    <w:link w:val="CommentTextChar"/>
    <w:uiPriority w:val="99"/>
    <w:semiHidden/>
    <w:unhideWhenUsed/>
    <w:rsid w:val="00BB5A7C"/>
    <w:rPr>
      <w:sz w:val="20"/>
      <w:szCs w:val="20"/>
    </w:rPr>
  </w:style>
  <w:style w:type="character" w:customStyle="1" w:styleId="CommentTextChar">
    <w:name w:val="Comment Text Char"/>
    <w:basedOn w:val="DefaultParagraphFont"/>
    <w:link w:val="CommentText"/>
    <w:uiPriority w:val="99"/>
    <w:semiHidden/>
    <w:rsid w:val="00BB5A7C"/>
    <w:rPr>
      <w:sz w:val="20"/>
      <w:szCs w:val="20"/>
      <w:lang w:eastAsia="en-US"/>
    </w:rPr>
  </w:style>
  <w:style w:type="paragraph" w:styleId="CommentSubject">
    <w:name w:val="annotation subject"/>
    <w:basedOn w:val="CommentText"/>
    <w:next w:val="CommentText"/>
    <w:link w:val="CommentSubjectChar"/>
    <w:uiPriority w:val="99"/>
    <w:semiHidden/>
    <w:unhideWhenUsed/>
    <w:rsid w:val="00BB5A7C"/>
    <w:rPr>
      <w:b/>
      <w:bCs/>
    </w:rPr>
  </w:style>
  <w:style w:type="character" w:customStyle="1" w:styleId="CommentSubjectChar">
    <w:name w:val="Comment Subject Char"/>
    <w:basedOn w:val="CommentTextChar"/>
    <w:link w:val="CommentSubject"/>
    <w:uiPriority w:val="99"/>
    <w:semiHidden/>
    <w:rsid w:val="00BB5A7C"/>
    <w:rPr>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3026875">
      <w:marLeft w:val="0"/>
      <w:marRight w:val="0"/>
      <w:marTop w:val="0"/>
      <w:marBottom w:val="0"/>
      <w:divBdr>
        <w:top w:val="none" w:sz="0" w:space="0" w:color="auto"/>
        <w:left w:val="none" w:sz="0" w:space="0" w:color="auto"/>
        <w:bottom w:val="none" w:sz="0" w:space="0" w:color="auto"/>
        <w:right w:val="none" w:sz="0" w:space="0" w:color="auto"/>
      </w:divBdr>
    </w:div>
    <w:div w:id="953026876">
      <w:marLeft w:val="0"/>
      <w:marRight w:val="0"/>
      <w:marTop w:val="0"/>
      <w:marBottom w:val="0"/>
      <w:divBdr>
        <w:top w:val="none" w:sz="0" w:space="0" w:color="auto"/>
        <w:left w:val="none" w:sz="0" w:space="0" w:color="auto"/>
        <w:bottom w:val="none" w:sz="0" w:space="0" w:color="auto"/>
        <w:right w:val="none" w:sz="0" w:space="0" w:color="auto"/>
      </w:divBdr>
    </w:div>
    <w:div w:id="1630211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ikumi.lv/ta/id/168574-valsts-materialo-rezervju-glabasanas-uzskaites-atjauninasanas-iznomasanas-aizdosanas-realizacijas-un-norakstisanas-kartib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0E4B7E-B2BA-49E7-9AED-2CC0E1C135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7</Pages>
  <Words>6996</Words>
  <Characters>3988</Characters>
  <Application>Microsoft Office Word</Application>
  <DocSecurity>0</DocSecurity>
  <Lines>33</Lines>
  <Paragraphs>21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Valsts materiālajās rezervēs esošo zāļu un medicīniskās ierīču atsavināšanas kārtība</vt:lpstr>
      <vt:lpstr>Anotācija Ministru kabineta noteikumu projektam “Valsts materiālo rezervju iesaistīšanas un pārbaudes kārtība"</vt:lpstr>
    </vt:vector>
  </TitlesOfParts>
  <Company>IeM</Company>
  <LinksUpToDate>false</LinksUpToDate>
  <CharactersWithSpaces>10963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Valsts materiālajās rezervēs esošo zāļu un medicīniskās ierīču atsavināšanas kārtība</dc:title>
  <dc:subject>Anotācija</dc:subject>
  <dc:creator>Artūrs Grīgs</dc:creator>
  <dc:description>Grīgs,  67876116_x000d_
Arturs.Grigs@vm.gov.lv</dc:description>
  <cp:lastModifiedBy>Artūrs Grīgs</cp:lastModifiedBy>
  <cp:revision>5</cp:revision>
  <cp:lastPrinted>2018-12-27T09:48:00Z</cp:lastPrinted>
  <dcterms:created xsi:type="dcterms:W3CDTF">2019-03-01T11:27:00Z</dcterms:created>
  <dcterms:modified xsi:type="dcterms:W3CDTF">2019-03-07T06:44:00Z</dcterms:modified>
</cp:coreProperties>
</file>