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03DB" w14:textId="77777777" w:rsidR="00205549" w:rsidRPr="00205549" w:rsidRDefault="00EB39E9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26DBB955" w14:textId="77777777" w:rsidR="00205549" w:rsidRPr="00205549" w:rsidRDefault="00EB39E9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5661C460" w14:textId="77777777" w:rsidR="00540148" w:rsidRPr="00205549" w:rsidRDefault="00EB39E9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7FB77030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B57CF0F" w14:textId="77777777" w:rsidR="0091621C" w:rsidRPr="00B15C3B" w:rsidRDefault="00EB39E9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32AF4266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089315A1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E230D3" w14:paraId="25C801DB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B17B69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CD82E47" w14:textId="77777777" w:rsidR="0091621C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745068" w14:textId="77777777" w:rsidR="0091621C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AF66F5" w14:textId="21CD6C5B" w:rsidR="0029432E" w:rsidRDefault="00EB39E9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60C2ACFB" w14:textId="77777777" w:rsidR="00534D45" w:rsidRDefault="00534D45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540D8584" w14:textId="77777777" w:rsidR="0091621C" w:rsidRPr="001E79B7" w:rsidRDefault="00EB39E9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  <w:r w:rsidRPr="001E79B7">
              <w:rPr>
                <w:rFonts w:eastAsia="Times New Roman"/>
                <w:bCs/>
                <w:i/>
                <w:color w:val="2F5496"/>
                <w:sz w:val="22"/>
              </w:rPr>
              <w:t>(Norāda dokumenta veidu – attīstības plānošanas dokuments (politikas plānošanas dokuments vai teritorijas plānošanas dokuments) vai tiesību akts)</w:t>
            </w:r>
          </w:p>
        </w:tc>
      </w:tr>
      <w:tr w:rsidR="00E230D3" w14:paraId="5C60989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FBED6D" w14:textId="77777777" w:rsidR="0091621C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03148" w14:textId="77777777" w:rsidR="0091621C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6A4C98" w14:textId="36783595" w:rsidR="0029432E" w:rsidRDefault="00534D45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4E0AB2">
              <w:rPr>
                <w:sz w:val="24"/>
                <w:szCs w:val="24"/>
              </w:rPr>
              <w:t>r</w:t>
            </w:r>
            <w:r w:rsidRPr="00534D45">
              <w:rPr>
                <w:sz w:val="24"/>
                <w:szCs w:val="24"/>
              </w:rPr>
              <w:t>ozījum</w:t>
            </w:r>
            <w:r>
              <w:rPr>
                <w:sz w:val="24"/>
                <w:szCs w:val="24"/>
              </w:rPr>
              <w:t>i</w:t>
            </w:r>
            <w:r w:rsidRPr="00534D45">
              <w:rPr>
                <w:sz w:val="24"/>
                <w:szCs w:val="24"/>
              </w:rPr>
              <w:t xml:space="preserve"> Ministru kabineta 2009. gada 20. janvāra noteikumos Nr.60 “Noteikumi par obligātajām prasībām ārstniecības iestādēm un to struktūrvienībām" </w:t>
            </w:r>
            <w:r w:rsidR="00EB39E9">
              <w:rPr>
                <w:sz w:val="24"/>
                <w:szCs w:val="24"/>
              </w:rPr>
              <w:t>(turpmāk – noteikumu projekts)</w:t>
            </w:r>
          </w:p>
          <w:p w14:paraId="0517C2D9" w14:textId="77777777" w:rsidR="00534D45" w:rsidRDefault="00534D45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095723" w14:textId="77777777" w:rsidR="0029432E" w:rsidRPr="001E79B7" w:rsidRDefault="00EB39E9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 esošo vai iespējamo dokumenta nosaukumu, ja attiecināms, norāda arī dokumenta plānoto darbības termiņu)</w:t>
            </w:r>
          </w:p>
        </w:tc>
      </w:tr>
      <w:tr w:rsidR="00E230D3" w14:paraId="751B6CA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CA4ED2" w14:textId="77777777" w:rsidR="0091621C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3E74BA" w14:textId="77777777" w:rsidR="0091621C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163654" w14:textId="7B9AB7D9" w:rsidR="0029432E" w:rsidRDefault="00EB39E9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798C08CC" w14:textId="77777777" w:rsidR="00534D45" w:rsidRDefault="00534D45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2F0D3B" w14:textId="77777777" w:rsidR="0029432E" w:rsidRPr="001E79B7" w:rsidRDefault="00EB39E9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(Norāda, kādā politikas jomā un nozarē atbilstoši normatīvajiem aktiem par</w:t>
            </w:r>
            <w:r w:rsidR="00244F90" w:rsidRPr="001E79B7">
              <w:rPr>
                <w:i/>
                <w:color w:val="2F5496"/>
                <w:sz w:val="22"/>
              </w:rPr>
              <w:t xml:space="preserve"> </w:t>
            </w:r>
            <w:r w:rsidRPr="001E79B7">
              <w:rPr>
                <w:i/>
                <w:color w:val="2F5496"/>
                <w:sz w:val="22"/>
              </w:rPr>
              <w:t>Ministru kabineta iekšējās kārtības un darbības jautājumiem vai kādā teritorijā dokuments tiek izstrādāts)</w:t>
            </w:r>
          </w:p>
        </w:tc>
      </w:tr>
      <w:tr w:rsidR="00E230D3" w14:paraId="2C9DD0B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4CCF7" w14:textId="77777777" w:rsidR="0091621C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D7E87C" w14:textId="77777777" w:rsidR="0091621C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FFB95" w14:textId="0C3A7BD0" w:rsidR="0029432E" w:rsidRDefault="00EB39E9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>Noteikumu projekta tiesiskais regulējums attiecas uz</w:t>
            </w:r>
            <w:r w:rsidR="00534D45">
              <w:rPr>
                <w:rFonts w:eastAsia="Times New Roman"/>
                <w:sz w:val="24"/>
                <w:szCs w:val="24"/>
                <w:lang w:eastAsia="lv-LV"/>
              </w:rPr>
              <w:t xml:space="preserve"> ārstniecības iestādēm (ietverot arī ārstniecības personas)</w:t>
            </w:r>
          </w:p>
          <w:p w14:paraId="3AAC9E39" w14:textId="77777777" w:rsidR="00534D45" w:rsidRPr="00534D45" w:rsidRDefault="00534D45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7EC37CF5" w14:textId="77777777" w:rsidR="0029432E" w:rsidRPr="001E79B7" w:rsidRDefault="00EB39E9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  <w:r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>(Norāda visas sabiedrības mērķgrupas, kuru intereses skar dokumenta izstrāde un</w:t>
            </w:r>
            <w:r w:rsidR="00244F90"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>,</w:t>
            </w:r>
            <w:r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 xml:space="preserve"> kuru viedokli </w:t>
            </w:r>
            <w:r w:rsidR="00244F90"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>Veselības ministrija</w:t>
            </w:r>
            <w:r w:rsidRPr="001E79B7">
              <w:rPr>
                <w:rFonts w:eastAsia="Times New Roman"/>
                <w:i/>
                <w:color w:val="2F5496"/>
                <w:sz w:val="22"/>
                <w:lang w:eastAsia="lv-LV"/>
              </w:rPr>
              <w:t xml:space="preserve"> vēlētos saņemt)</w:t>
            </w:r>
          </w:p>
        </w:tc>
      </w:tr>
      <w:tr w:rsidR="00E230D3" w14:paraId="0BB8E21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C02B9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E146AE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EBE97" w14:textId="689B1DA7" w:rsidR="00A979A9" w:rsidRPr="00534D45" w:rsidRDefault="00EB39E9" w:rsidP="006D0A58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534D45">
              <w:rPr>
                <w:iCs/>
                <w:sz w:val="24"/>
                <w:szCs w:val="24"/>
              </w:rPr>
              <w:t>Noteikumu projekts paredz precizēt</w:t>
            </w:r>
            <w:r w:rsidR="00003409" w:rsidRPr="00534D45">
              <w:rPr>
                <w:iCs/>
                <w:sz w:val="24"/>
                <w:szCs w:val="24"/>
              </w:rPr>
              <w:t xml:space="preserve"> </w:t>
            </w:r>
            <w:r w:rsidR="00534D45">
              <w:rPr>
                <w:iCs/>
                <w:sz w:val="24"/>
                <w:szCs w:val="24"/>
              </w:rPr>
              <w:t>normas, kas attiecas uz kvalitātes nodrošināšanu ārstniecības iestādēs, intensīvās terapijas nodrošināšanu, neatliekamās palīdzības iestāžu aprīkojumu un personālu, dzemdību nodaļām, perinatālās aprūpes centru. Papildina noteikumus ar prasībām reitterapijas sniedzējiem, diabēta apmācības kabinetam.</w:t>
            </w:r>
          </w:p>
          <w:p w14:paraId="18527B9A" w14:textId="77777777" w:rsidR="0029432E" w:rsidRPr="0029432E" w:rsidRDefault="0029432E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2F5C8722" w14:textId="77777777" w:rsidR="0029432E" w:rsidRPr="001E79B7" w:rsidRDefault="00EB39E9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 xml:space="preserve">(Norāda dokumenta mērķi, raksturojot esošās problēmas un pamatojot dokumenta izstrādes nepieciešamību, ne vairāk kā </w:t>
            </w:r>
            <w:r w:rsidRPr="001E79B7">
              <w:rPr>
                <w:i/>
                <w:color w:val="2F5496"/>
                <w:sz w:val="22"/>
              </w:rPr>
              <w:lastRenderedPageBreak/>
              <w:t>300 vārdu)</w:t>
            </w:r>
          </w:p>
        </w:tc>
      </w:tr>
      <w:tr w:rsidR="00E230D3" w14:paraId="3941BB3D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C5814A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DC8EE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120C27" w14:textId="481F4F8E" w:rsidR="004C5E6E" w:rsidRDefault="00EB39E9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 xml:space="preserve">rojektu plānots pieteikt izsludināšanai Valsts sekretāru sanāksmē </w:t>
            </w:r>
            <w:r w:rsidR="00F322A9">
              <w:rPr>
                <w:sz w:val="24"/>
                <w:szCs w:val="24"/>
              </w:rPr>
              <w:t xml:space="preserve"> </w:t>
            </w:r>
            <w:r w:rsidR="001D532A">
              <w:rPr>
                <w:sz w:val="24"/>
                <w:szCs w:val="24"/>
              </w:rPr>
              <w:t>20</w:t>
            </w:r>
            <w:r w:rsidR="00534D45">
              <w:rPr>
                <w:sz w:val="24"/>
                <w:szCs w:val="24"/>
              </w:rPr>
              <w:t>21. </w:t>
            </w:r>
            <w:r w:rsidR="001D532A">
              <w:rPr>
                <w:sz w:val="24"/>
                <w:szCs w:val="24"/>
              </w:rPr>
              <w:t>gada</w:t>
            </w:r>
            <w:r w:rsidR="00534D45">
              <w:rPr>
                <w:sz w:val="24"/>
                <w:szCs w:val="24"/>
              </w:rPr>
              <w:t xml:space="preserve"> </w:t>
            </w:r>
            <w:r w:rsidR="00F322A9">
              <w:rPr>
                <w:sz w:val="24"/>
                <w:szCs w:val="24"/>
              </w:rPr>
              <w:t>augusta sākumā.</w:t>
            </w:r>
          </w:p>
          <w:p w14:paraId="17692F21" w14:textId="77777777" w:rsidR="0029432E" w:rsidRPr="001E79B7" w:rsidRDefault="00EB39E9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  <w:r w:rsidRPr="001E79B7">
              <w:rPr>
                <w:i/>
                <w:color w:val="2F5496"/>
                <w:sz w:val="22"/>
              </w:rPr>
              <w:t xml:space="preserve">(Norāda </w:t>
            </w:r>
            <w:r w:rsidR="00244F90" w:rsidRPr="001E79B7">
              <w:rPr>
                <w:i/>
                <w:color w:val="2F5496"/>
                <w:sz w:val="22"/>
              </w:rPr>
              <w:t>Veselības ministrijas</w:t>
            </w:r>
            <w:r w:rsidRPr="001E79B7">
              <w:rPr>
                <w:i/>
                <w:color w:val="2F5496"/>
                <w:sz w:val="22"/>
              </w:rPr>
              <w:t xml:space="preserve"> plānoto dokumenta virzību un termiņu, kādā plānots izstrādāt dokumentu</w:t>
            </w:r>
            <w:r w:rsidRPr="001E79B7">
              <w:rPr>
                <w:i/>
                <w:color w:val="2F5496"/>
                <w:sz w:val="24"/>
                <w:szCs w:val="24"/>
              </w:rPr>
              <w:t>)</w:t>
            </w:r>
          </w:p>
        </w:tc>
      </w:tr>
      <w:tr w:rsidR="00E230D3" w14:paraId="1CF18196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B8DA1E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948B43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F23075" w14:textId="77777777" w:rsidR="00AC127A" w:rsidRDefault="00EB39E9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</w:t>
            </w:r>
            <w:r w:rsidR="00AC127A">
              <w:rPr>
                <w:sz w:val="24"/>
                <w:szCs w:val="24"/>
              </w:rPr>
              <w:t>:</w:t>
            </w:r>
          </w:p>
          <w:p w14:paraId="64AF656D" w14:textId="1AD59B38" w:rsidR="004C5E6E" w:rsidRDefault="00AC127A" w:rsidP="00AC127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VMnot_</w:t>
            </w:r>
            <w:r w:rsidR="004E0AB2">
              <w:rPr>
                <w:sz w:val="24"/>
                <w:szCs w:val="24"/>
              </w:rPr>
              <w:t>1506</w:t>
            </w:r>
            <w:r>
              <w:rPr>
                <w:sz w:val="24"/>
                <w:szCs w:val="24"/>
              </w:rPr>
              <w:t>21_</w:t>
            </w:r>
            <w:r w:rsidR="004E0AB2">
              <w:rPr>
                <w:sz w:val="24"/>
                <w:szCs w:val="24"/>
              </w:rPr>
              <w:t>mk</w:t>
            </w:r>
            <w:r>
              <w:rPr>
                <w:sz w:val="24"/>
                <w:szCs w:val="24"/>
              </w:rPr>
              <w:t>60;</w:t>
            </w:r>
          </w:p>
          <w:p w14:paraId="6CBD8D6F" w14:textId="1E45D66A" w:rsidR="00AC127A" w:rsidRDefault="00AC127A" w:rsidP="00AC127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VManot_</w:t>
            </w:r>
            <w:r w:rsidR="004E0AB2">
              <w:rPr>
                <w:sz w:val="24"/>
                <w:szCs w:val="24"/>
              </w:rPr>
              <w:t>1606</w:t>
            </w:r>
            <w:r>
              <w:rPr>
                <w:sz w:val="24"/>
                <w:szCs w:val="24"/>
              </w:rPr>
              <w:t>21_</w:t>
            </w:r>
            <w:r w:rsidR="004E0AB2">
              <w:rPr>
                <w:sz w:val="24"/>
                <w:szCs w:val="24"/>
              </w:rPr>
              <w:t>mk</w:t>
            </w:r>
            <w:r>
              <w:rPr>
                <w:sz w:val="24"/>
                <w:szCs w:val="24"/>
              </w:rPr>
              <w:t>60</w:t>
            </w:r>
          </w:p>
          <w:p w14:paraId="37D2E981" w14:textId="77777777" w:rsidR="0029432E" w:rsidRDefault="0029432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54CAB6" w14:textId="77777777" w:rsidR="0029432E" w:rsidRPr="001E79B7" w:rsidRDefault="00EB39E9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(Pievieno visas uz dokumentu attiecināmās datnes elektroniskā formā (attīstības plānošanas dokuments, tiesību akts un tā anotācija, citi dokumenti, kas sniedz papildu informāciju, piemēram, pētījumi))</w:t>
            </w:r>
          </w:p>
        </w:tc>
      </w:tr>
      <w:tr w:rsidR="00E230D3" w14:paraId="0027727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50652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D065C8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DD9C60" w14:textId="343491CD" w:rsidR="004C5E6E" w:rsidRDefault="00EB39E9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>
              <w:rPr>
                <w:sz w:val="24"/>
                <w:szCs w:val="24"/>
              </w:rPr>
              <w:t>7.</w:t>
            </w:r>
            <w:r w:rsidR="004E0A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 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7CC4C5F2" w14:textId="77777777" w:rsidR="00A50A92" w:rsidRDefault="00A50A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EAC229" w14:textId="77777777" w:rsidR="00A50A92" w:rsidRPr="001E79B7" w:rsidRDefault="00EB39E9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1E79B7">
              <w:rPr>
                <w:i/>
                <w:color w:val="2F5496"/>
                <w:sz w:val="24"/>
                <w:szCs w:val="24"/>
              </w:rPr>
              <w:t>(Norāda sabiedrības līdzdalības veidus, kurus plānots izmantot dokumenta izstrādē, atbilstoši Ministru kabineta 2009.gada 25.augusta noteikumu Nr.970 "Sabiedrības līdzdalības kārtība attīstības plānošanas procesā" 7.punkta</w:t>
            </w:r>
            <w:r w:rsidR="00A65FF4" w:rsidRPr="001E79B7">
              <w:rPr>
                <w:i/>
                <w:color w:val="2F5496"/>
                <w:sz w:val="24"/>
                <w:szCs w:val="24"/>
              </w:rPr>
              <w:t xml:space="preserve"> apakšpunktiem</w:t>
            </w:r>
            <w:r w:rsidRPr="001E79B7">
              <w:rPr>
                <w:i/>
                <w:color w:val="2F5496"/>
                <w:sz w:val="24"/>
                <w:szCs w:val="24"/>
              </w:rPr>
              <w:t>)</w:t>
            </w:r>
          </w:p>
        </w:tc>
      </w:tr>
      <w:tr w:rsidR="00E230D3" w14:paraId="225E66D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5E20D6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1E65AC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D3741B" w14:textId="33976BB0" w:rsidR="004E0AB2" w:rsidRDefault="00EB39E9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 w:rsidR="00934BCF"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 xml:space="preserve">rojektu, norādot kontaktinformāciju (vārdu, uzvārdu, adresi, tālruņa numuru un e-pasta adresi), iespējams sniegt līdz </w:t>
            </w:r>
            <w:r>
              <w:rPr>
                <w:sz w:val="24"/>
                <w:szCs w:val="24"/>
              </w:rPr>
              <w:t>2021. </w:t>
            </w:r>
            <w:r w:rsidRPr="00E5264E">
              <w:rPr>
                <w:sz w:val="24"/>
                <w:szCs w:val="24"/>
              </w:rPr>
              <w:t xml:space="preserve">gada </w:t>
            </w:r>
            <w:r w:rsidR="00F322A9">
              <w:rPr>
                <w:sz w:val="24"/>
                <w:szCs w:val="24"/>
              </w:rPr>
              <w:t>30</w:t>
            </w:r>
            <w:r w:rsidR="004E0AB2">
              <w:rPr>
                <w:sz w:val="24"/>
                <w:szCs w:val="24"/>
              </w:rPr>
              <w:t>.jūlijam</w:t>
            </w:r>
          </w:p>
          <w:p w14:paraId="0D023661" w14:textId="77777777" w:rsidR="00A65FF4" w:rsidRDefault="00A65FF4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ECE01C" w14:textId="77777777" w:rsidR="00A65FF4" w:rsidRPr="001E79B7" w:rsidRDefault="00EB39E9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 xml:space="preserve">(Norāda pieteikšanās veidu un termiņu, līdz kuram institūcija gaida pieteikumus līdzdalībai. Šajā ailē var norādīt, ka lūdz sabiedrības pārstāvjus pieteikties, norādot kontaktinformāciju (vārdu, uzvārdu, adresi, tālruņa numuru un e-pasta adresi) </w:t>
            </w:r>
            <w:r w:rsidRPr="001E79B7">
              <w:rPr>
                <w:i/>
                <w:color w:val="2F5496"/>
                <w:sz w:val="22"/>
              </w:rPr>
              <w:lastRenderedPageBreak/>
              <w:t>un vēlamo līdzdalības veidu, ja ailē "Sabiedrības pārstāvju iespējas līdzdarboties" institūcija ir plānojusi vairākas līdzdalības iespējas)</w:t>
            </w:r>
          </w:p>
        </w:tc>
      </w:tr>
      <w:tr w:rsidR="00E230D3" w14:paraId="020BA3C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C29B0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F807C5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4F11AC" w14:textId="77777777" w:rsidR="004C5E6E" w:rsidRDefault="00EB39E9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2D65A5C3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94FF1C" w14:textId="77777777" w:rsidR="00A65FF4" w:rsidRPr="001E79B7" w:rsidRDefault="00EB39E9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 jebkādu citu informāciju, kas ir institūcijas rīcībā un varētu būt noderīga sabiedrības pārstāvjiem līdzdalības plānošanā)</w:t>
            </w:r>
          </w:p>
        </w:tc>
      </w:tr>
      <w:tr w:rsidR="00E230D3" w14:paraId="041426A0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96AB2A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3121A3" w14:textId="77777777" w:rsidR="004C5E6E" w:rsidRPr="00E5264E" w:rsidRDefault="00EB39E9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E4173E" w14:textId="4F45BE04" w:rsidR="007B72EA" w:rsidRDefault="00EB39E9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Kristīna Brūvere</w:t>
            </w:r>
            <w:r w:rsidR="004C5E6E"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191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kristina.bruvere</w:t>
            </w:r>
            <w:hyperlink r:id="rId8" w:history="1">
              <w:r w:rsidR="004A0066" w:rsidRPr="00D04BF3">
                <w:rPr>
                  <w:rStyle w:val="Hyperlink"/>
                  <w:sz w:val="24"/>
                  <w:szCs w:val="24"/>
                </w:rPr>
                <w:t>@</w:t>
              </w:r>
              <w:r>
                <w:rPr>
                  <w:rStyle w:val="Hyperlink"/>
                  <w:sz w:val="24"/>
                  <w:szCs w:val="24"/>
                </w:rPr>
                <w:t>v</w:t>
              </w:r>
              <w:r w:rsidR="004A0066" w:rsidRPr="00D04BF3">
                <w:rPr>
                  <w:rStyle w:val="Hyperlink"/>
                  <w:sz w:val="24"/>
                  <w:szCs w:val="24"/>
                </w:rPr>
                <w:t>m.gov.lv</w:t>
              </w:r>
            </w:hyperlink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  <w:p w14:paraId="4A5CAC18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42F73F" w14:textId="77777777" w:rsidR="00A65FF4" w:rsidRPr="001E79B7" w:rsidRDefault="00EB39E9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E79B7">
              <w:rPr>
                <w:i/>
                <w:color w:val="2F5496"/>
                <w:sz w:val="22"/>
              </w:rPr>
              <w:t>(Norāda par dokumenta izstrādi atbildīgās amatpersonas vārdu, uzvārdu, tālruņa numuru un e-pasta adresi)</w:t>
            </w:r>
          </w:p>
        </w:tc>
      </w:tr>
    </w:tbl>
    <w:p w14:paraId="141A6979" w14:textId="77777777" w:rsidR="001E79B7" w:rsidRDefault="00EB39E9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544CF3EA" w14:textId="4AA6591D" w:rsidR="00DF3DDC" w:rsidRDefault="00EB39E9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_________</w:t>
      </w:r>
      <w:r>
        <w:rPr>
          <w:sz w:val="24"/>
          <w:szCs w:val="24"/>
        </w:rPr>
        <w:t>Antra Valdmane</w:t>
      </w:r>
      <w:r w:rsidR="00540148">
        <w:rPr>
          <w:sz w:val="24"/>
          <w:szCs w:val="24"/>
        </w:rPr>
        <w:t>____________________________________</w:t>
      </w:r>
    </w:p>
    <w:p w14:paraId="27363140" w14:textId="77777777" w:rsidR="00540148" w:rsidRPr="00DF3DDC" w:rsidRDefault="00EB39E9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650C2489" w14:textId="77777777" w:rsidR="00540148" w:rsidRDefault="00540148" w:rsidP="001E79B7">
      <w:pPr>
        <w:rPr>
          <w:sz w:val="24"/>
          <w:szCs w:val="24"/>
        </w:rPr>
      </w:pPr>
    </w:p>
    <w:p w14:paraId="1DE29621" w14:textId="760FD182" w:rsidR="00DF3DDC" w:rsidRPr="00DF3DDC" w:rsidRDefault="00EB39E9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4E0AB2">
        <w:rPr>
          <w:noProof/>
          <w:sz w:val="24"/>
          <w:szCs w:val="24"/>
        </w:rPr>
        <w:t>Indra Dreika</w:t>
      </w:r>
    </w:p>
    <w:p w14:paraId="18A63B38" w14:textId="77777777" w:rsidR="00134284" w:rsidRDefault="00134284">
      <w:pPr>
        <w:rPr>
          <w:sz w:val="24"/>
          <w:szCs w:val="24"/>
        </w:rPr>
      </w:pPr>
    </w:p>
    <w:p w14:paraId="3C3A94E8" w14:textId="77777777" w:rsidR="001E79B7" w:rsidRDefault="001E79B7" w:rsidP="001E79B7">
      <w:pPr>
        <w:pStyle w:val="Footer"/>
        <w:jc w:val="center"/>
        <w:rPr>
          <w:sz w:val="22"/>
        </w:rPr>
      </w:pPr>
    </w:p>
    <w:p w14:paraId="2E6F5FA6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6816" w14:textId="77777777" w:rsidR="00294781" w:rsidRDefault="00EB39E9">
      <w:pPr>
        <w:spacing w:after="0" w:line="240" w:lineRule="auto"/>
      </w:pPr>
      <w:r>
        <w:separator/>
      </w:r>
    </w:p>
  </w:endnote>
  <w:endnote w:type="continuationSeparator" w:id="0">
    <w:p w14:paraId="5659AEBC" w14:textId="77777777" w:rsidR="00294781" w:rsidRDefault="00E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02C2" w14:textId="77777777" w:rsidR="001E79B7" w:rsidRPr="00774127" w:rsidRDefault="00EB39E9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3C78100" w14:textId="77777777" w:rsidR="001E79B7" w:rsidRDefault="001E79B7">
    <w:pPr>
      <w:pStyle w:val="Footer"/>
    </w:pPr>
  </w:p>
  <w:p w14:paraId="77ACC380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BE48" w14:textId="77777777" w:rsidR="001E79B7" w:rsidRDefault="001E79B7" w:rsidP="001E79B7">
    <w:pPr>
      <w:pStyle w:val="Footer"/>
      <w:jc w:val="center"/>
      <w:rPr>
        <w:sz w:val="22"/>
      </w:rPr>
    </w:pPr>
  </w:p>
  <w:p w14:paraId="0FFD97F1" w14:textId="77777777" w:rsidR="001E79B7" w:rsidRDefault="001E79B7" w:rsidP="001E79B7">
    <w:pPr>
      <w:pStyle w:val="Footer"/>
      <w:jc w:val="center"/>
      <w:rPr>
        <w:sz w:val="22"/>
      </w:rPr>
    </w:pPr>
  </w:p>
  <w:p w14:paraId="0EBAAC7B" w14:textId="77777777" w:rsidR="001E79B7" w:rsidRPr="00774127" w:rsidRDefault="00EB39E9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A779971" w14:textId="77777777" w:rsidR="001E79B7" w:rsidRDefault="001E79B7">
    <w:pPr>
      <w:pStyle w:val="Footer"/>
    </w:pPr>
  </w:p>
  <w:p w14:paraId="494644B7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9DA1" w14:textId="77777777" w:rsidR="001E79B7" w:rsidRDefault="001E79B7">
    <w:pPr>
      <w:pStyle w:val="Footer"/>
    </w:pPr>
  </w:p>
  <w:p w14:paraId="7CA9ECEC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3535" w14:textId="77777777" w:rsidR="00294781" w:rsidRDefault="00EB39E9">
      <w:pPr>
        <w:spacing w:after="0" w:line="240" w:lineRule="auto"/>
      </w:pPr>
      <w:r>
        <w:separator/>
      </w:r>
    </w:p>
  </w:footnote>
  <w:footnote w:type="continuationSeparator" w:id="0">
    <w:p w14:paraId="29B90785" w14:textId="77777777" w:rsidR="00294781" w:rsidRDefault="00EB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8666" w14:textId="77777777" w:rsidR="00BC76BD" w:rsidRPr="00BC76BD" w:rsidRDefault="00EB39E9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B28C180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2174E11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DFA09B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BAE308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554B4F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723B1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C2EE7A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B36765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4ACFAF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9A040D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9B80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B64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45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6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28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67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A48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AB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A5243"/>
    <w:multiLevelType w:val="hybridMultilevel"/>
    <w:tmpl w:val="58BC9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94781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0AB2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34D45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27A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0D3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39E9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22A9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B0D6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rituma@s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Kristīna Brūvere</cp:lastModifiedBy>
  <cp:revision>7</cp:revision>
  <dcterms:created xsi:type="dcterms:W3CDTF">2019-10-14T10:56:00Z</dcterms:created>
  <dcterms:modified xsi:type="dcterms:W3CDTF">2021-06-30T09:46:00Z</dcterms:modified>
</cp:coreProperties>
</file>