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9E07" w14:textId="77777777" w:rsidR="00205549" w:rsidRPr="00205549" w:rsidRDefault="008B5F2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566E4497" w14:textId="77777777" w:rsidR="00205549" w:rsidRPr="00205549" w:rsidRDefault="008B5F2A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5F4A2AB9" w14:textId="77777777" w:rsidR="00540148" w:rsidRPr="00205549" w:rsidRDefault="008B5F2A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3B55DB31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7C6B46D" w14:textId="77777777" w:rsidR="0091621C" w:rsidRPr="00B15C3B" w:rsidRDefault="008B5F2A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4D049A54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44A17576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600E65" w14:paraId="4640825C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40DC2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306F71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02315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BECA8D" w14:textId="77777777" w:rsidR="0091621C" w:rsidRDefault="008B5F2A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1E8743CB" w14:textId="5EA46954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600E65" w14:paraId="22EB7CD6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5E56E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F76EB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11D390" w14:textId="5FC82922" w:rsidR="0091621C" w:rsidRDefault="00D83838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3838">
              <w:rPr>
                <w:sz w:val="24"/>
                <w:szCs w:val="24"/>
              </w:rPr>
              <w:t xml:space="preserve">Grozījumi Ministru kabineta 2007.gada 27.marta noteikumos Nr.215 „Kārtība, kādā veicama smadzeņu un bioloģiskās nāves fakta konstatēšana un miruša cilvēka nodošana apbedīšanai” </w:t>
            </w:r>
            <w:r w:rsidR="008B5F2A">
              <w:rPr>
                <w:sz w:val="24"/>
                <w:szCs w:val="24"/>
              </w:rPr>
              <w:t>(turpmāk – noteikumu projekts)</w:t>
            </w:r>
          </w:p>
          <w:p w14:paraId="624F9A9E" w14:textId="303F32F1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00E65" w14:paraId="13E8769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0E4A0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FA185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44B86" w14:textId="77777777" w:rsidR="0091621C" w:rsidRDefault="008B5F2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160689FD" w14:textId="284B2009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00E65" w14:paraId="3EC99D7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B5EB8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D9216" w14:textId="77777777" w:rsidR="0091621C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AA1647" w14:textId="0664A108" w:rsidR="0091621C" w:rsidRPr="0029432E" w:rsidRDefault="008B5F2A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>Noteikumu projekta tiesiskais regulējums attiecas uz</w:t>
            </w:r>
            <w:r w:rsidR="00F12726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F12726" w:rsidRPr="00F12726">
              <w:rPr>
                <w:rFonts w:eastAsia="Times New Roman"/>
                <w:sz w:val="24"/>
                <w:szCs w:val="24"/>
                <w:lang w:eastAsia="lv-LV"/>
              </w:rPr>
              <w:t>stacionārajām ārstniecības iestādēm un pacientiem, kuriem stacionāros tiks konstatēts galvas smadzeņu nāves vai bioloģiskās nāves fakts.</w:t>
            </w:r>
          </w:p>
          <w:p w14:paraId="51E44F78" w14:textId="02C9BD78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600E65" w14:paraId="1793BF1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B97A8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E5DA4D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497C2" w14:textId="4AFCE56F" w:rsidR="00F12726" w:rsidRDefault="008B5F2A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9432E">
              <w:rPr>
                <w:i/>
                <w:sz w:val="24"/>
                <w:szCs w:val="24"/>
              </w:rPr>
              <w:t>Noteikumu projekts izstrādāts</w:t>
            </w:r>
            <w:r w:rsidR="00F12726">
              <w:rPr>
                <w:i/>
                <w:sz w:val="24"/>
                <w:szCs w:val="24"/>
              </w:rPr>
              <w:t xml:space="preserve"> ar mērķi </w:t>
            </w:r>
            <w:r w:rsidR="00F12726" w:rsidRPr="00F12726">
              <w:rPr>
                <w:i/>
                <w:sz w:val="24"/>
                <w:szCs w:val="24"/>
              </w:rPr>
              <w:t>pilnveidot smadzeņu nāves un bioloģiskās nāves fakta konstatēšanas kārtību stacionārajās ārstniecības iestādēs</w:t>
            </w:r>
            <w:r w:rsidR="00F12726">
              <w:rPr>
                <w:i/>
                <w:sz w:val="24"/>
                <w:szCs w:val="24"/>
              </w:rPr>
              <w:t xml:space="preserve"> (atbilstoši anestezioloģijas, reanimatoloģijas jomas ekspertu </w:t>
            </w:r>
            <w:r w:rsidR="00CC0F03">
              <w:rPr>
                <w:i/>
                <w:sz w:val="24"/>
                <w:szCs w:val="24"/>
              </w:rPr>
              <w:t>skaidrojumam esošais tiesiskais regulējums, kurš nav mainīts kopš 2007.gada,</w:t>
            </w:r>
            <w:r w:rsidR="00F12726">
              <w:rPr>
                <w:i/>
                <w:sz w:val="24"/>
                <w:szCs w:val="24"/>
              </w:rPr>
              <w:t xml:space="preserve"> </w:t>
            </w:r>
            <w:r w:rsidR="00CC0F03" w:rsidRPr="00CC0F03">
              <w:rPr>
                <w:i/>
                <w:sz w:val="24"/>
                <w:szCs w:val="24"/>
              </w:rPr>
              <w:t>šobrīd neatbilst mūsdienu medicīnas standartiem un organizācijas tendencēm, kā arī starptautiskajai praksei</w:t>
            </w:r>
            <w:r w:rsidR="00CC0F03">
              <w:rPr>
                <w:i/>
                <w:sz w:val="24"/>
                <w:szCs w:val="24"/>
              </w:rPr>
              <w:t>)</w:t>
            </w:r>
            <w:r w:rsidR="00F12726">
              <w:rPr>
                <w:i/>
                <w:sz w:val="24"/>
                <w:szCs w:val="24"/>
              </w:rPr>
              <w:t xml:space="preserve">. </w:t>
            </w:r>
          </w:p>
          <w:p w14:paraId="6A13E060" w14:textId="3FD3EFB7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00E65" w14:paraId="62D6647A" w14:textId="77777777" w:rsidTr="006978CF">
        <w:trPr>
          <w:trHeight w:val="701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174ECB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68F60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A70778" w14:textId="720B80D4" w:rsidR="0029432E" w:rsidRPr="006978CF" w:rsidRDefault="008B5F2A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 xml:space="preserve">rojektu plānots pieteikt izsludināšanai Valsts sekretāru sanāksmē </w:t>
            </w:r>
            <w:r w:rsidR="006978CF">
              <w:rPr>
                <w:sz w:val="24"/>
                <w:szCs w:val="24"/>
              </w:rPr>
              <w:t xml:space="preserve">pēc publiskās apspriešanas. </w:t>
            </w:r>
          </w:p>
        </w:tc>
      </w:tr>
      <w:tr w:rsidR="00600E65" w14:paraId="05282B6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D98D03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038D20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BEB60" w14:textId="3558A12E" w:rsidR="0029432E" w:rsidRDefault="0051656B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Ministru kabineta noteikumu projekts </w:t>
            </w:r>
            <w:r w:rsidRPr="0051656B">
              <w:rPr>
                <w:sz w:val="24"/>
                <w:szCs w:val="24"/>
              </w:rPr>
              <w:t>„Grozījumi Ministru kabineta 2007.gada 27.marta noteikumos Nr.215 „Kārtība, kādā veicama smadzeņu un bioloģiskās nāves fakta konstatēšana un miruša cilvēka nodošana apbedīšanai””</w:t>
            </w:r>
            <w:r>
              <w:rPr>
                <w:sz w:val="24"/>
                <w:szCs w:val="24"/>
              </w:rPr>
              <w:t xml:space="preserve"> (datne: VMnot_230321_215); </w:t>
            </w:r>
          </w:p>
          <w:p w14:paraId="5B87817F" w14:textId="77777777" w:rsidR="0051656B" w:rsidRDefault="0051656B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Ministru kabineta noteikumu projekta </w:t>
            </w:r>
            <w:r w:rsidRPr="0051656B">
              <w:rPr>
                <w:sz w:val="24"/>
                <w:szCs w:val="24"/>
              </w:rPr>
              <w:t>„Grozījumi Ministru kabineta 2007.gada 27.marta noteikumos Nr.215 „Kārtība, kādā veicama smadzeņu un bioloģiskās nāves fakta konstatēšana un miruša cilvēka nodošana apbedīšanai”” sākotnējās ietekmes novērtējuma ziņojums (anotācija)</w:t>
            </w:r>
            <w:r>
              <w:rPr>
                <w:sz w:val="24"/>
                <w:szCs w:val="24"/>
              </w:rPr>
              <w:t xml:space="preserve"> (datne: VManot_250321_215). </w:t>
            </w:r>
          </w:p>
          <w:p w14:paraId="4CA8DCB7" w14:textId="1FD578C9" w:rsidR="0051656B" w:rsidRPr="001E79B7" w:rsidRDefault="0051656B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00E65" w14:paraId="1A13D44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6D15B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A8B52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F749E" w14:textId="4A2E2F54" w:rsidR="004C5E6E" w:rsidRDefault="008B5F2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</w:t>
            </w:r>
            <w:r w:rsidR="00BB53F3">
              <w:rPr>
                <w:sz w:val="24"/>
                <w:szCs w:val="24"/>
              </w:rPr>
              <w:t xml:space="preserve"> 7.2.</w:t>
            </w:r>
            <w:r w:rsidRPr="00E5264E">
              <w:rPr>
                <w:sz w:val="24"/>
                <w:szCs w:val="24"/>
              </w:rPr>
              <w:t>apakšpunktam</w:t>
            </w:r>
            <w:r w:rsidR="00C979D0">
              <w:rPr>
                <w:sz w:val="24"/>
                <w:szCs w:val="24"/>
              </w:rPr>
              <w:t xml:space="preserve"> tiks nodrošināta tiešsaistes sabiedriskā apspriede</w:t>
            </w:r>
            <w:r w:rsidRPr="00E5264E">
              <w:rPr>
                <w:sz w:val="24"/>
                <w:szCs w:val="24"/>
              </w:rPr>
              <w:t>.</w:t>
            </w:r>
          </w:p>
          <w:p w14:paraId="17C9216B" w14:textId="08397521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600E65" w:rsidRPr="00DB3873" w14:paraId="0FAEE96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C24E94" w14:textId="77777777" w:rsidR="004C5E6E" w:rsidRPr="00DB3873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3873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4D4781" w14:textId="77777777" w:rsidR="004C5E6E" w:rsidRPr="00DB3873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3873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B0116" w14:textId="419DE4C2" w:rsidR="00DB3873" w:rsidRPr="00DB3873" w:rsidRDefault="008B5F2A" w:rsidP="00E21D8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B3873">
              <w:rPr>
                <w:sz w:val="24"/>
                <w:szCs w:val="24"/>
              </w:rPr>
              <w:t xml:space="preserve">Priekšlikumus par </w:t>
            </w:r>
            <w:r w:rsidR="00934BCF" w:rsidRPr="00DB3873">
              <w:rPr>
                <w:sz w:val="24"/>
                <w:szCs w:val="24"/>
              </w:rPr>
              <w:t>noteikumu p</w:t>
            </w:r>
            <w:r w:rsidRPr="00DB3873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</w:t>
            </w:r>
            <w:r w:rsidR="00DB3873" w:rsidRPr="00DB3873">
              <w:rPr>
                <w:sz w:val="24"/>
                <w:szCs w:val="24"/>
              </w:rPr>
              <w:t xml:space="preserve">ne vēlāk kā divas dienas pirms </w:t>
            </w:r>
            <w:r w:rsidR="00DB3873" w:rsidRPr="00DB3873">
              <w:rPr>
                <w:color w:val="000000" w:themeColor="text1"/>
                <w:sz w:val="24"/>
                <w:szCs w:val="24"/>
              </w:rPr>
              <w:t>sabiedriskās apspriedes</w:t>
            </w:r>
            <w:r w:rsidR="008C440E">
              <w:rPr>
                <w:color w:val="000000" w:themeColor="text1"/>
                <w:sz w:val="24"/>
                <w:szCs w:val="24"/>
              </w:rPr>
              <w:t xml:space="preserve">, informāciju nosūtot uz e-pastu: </w:t>
            </w:r>
            <w:hyperlink r:id="rId8" w:history="1">
              <w:r w:rsidR="008C440E" w:rsidRPr="00E63BAB">
                <w:rPr>
                  <w:rStyle w:val="Hyperlink"/>
                  <w:sz w:val="24"/>
                  <w:szCs w:val="24"/>
                </w:rPr>
                <w:t>Irita.Kuzma@vm.gov.lv</w:t>
              </w:r>
            </w:hyperlink>
            <w:r w:rsidR="008C440E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18A1BBD0" w14:textId="1F5829BC" w:rsidR="00A65FF4" w:rsidRPr="00DB3873" w:rsidRDefault="00DB3873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B3873">
              <w:rPr>
                <w:color w:val="000000" w:themeColor="text1"/>
                <w:sz w:val="24"/>
                <w:szCs w:val="24"/>
              </w:rPr>
              <w:t xml:space="preserve">Sabiedrības pārstāvjus dalībai sabiedriskajā apspriedē, norādot </w:t>
            </w:r>
            <w:r w:rsidR="008B5F2A" w:rsidRPr="00DB3873">
              <w:rPr>
                <w:color w:val="000000" w:themeColor="text1"/>
                <w:sz w:val="24"/>
                <w:szCs w:val="24"/>
              </w:rPr>
              <w:t>kontaktinformāciju (vārdu, uzvārdu, adresi, tālruņa numuru un e-pasta adresi)</w:t>
            </w:r>
            <w:r w:rsidR="008C76D1">
              <w:rPr>
                <w:color w:val="000000" w:themeColor="text1"/>
                <w:sz w:val="24"/>
                <w:szCs w:val="24"/>
              </w:rPr>
              <w:t>, lūdzam</w:t>
            </w:r>
            <w:r w:rsidR="008B5F2A" w:rsidRPr="00DB38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8C76D1">
              <w:rPr>
                <w:color w:val="000000" w:themeColor="text1"/>
                <w:sz w:val="24"/>
                <w:szCs w:val="24"/>
              </w:rPr>
              <w:t xml:space="preserve">pieteikties </w:t>
            </w:r>
            <w:r w:rsidRPr="00DB3873">
              <w:rPr>
                <w:color w:val="000000" w:themeColor="text1"/>
                <w:sz w:val="24"/>
                <w:szCs w:val="24"/>
              </w:rPr>
              <w:t>ne vēlāk kā vienu dienu pirms sabiedriskās apspriedes</w:t>
            </w:r>
            <w:r w:rsidR="008C440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C440E" w:rsidRPr="008C440E">
              <w:rPr>
                <w:color w:val="000000"/>
                <w:sz w:val="24"/>
                <w:szCs w:val="24"/>
              </w:rPr>
              <w:t xml:space="preserve">informāciju nosūtot uz e-pastu: </w:t>
            </w:r>
            <w:hyperlink r:id="rId9" w:history="1">
              <w:r w:rsidR="008C440E" w:rsidRPr="00E63BAB">
                <w:rPr>
                  <w:rStyle w:val="Hyperlink"/>
                  <w:sz w:val="24"/>
                  <w:szCs w:val="24"/>
                </w:rPr>
                <w:t>Irita.Kuzma@vm.gov.lv</w:t>
              </w:r>
            </w:hyperlink>
            <w:r w:rsidR="008C440E" w:rsidRPr="008C440E">
              <w:rPr>
                <w:color w:val="000000"/>
                <w:sz w:val="24"/>
                <w:szCs w:val="24"/>
              </w:rPr>
              <w:t>.</w:t>
            </w:r>
          </w:p>
        </w:tc>
      </w:tr>
      <w:tr w:rsidR="00600E65" w14:paraId="3B153FA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C581A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CAED1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9B6BCE" w14:textId="77777777" w:rsidR="004C5E6E" w:rsidRDefault="008B5F2A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1019711E" w14:textId="4F356A25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600E65" w14:paraId="0D97393E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389708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6D6D0" w14:textId="77777777" w:rsidR="004C5E6E" w:rsidRPr="00E5264E" w:rsidRDefault="008B5F2A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6BB949" w14:textId="43FD12ED" w:rsidR="007B72EA" w:rsidRDefault="0051656B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Irita Kuzma, </w:t>
            </w:r>
            <w:r w:rsidR="004C5E6E" w:rsidRPr="00E5264E">
              <w:rPr>
                <w:sz w:val="24"/>
                <w:szCs w:val="24"/>
              </w:rPr>
              <w:t>tālr</w:t>
            </w:r>
            <w:r w:rsidR="008B5F2A">
              <w:rPr>
                <w:sz w:val="24"/>
                <w:szCs w:val="24"/>
              </w:rPr>
              <w:t xml:space="preserve">unis </w:t>
            </w:r>
            <w:r w:rsidR="008B5F2A"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 xml:space="preserve">079, </w:t>
            </w:r>
            <w:hyperlink r:id="rId10" w:history="1">
              <w:r w:rsidRPr="00E63BAB">
                <w:rPr>
                  <w:rStyle w:val="Hyperlink"/>
                  <w:sz w:val="24"/>
                  <w:szCs w:val="24"/>
                </w:rPr>
                <w:t>Irita.Kuzma@vm.gov.lv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  <w:p w14:paraId="3F6B2C81" w14:textId="201E8DDF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7D7BB3F8" w14:textId="77777777" w:rsidR="001E79B7" w:rsidRDefault="008B5F2A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0DB436FE" w14:textId="48C12C32" w:rsidR="00DF3DDC" w:rsidRDefault="008B5F2A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BB53F3">
        <w:rPr>
          <w:sz w:val="24"/>
          <w:szCs w:val="24"/>
        </w:rPr>
        <w:t xml:space="preserve">: Ineta Būmane </w:t>
      </w:r>
    </w:p>
    <w:p w14:paraId="55AE7887" w14:textId="35C9641D" w:rsidR="00540148" w:rsidRPr="00DF3DDC" w:rsidRDefault="008B5F2A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152AD1C" w14:textId="77777777" w:rsidR="00540148" w:rsidRDefault="00540148" w:rsidP="001E79B7">
      <w:pPr>
        <w:rPr>
          <w:sz w:val="24"/>
          <w:szCs w:val="24"/>
        </w:rPr>
      </w:pPr>
    </w:p>
    <w:p w14:paraId="7BC7CB62" w14:textId="335C5390" w:rsidR="00DF3DDC" w:rsidRPr="00DF3DDC" w:rsidRDefault="008B5F2A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A2606A">
        <w:rPr>
          <w:sz w:val="24"/>
          <w:szCs w:val="24"/>
        </w:rPr>
        <w:t>e</w:t>
      </w:r>
      <w:r w:rsidR="001E79B7">
        <w:rPr>
          <w:sz w:val="24"/>
          <w:szCs w:val="24"/>
        </w:rPr>
        <w:t xml:space="preserve">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3E0D2C">
        <w:rPr>
          <w:noProof/>
          <w:sz w:val="24"/>
          <w:szCs w:val="24"/>
        </w:rPr>
        <w:t>Indra Dreika</w:t>
      </w:r>
    </w:p>
    <w:p w14:paraId="3AD261FE" w14:textId="77777777" w:rsidR="00134284" w:rsidRDefault="00134284">
      <w:pPr>
        <w:rPr>
          <w:sz w:val="24"/>
          <w:szCs w:val="24"/>
        </w:rPr>
      </w:pPr>
    </w:p>
    <w:p w14:paraId="6984E74F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8B5F2A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1800" w:right="1440" w:bottom="1418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3453" w14:textId="77777777" w:rsidR="00D637BF" w:rsidRDefault="008B5F2A">
      <w:pPr>
        <w:spacing w:after="0" w:line="240" w:lineRule="auto"/>
      </w:pPr>
      <w:r>
        <w:separator/>
      </w:r>
    </w:p>
  </w:endnote>
  <w:endnote w:type="continuationSeparator" w:id="0">
    <w:p w14:paraId="237D7A2C" w14:textId="77777777" w:rsidR="00D637BF" w:rsidRDefault="008B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A298" w14:textId="77777777" w:rsidR="001E79B7" w:rsidRPr="00774127" w:rsidRDefault="008B5F2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338766FA" w14:textId="77777777" w:rsidR="001E79B7" w:rsidRDefault="001E79B7">
    <w:pPr>
      <w:pStyle w:val="Footer"/>
    </w:pPr>
  </w:p>
  <w:p w14:paraId="6C8662C7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24BA" w14:textId="77777777" w:rsidR="001E79B7" w:rsidRPr="00774127" w:rsidRDefault="008B5F2A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46A6" w14:textId="77777777" w:rsidR="001E79B7" w:rsidRDefault="001E79B7">
    <w:pPr>
      <w:pStyle w:val="Footer"/>
    </w:pPr>
  </w:p>
  <w:p w14:paraId="1F4F406C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C2F4" w14:textId="77777777" w:rsidR="00D637BF" w:rsidRDefault="008B5F2A">
      <w:pPr>
        <w:spacing w:after="0" w:line="240" w:lineRule="auto"/>
      </w:pPr>
      <w:r>
        <w:separator/>
      </w:r>
    </w:p>
  </w:footnote>
  <w:footnote w:type="continuationSeparator" w:id="0">
    <w:p w14:paraId="1D4120B7" w14:textId="77777777" w:rsidR="00D637BF" w:rsidRDefault="008B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72C7" w14:textId="77777777" w:rsidR="00BC76BD" w:rsidRPr="00BC76BD" w:rsidRDefault="008B5F2A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F26EEF9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E6D8711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304538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8FC8D3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6F0697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A40C143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45C5E8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E3BC5B5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962EE7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32F08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D69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E7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5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2E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22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0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8E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4F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0D2C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0A76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656B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0E65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978CF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5F2A"/>
    <w:rsid w:val="008B7206"/>
    <w:rsid w:val="008C1931"/>
    <w:rsid w:val="008C3573"/>
    <w:rsid w:val="008C440E"/>
    <w:rsid w:val="008C73E8"/>
    <w:rsid w:val="008C74BB"/>
    <w:rsid w:val="008C76D1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06A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3F3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979D0"/>
    <w:rsid w:val="00CA16B9"/>
    <w:rsid w:val="00CA3CA5"/>
    <w:rsid w:val="00CB21C5"/>
    <w:rsid w:val="00CB4386"/>
    <w:rsid w:val="00CB4514"/>
    <w:rsid w:val="00CB4D2C"/>
    <w:rsid w:val="00CC0F03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637BF"/>
    <w:rsid w:val="00D73195"/>
    <w:rsid w:val="00D7394E"/>
    <w:rsid w:val="00D75CAE"/>
    <w:rsid w:val="00D76E82"/>
    <w:rsid w:val="00D779BA"/>
    <w:rsid w:val="00D83838"/>
    <w:rsid w:val="00D924B1"/>
    <w:rsid w:val="00DA0089"/>
    <w:rsid w:val="00DA016E"/>
    <w:rsid w:val="00DA25B5"/>
    <w:rsid w:val="00DA417D"/>
    <w:rsid w:val="00DB36FE"/>
    <w:rsid w:val="00DB3873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726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DBA9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51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ta.Kuzma@vm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rita.Kuzma@v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ta.Kuzma@vm.gov.l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Rimants Kuzma</cp:lastModifiedBy>
  <cp:revision>8</cp:revision>
  <dcterms:created xsi:type="dcterms:W3CDTF">2019-10-14T10:56:00Z</dcterms:created>
  <dcterms:modified xsi:type="dcterms:W3CDTF">2021-04-21T06:56:00Z</dcterms:modified>
</cp:coreProperties>
</file>