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6629"/>
        <w:gridCol w:w="1214"/>
      </w:tblGrid>
      <w:tr w:rsidR="00152602" w14:paraId="080CBDAA" w14:textId="77777777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7D9078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D1C1AB8" w14:textId="77777777" w:rsidR="006F49E4" w:rsidRPr="000E429F" w:rsidRDefault="00294B85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45A09294" wp14:editId="3C2403F8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A39D77E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152602" w14:paraId="60E6398D" w14:textId="77777777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6BD4E1C5" w14:textId="77777777" w:rsidR="00255074" w:rsidRDefault="00294B85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152602" w14:paraId="650C59E2" w14:textId="77777777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AC124" w14:textId="77777777" w:rsidR="00053169" w:rsidRDefault="00294B85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RĪKOJUMS</w:t>
            </w:r>
          </w:p>
          <w:p w14:paraId="18108A00" w14:textId="77777777" w:rsidR="00950DCC" w:rsidRDefault="00950DCC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8AE8A8" w14:textId="77777777" w:rsidR="00255074" w:rsidRDefault="00294B85" w:rsidP="00D538CC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14:paraId="25E11FAD" w14:textId="77777777" w:rsidR="00255074" w:rsidRPr="00FC1D1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52602" w14:paraId="14D81700" w14:textId="77777777" w:rsidTr="002912B2">
        <w:tc>
          <w:tcPr>
            <w:tcW w:w="4530" w:type="dxa"/>
          </w:tcPr>
          <w:p w14:paraId="4888EAE4" w14:textId="77777777" w:rsidR="008A634D" w:rsidRPr="00DE5DEA" w:rsidRDefault="00294B85" w:rsidP="002912B2">
            <w:pPr>
              <w:rPr>
                <w:rFonts w:ascii="Times New Roman" w:hAnsi="Times New Roman"/>
                <w:sz w:val="20"/>
                <w:szCs w:val="20"/>
              </w:rPr>
            </w:pPr>
            <w:r w:rsidRPr="00DE5DEA">
              <w:rPr>
                <w:rFonts w:ascii="Times New Roman" w:hAnsi="Times New Roman"/>
                <w:sz w:val="20"/>
                <w:szCs w:val="20"/>
              </w:rPr>
              <w:t>Datums skatāms laika zīmogā</w:t>
            </w:r>
          </w:p>
        </w:tc>
        <w:tc>
          <w:tcPr>
            <w:tcW w:w="4531" w:type="dxa"/>
          </w:tcPr>
          <w:p w14:paraId="47A80BC3" w14:textId="77777777" w:rsidR="008A634D" w:rsidRDefault="00294B85" w:rsidP="002912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54</w:t>
            </w:r>
          </w:p>
        </w:tc>
      </w:tr>
    </w:tbl>
    <w:p w14:paraId="40F728B3" w14:textId="77777777" w:rsidR="006541D3" w:rsidRPr="00FC1D1C" w:rsidRDefault="006541D3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52602" w14:paraId="47337AF3" w14:textId="77777777" w:rsidTr="005C1721">
        <w:tc>
          <w:tcPr>
            <w:tcW w:w="4530" w:type="dxa"/>
          </w:tcPr>
          <w:p w14:paraId="64E142BA" w14:textId="77777777" w:rsidR="00A477D6" w:rsidRPr="008A634D" w:rsidRDefault="00294B85" w:rsidP="005C1721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A634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Par </w:t>
            </w:r>
            <w:r w:rsidRPr="008A634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vakcinācijas procesa organizēšanas kārtību ārstniecības iestādēs</w:t>
            </w:r>
          </w:p>
        </w:tc>
        <w:tc>
          <w:tcPr>
            <w:tcW w:w="4531" w:type="dxa"/>
          </w:tcPr>
          <w:p w14:paraId="30C9C265" w14:textId="77777777" w:rsidR="00A477D6" w:rsidRPr="008A634D" w:rsidRDefault="00A477D6" w:rsidP="005C1721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2602" w14:paraId="5B0DFC64" w14:textId="77777777" w:rsidTr="005C1721">
        <w:tc>
          <w:tcPr>
            <w:tcW w:w="4530" w:type="dxa"/>
          </w:tcPr>
          <w:p w14:paraId="1D00A973" w14:textId="77777777" w:rsid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D716D34" w14:textId="77777777" w:rsidR="00F65E6D" w:rsidRDefault="00F65E6D" w:rsidP="00A477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3774838" w14:textId="77777777" w:rsidR="009D6999" w:rsidRPr="00BC3DB9" w:rsidRDefault="00294B85" w:rsidP="009D6999">
            <w:pPr>
              <w:widowControl/>
              <w:ind w:left="-99" w:right="-1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3DB9">
              <w:rPr>
                <w:rFonts w:ascii="Times New Roman" w:eastAsia="Times New Roman" w:hAnsi="Times New Roman"/>
                <w:sz w:val="28"/>
                <w:szCs w:val="28"/>
              </w:rPr>
              <w:t>Izdots saskaņā ar Ministru kabineta</w:t>
            </w:r>
          </w:p>
          <w:p w14:paraId="521A6E80" w14:textId="77777777" w:rsidR="00A477D6" w:rsidRPr="00A477D6" w:rsidRDefault="00294B85" w:rsidP="009D699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3DB9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20.gada 9.jūnija noteikumu Nr.360 “Epidemioloģiskās drošības pasākumi Covid-19 infekcijas izplatības ierobežošanai” 62.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punktu</w:t>
            </w:r>
          </w:p>
        </w:tc>
      </w:tr>
    </w:tbl>
    <w:p w14:paraId="429864A4" w14:textId="77777777" w:rsidR="00714D75" w:rsidRPr="00125809" w:rsidRDefault="00714D75" w:rsidP="00714D75">
      <w:pPr>
        <w:pStyle w:val="pamattekststabul"/>
        <w:spacing w:before="0" w:beforeAutospacing="0" w:after="0" w:afterAutospacing="0"/>
        <w:rPr>
          <w:sz w:val="28"/>
          <w:szCs w:val="28"/>
          <w:lang w:val="lv-LV"/>
        </w:rPr>
      </w:pPr>
    </w:p>
    <w:p w14:paraId="6B59B906" w14:textId="77777777" w:rsidR="009D6999" w:rsidRDefault="00294B85" w:rsidP="00714D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45DF">
        <w:rPr>
          <w:rFonts w:ascii="Times New Roman" w:hAnsi="Times New Roman"/>
          <w:sz w:val="28"/>
          <w:szCs w:val="28"/>
        </w:rPr>
        <w:t xml:space="preserve">Lai nodrošinātu </w:t>
      </w:r>
      <w:r w:rsidR="00021AA9">
        <w:rPr>
          <w:rFonts w:ascii="Times New Roman" w:hAnsi="Times New Roman"/>
          <w:sz w:val="28"/>
          <w:szCs w:val="28"/>
        </w:rPr>
        <w:t xml:space="preserve">vienota </w:t>
      </w:r>
      <w:r w:rsidRPr="001545DF">
        <w:rPr>
          <w:rFonts w:ascii="Times New Roman" w:hAnsi="Times New Roman"/>
          <w:sz w:val="28"/>
          <w:szCs w:val="28"/>
        </w:rPr>
        <w:t>vakcinācijas proces</w:t>
      </w:r>
      <w:r w:rsidR="00021AA9">
        <w:rPr>
          <w:rFonts w:ascii="Times New Roman" w:hAnsi="Times New Roman"/>
          <w:sz w:val="28"/>
          <w:szCs w:val="28"/>
        </w:rPr>
        <w:t>a organizēšanu</w:t>
      </w:r>
      <w:r w:rsidR="001F717E">
        <w:rPr>
          <w:rFonts w:ascii="Times New Roman" w:hAnsi="Times New Roman"/>
          <w:sz w:val="28"/>
          <w:szCs w:val="28"/>
        </w:rPr>
        <w:t>:</w:t>
      </w:r>
    </w:p>
    <w:p w14:paraId="6C1C0606" w14:textId="77777777" w:rsidR="008A634D" w:rsidRDefault="008A634D" w:rsidP="001549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01549" w14:textId="77777777" w:rsidR="009D042C" w:rsidRPr="006707B6" w:rsidRDefault="00294B85" w:rsidP="00154920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Ārstniecības iestādēm veikt personu vakcināciju pret Covid-19 infekciju atbilstoši </w:t>
      </w:r>
      <w:r w:rsidR="006C2A78" w:rsidRPr="006C2A78">
        <w:rPr>
          <w:rFonts w:ascii="Times New Roman" w:hAnsi="Times New Roman"/>
          <w:sz w:val="28"/>
          <w:szCs w:val="28"/>
          <w:shd w:val="clear" w:color="auto" w:fill="FFFFFF"/>
        </w:rPr>
        <w:t xml:space="preserve">Ministru kabineta 2020. gada 9. jūnija noteikumu Nr. 360 </w:t>
      </w:r>
      <w:r w:rsidR="006C2A78">
        <w:rPr>
          <w:rFonts w:ascii="Times New Roman" w:hAnsi="Times New Roman"/>
          <w:sz w:val="28"/>
          <w:szCs w:val="28"/>
          <w:shd w:val="clear" w:color="auto" w:fill="FFFFFF"/>
        </w:rPr>
        <w:t>“Epid</w:t>
      </w:r>
      <w:r w:rsidR="00010734">
        <w:rPr>
          <w:rFonts w:ascii="Times New Roman" w:hAnsi="Times New Roman"/>
          <w:sz w:val="28"/>
          <w:szCs w:val="28"/>
          <w:shd w:val="clear" w:color="auto" w:fill="FFFFFF"/>
        </w:rPr>
        <w:t>e</w:t>
      </w:r>
      <w:r w:rsidR="006C2A78">
        <w:rPr>
          <w:rFonts w:ascii="Times New Roman" w:hAnsi="Times New Roman"/>
          <w:sz w:val="28"/>
          <w:szCs w:val="28"/>
          <w:shd w:val="clear" w:color="auto" w:fill="FFFFFF"/>
        </w:rPr>
        <w:t>mioloģiskās drošības pasākumi Covid-19 infekcijas izplatības ierobežošanai</w:t>
      </w:r>
      <w:r w:rsidR="006C2A78" w:rsidRPr="006C2A78">
        <w:rPr>
          <w:rFonts w:ascii="Times New Roman" w:hAnsi="Times New Roman"/>
          <w:sz w:val="28"/>
          <w:szCs w:val="28"/>
          <w:shd w:val="clear" w:color="auto" w:fill="FFFFFF"/>
        </w:rPr>
        <w:t>" </w:t>
      </w:r>
      <w:r w:rsidR="00E41682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8A63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41682">
        <w:rPr>
          <w:rFonts w:ascii="Times New Roman" w:hAnsi="Times New Roman"/>
          <w:sz w:val="28"/>
          <w:szCs w:val="28"/>
          <w:shd w:val="clear" w:color="auto" w:fill="FFFFFF"/>
        </w:rPr>
        <w:t xml:space="preserve">pielikumā noteiktajam prioritāro grupu sadalījumam un </w:t>
      </w:r>
      <w:r w:rsidRPr="00B20102">
        <w:rPr>
          <w:rFonts w:ascii="Times New Roman" w:hAnsi="Times New Roman"/>
          <w:sz w:val="28"/>
          <w:szCs w:val="28"/>
        </w:rPr>
        <w:t>62.</w:t>
      </w:r>
      <w:r w:rsidRPr="00B20102">
        <w:rPr>
          <w:rFonts w:ascii="Times New Roman" w:hAnsi="Times New Roman"/>
          <w:sz w:val="28"/>
          <w:szCs w:val="28"/>
          <w:vertAlign w:val="superscript"/>
        </w:rPr>
        <w:t>1</w:t>
      </w:r>
      <w:r w:rsidR="006C2A78" w:rsidRPr="00B20102">
        <w:rPr>
          <w:rFonts w:ascii="Times New Roman" w:hAnsi="Times New Roman"/>
        </w:rPr>
        <w:t> </w:t>
      </w:r>
      <w:r w:rsidR="006C2A78" w:rsidRPr="00B20102">
        <w:rPr>
          <w:rFonts w:ascii="Times New Roman" w:hAnsi="Times New Roman"/>
          <w:sz w:val="28"/>
          <w:szCs w:val="28"/>
        </w:rPr>
        <w:t>punkt</w:t>
      </w:r>
      <w:r w:rsidR="00E41682" w:rsidRPr="00154920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ā </w:t>
      </w:r>
      <w:r w:rsidR="00E41682" w:rsidRPr="003C0839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noteiktaj</w:t>
      </w:r>
      <w:r w:rsidRPr="003C0839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iem principiem</w:t>
      </w:r>
      <w:r w:rsidR="00154920" w:rsidRPr="003C0839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14:paraId="0BDD43CD" w14:textId="77777777" w:rsidR="006707B6" w:rsidRDefault="006707B6" w:rsidP="006707B6">
      <w:pPr>
        <w:pStyle w:val="ListParagraph"/>
        <w:widowControl/>
        <w:spacing w:after="0" w:line="240" w:lineRule="auto"/>
        <w:ind w:left="107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27EBE61" w14:textId="77777777" w:rsidR="005C0EA2" w:rsidRDefault="00294B85" w:rsidP="00154920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O</w:t>
      </w:r>
      <w:r w:rsidR="00010734">
        <w:rPr>
          <w:rFonts w:ascii="Times New Roman" w:hAnsi="Times New Roman"/>
          <w:sz w:val="28"/>
          <w:szCs w:val="28"/>
          <w:shd w:val="clear" w:color="auto" w:fill="FFFFFF"/>
        </w:rPr>
        <w:t>rganizējot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prioritāro grupu</w:t>
      </w:r>
      <w:r w:rsidR="00010734">
        <w:rPr>
          <w:rFonts w:ascii="Times New Roman" w:hAnsi="Times New Roman"/>
          <w:sz w:val="28"/>
          <w:szCs w:val="28"/>
          <w:shd w:val="clear" w:color="auto" w:fill="FFFFFF"/>
        </w:rPr>
        <w:t xml:space="preserve"> vakcināciju</w:t>
      </w:r>
      <w:r w:rsidR="007F253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C2A78">
        <w:rPr>
          <w:rFonts w:ascii="Times New Roman" w:hAnsi="Times New Roman"/>
          <w:sz w:val="28"/>
          <w:szCs w:val="28"/>
          <w:shd w:val="clear" w:color="auto" w:fill="FFFFFF"/>
        </w:rPr>
        <w:t xml:space="preserve"> ā</w:t>
      </w:r>
      <w:r w:rsidR="0045478E" w:rsidRPr="00875130">
        <w:rPr>
          <w:rFonts w:ascii="Times New Roman" w:hAnsi="Times New Roman"/>
          <w:sz w:val="28"/>
          <w:szCs w:val="28"/>
          <w:shd w:val="clear" w:color="auto" w:fill="FFFFFF"/>
        </w:rPr>
        <w:t>rstniecības iestād</w:t>
      </w:r>
      <w:r>
        <w:rPr>
          <w:rFonts w:ascii="Times New Roman" w:hAnsi="Times New Roman"/>
          <w:sz w:val="28"/>
          <w:szCs w:val="28"/>
          <w:shd w:val="clear" w:color="auto" w:fill="FFFFFF"/>
        </w:rPr>
        <w:t>ēm</w:t>
      </w:r>
      <w:r w:rsidR="007F253F">
        <w:rPr>
          <w:rFonts w:ascii="Times New Roman" w:hAnsi="Times New Roman"/>
          <w:sz w:val="28"/>
          <w:szCs w:val="28"/>
          <w:shd w:val="clear" w:color="auto" w:fill="FFFFFF"/>
        </w:rPr>
        <w:t xml:space="preserve"> ievēro</w:t>
      </w:r>
      <w:r w:rsidR="00E41682">
        <w:rPr>
          <w:rFonts w:ascii="Times New Roman" w:hAnsi="Times New Roman"/>
          <w:sz w:val="28"/>
          <w:szCs w:val="28"/>
          <w:shd w:val="clear" w:color="auto" w:fill="FFFFFF"/>
        </w:rPr>
        <w:t>t</w:t>
      </w:r>
      <w:r w:rsidR="007F253F">
        <w:rPr>
          <w:rFonts w:ascii="Times New Roman" w:hAnsi="Times New Roman"/>
          <w:sz w:val="28"/>
          <w:szCs w:val="28"/>
          <w:shd w:val="clear" w:color="auto" w:fill="FFFFFF"/>
        </w:rPr>
        <w:t xml:space="preserve"> šādu kārtību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135A5DD7" w14:textId="77777777" w:rsidR="007F253F" w:rsidRPr="00B20102" w:rsidRDefault="00294B85" w:rsidP="005C0EA2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uzsāk </w:t>
      </w:r>
      <w:r w:rsidR="00E41682">
        <w:rPr>
          <w:rFonts w:ascii="Times New Roman" w:hAnsi="Times New Roman"/>
          <w:sz w:val="28"/>
          <w:szCs w:val="28"/>
        </w:rPr>
        <w:t>konkrētas</w:t>
      </w:r>
      <w:r>
        <w:rPr>
          <w:rFonts w:ascii="Times New Roman" w:hAnsi="Times New Roman"/>
          <w:sz w:val="28"/>
          <w:szCs w:val="28"/>
        </w:rPr>
        <w:t xml:space="preserve"> sabiedrības grupas vakcināciju</w:t>
      </w:r>
      <w:r w:rsidR="00AA7A7C">
        <w:rPr>
          <w:rFonts w:ascii="Times New Roman" w:hAnsi="Times New Roman"/>
          <w:sz w:val="28"/>
          <w:szCs w:val="28"/>
        </w:rPr>
        <w:t xml:space="preserve"> pēc attiecīgas informācijas saņemšanas no </w:t>
      </w:r>
      <w:r w:rsidR="00B20102">
        <w:rPr>
          <w:rFonts w:ascii="Times New Roman" w:hAnsi="Times New Roman"/>
          <w:sz w:val="28"/>
          <w:szCs w:val="28"/>
        </w:rPr>
        <w:t>Nacionālā veselības dienesta</w:t>
      </w:r>
      <w:r w:rsidR="00726AD1">
        <w:rPr>
          <w:rFonts w:ascii="Times New Roman" w:hAnsi="Times New Roman"/>
          <w:sz w:val="28"/>
          <w:szCs w:val="28"/>
        </w:rPr>
        <w:t xml:space="preserve">, </w:t>
      </w:r>
      <w:r w:rsidR="00B20102">
        <w:rPr>
          <w:rFonts w:ascii="Times New Roman" w:hAnsi="Times New Roman"/>
          <w:sz w:val="28"/>
          <w:szCs w:val="28"/>
        </w:rPr>
        <w:t>pamat</w:t>
      </w:r>
      <w:r w:rsidR="006B08AA">
        <w:rPr>
          <w:rFonts w:ascii="Times New Roman" w:hAnsi="Times New Roman"/>
          <w:sz w:val="28"/>
          <w:szCs w:val="28"/>
        </w:rPr>
        <w:t xml:space="preserve">ojoties </w:t>
      </w:r>
      <w:r w:rsidR="00B20102">
        <w:rPr>
          <w:rFonts w:ascii="Times New Roman" w:hAnsi="Times New Roman"/>
          <w:sz w:val="28"/>
          <w:szCs w:val="28"/>
        </w:rPr>
        <w:t xml:space="preserve"> </w:t>
      </w:r>
      <w:r w:rsidR="006B08AA">
        <w:rPr>
          <w:rFonts w:ascii="Times New Roman" w:hAnsi="Times New Roman"/>
          <w:sz w:val="28"/>
          <w:szCs w:val="28"/>
        </w:rPr>
        <w:t xml:space="preserve">uz </w:t>
      </w:r>
      <w:r w:rsidR="002F2356">
        <w:rPr>
          <w:rFonts w:ascii="Times New Roman" w:hAnsi="Times New Roman"/>
          <w:sz w:val="28"/>
          <w:szCs w:val="28"/>
        </w:rPr>
        <w:t>v</w:t>
      </w:r>
      <w:r w:rsidR="00B20102">
        <w:rPr>
          <w:rFonts w:ascii="Times New Roman" w:hAnsi="Times New Roman"/>
          <w:sz w:val="28"/>
          <w:szCs w:val="28"/>
        </w:rPr>
        <w:t>eselības ministra rīkojumu</w:t>
      </w:r>
      <w:r w:rsidR="00D81BCC">
        <w:rPr>
          <w:rFonts w:ascii="Times New Roman" w:hAnsi="Times New Roman"/>
          <w:sz w:val="28"/>
          <w:szCs w:val="28"/>
        </w:rPr>
        <w:t xml:space="preserve"> (to sabiedrības grupu vakcinācija, kas uzsākta pirms šī rīkojuma spēkā stāšanās tiek turpināta)</w:t>
      </w:r>
      <w:r w:rsidR="00E41682">
        <w:rPr>
          <w:rFonts w:ascii="Times New Roman" w:hAnsi="Times New Roman"/>
          <w:sz w:val="28"/>
          <w:szCs w:val="28"/>
        </w:rPr>
        <w:t>;</w:t>
      </w:r>
    </w:p>
    <w:p w14:paraId="0CCEC957" w14:textId="77777777" w:rsidR="006C2A78" w:rsidRPr="006C2A78" w:rsidRDefault="00294B85" w:rsidP="005C0EA2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pirms personas vakcinācijas uzsākšanas </w:t>
      </w:r>
      <w:r w:rsidR="00010734">
        <w:rPr>
          <w:rFonts w:ascii="Times New Roman" w:hAnsi="Times New Roman"/>
          <w:sz w:val="28"/>
          <w:szCs w:val="28"/>
          <w:shd w:val="clear" w:color="auto" w:fill="FFFFFF"/>
        </w:rPr>
        <w:t xml:space="preserve">pārliecinās vai personai būs iespēja veikt </w:t>
      </w:r>
      <w:proofErr w:type="spellStart"/>
      <w:r w:rsidR="00010734">
        <w:rPr>
          <w:rFonts w:ascii="Times New Roman" w:hAnsi="Times New Roman"/>
          <w:sz w:val="28"/>
          <w:szCs w:val="28"/>
          <w:shd w:val="clear" w:color="auto" w:fill="FFFFFF"/>
        </w:rPr>
        <w:t>balstvakcināciju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40EC5FA" w14:textId="77777777" w:rsidR="009F2B46" w:rsidRPr="00906B01" w:rsidRDefault="00294B85" w:rsidP="005C0EA2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nodrošina  personu reģistrāciju vakcinācijai, veidojot pie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rakstu vakcinācijai un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balstvakcinācijai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75CDEA93" w14:textId="77777777" w:rsidR="006775D7" w:rsidRPr="00B301B6" w:rsidRDefault="00294B85" w:rsidP="004D1C05">
      <w:pPr>
        <w:pStyle w:val="ListParagraph"/>
        <w:widowControl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01B6">
        <w:rPr>
          <w:rFonts w:ascii="Times New Roman" w:hAnsi="Times New Roman"/>
          <w:sz w:val="28"/>
          <w:szCs w:val="28"/>
          <w:shd w:val="clear" w:color="auto" w:fill="FFFFFF"/>
        </w:rPr>
        <w:t>ārstniecības iestādes, kas nav ģimenes ārstu prakses</w:t>
      </w:r>
      <w:r w:rsidR="00944534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EC26DF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301B6">
        <w:rPr>
          <w:rFonts w:ascii="Times New Roman" w:hAnsi="Times New Roman"/>
          <w:sz w:val="28"/>
          <w:szCs w:val="28"/>
          <w:shd w:val="clear" w:color="auto" w:fill="FFFFFF"/>
        </w:rPr>
        <w:t>saņemot vakcinējamo personu, kas reģistrējušās portālā “manavakcina.lv”</w:t>
      </w:r>
      <w:r w:rsidR="00EC26DF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r w:rsidR="00EC26DF" w:rsidRPr="00B301B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sarakstu no Nacionālā veselības dienesta. </w:t>
      </w:r>
      <w:r w:rsidR="001908E6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Ārstniecības iestāde  </w:t>
      </w:r>
      <w:r w:rsidR="00B301B6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veic personu </w:t>
      </w:r>
      <w:r w:rsidR="00E71472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pēc individuāliem pieteikumiem </w:t>
      </w:r>
      <w:r w:rsidR="001908E6" w:rsidRPr="00B301B6">
        <w:rPr>
          <w:rFonts w:ascii="Times New Roman" w:hAnsi="Times New Roman"/>
          <w:sz w:val="28"/>
          <w:szCs w:val="28"/>
          <w:shd w:val="clear" w:color="auto" w:fill="FFFFFF"/>
        </w:rPr>
        <w:t>vakcināciju</w:t>
      </w:r>
      <w:r w:rsidR="008454CF">
        <w:rPr>
          <w:rFonts w:ascii="Times New Roman" w:hAnsi="Times New Roman"/>
          <w:sz w:val="28"/>
          <w:szCs w:val="28"/>
          <w:shd w:val="clear" w:color="auto" w:fill="FFFFFF"/>
        </w:rPr>
        <w:t xml:space="preserve"> no šā rīkojuma 2.9.punktā minētā rezerves saraksta</w:t>
      </w:r>
      <w:r w:rsidR="00EC26DF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08E6" w:rsidRPr="00B301B6">
        <w:rPr>
          <w:rFonts w:ascii="Times New Roman" w:hAnsi="Times New Roman"/>
          <w:sz w:val="28"/>
          <w:szCs w:val="28"/>
          <w:shd w:val="clear" w:color="auto" w:fill="FFFFFF"/>
        </w:rPr>
        <w:t>tikai tādā gadījumā, ja netiek saņemti vakcinējamo personu saraksti no</w:t>
      </w:r>
      <w:r w:rsidR="00EC26DF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Nacionālā veselības dienesta</w:t>
      </w:r>
      <w:r w:rsidR="007946AE" w:rsidRPr="00B301B6">
        <w:rPr>
          <w:rFonts w:ascii="Times New Roman" w:hAnsi="Times New Roman"/>
          <w:sz w:val="28"/>
          <w:szCs w:val="28"/>
          <w:shd w:val="clear" w:color="auto" w:fill="FFFFFF"/>
        </w:rPr>
        <w:t>. Vakcinējamo personu</w:t>
      </w:r>
      <w:r w:rsidR="003646D2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46AE" w:rsidRPr="00B301B6">
        <w:rPr>
          <w:rFonts w:ascii="Times New Roman" w:hAnsi="Times New Roman"/>
          <w:sz w:val="28"/>
          <w:szCs w:val="28"/>
          <w:shd w:val="clear" w:color="auto" w:fill="FFFFFF"/>
        </w:rPr>
        <w:t>sarakstiem, kas izveidoti “manavakcina.lv” ir prioritāte</w:t>
      </w:r>
      <w:r w:rsidR="003646D2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46AE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pret ārstniecības iestādē saņemtiem </w:t>
      </w:r>
      <w:r w:rsidR="004D1C05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individuāliem </w:t>
      </w:r>
      <w:r w:rsidR="007946AE" w:rsidRPr="00B301B6">
        <w:rPr>
          <w:rFonts w:ascii="Times New Roman" w:hAnsi="Times New Roman"/>
          <w:sz w:val="28"/>
          <w:szCs w:val="28"/>
          <w:shd w:val="clear" w:color="auto" w:fill="FFFFFF"/>
        </w:rPr>
        <w:t>pieteikumiem</w:t>
      </w:r>
      <w:r w:rsidR="00013415" w:rsidRPr="00B301B6">
        <w:rPr>
          <w:rFonts w:ascii="Times New Roman" w:hAnsi="Times New Roman"/>
          <w:sz w:val="28"/>
          <w:szCs w:val="28"/>
          <w:shd w:val="clear" w:color="auto" w:fill="FFFFFF"/>
        </w:rPr>
        <w:t>, ņemot vērā prioritāri vakcinējamo grupu secību</w:t>
      </w:r>
      <w:r w:rsidR="00EC26DF" w:rsidRPr="00B301B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7ACF2D3" w14:textId="77777777" w:rsidR="00DC4EBB" w:rsidRPr="00B301B6" w:rsidRDefault="00294B85" w:rsidP="001908E6">
      <w:pPr>
        <w:pStyle w:val="ListParagraph"/>
        <w:widowControl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ārstniecības iestādes, kas ir ģimenes ārstu prakses</w:t>
      </w:r>
      <w:r w:rsidR="00D81BCC" w:rsidRPr="00B301B6">
        <w:rPr>
          <w:rFonts w:ascii="Times New Roman" w:hAnsi="Times New Roman"/>
          <w:sz w:val="28"/>
          <w:szCs w:val="28"/>
        </w:rPr>
        <w:t>,</w:t>
      </w:r>
      <w:r w:rsidR="001908E6" w:rsidRPr="00B301B6">
        <w:rPr>
          <w:rFonts w:ascii="Times New Roman" w:hAnsi="Times New Roman"/>
          <w:sz w:val="28"/>
          <w:szCs w:val="28"/>
        </w:rPr>
        <w:t xml:space="preserve"> </w:t>
      </w:r>
      <w:r w:rsidRPr="00B301B6">
        <w:rPr>
          <w:rFonts w:ascii="Times New Roman" w:hAnsi="Times New Roman"/>
          <w:sz w:val="28"/>
          <w:szCs w:val="28"/>
        </w:rPr>
        <w:t>saņemot vakcinējamo personu</w:t>
      </w:r>
      <w:r w:rsidR="001908E6" w:rsidRPr="00B301B6">
        <w:rPr>
          <w:rFonts w:ascii="Times New Roman" w:hAnsi="Times New Roman"/>
          <w:sz w:val="28"/>
          <w:szCs w:val="28"/>
        </w:rPr>
        <w:t xml:space="preserve"> (kas ir reģistrējušās attiecīgā ģimenes ārsta pacientu sarakstā)</w:t>
      </w:r>
      <w:r w:rsidRPr="00B301B6">
        <w:rPr>
          <w:rFonts w:ascii="Times New Roman" w:hAnsi="Times New Roman"/>
          <w:sz w:val="28"/>
          <w:szCs w:val="28"/>
        </w:rPr>
        <w:t>, kas reģistrējušās portālā “manavakcina.lv” sarakstu</w:t>
      </w:r>
      <w:r w:rsidR="00013415" w:rsidRPr="00B301B6">
        <w:rPr>
          <w:rFonts w:ascii="Times New Roman" w:hAnsi="Times New Roman"/>
          <w:sz w:val="28"/>
          <w:szCs w:val="28"/>
        </w:rPr>
        <w:t xml:space="preserve"> </w:t>
      </w:r>
      <w:r w:rsidRPr="00B301B6">
        <w:rPr>
          <w:rFonts w:ascii="Times New Roman" w:hAnsi="Times New Roman"/>
          <w:sz w:val="28"/>
          <w:szCs w:val="28"/>
        </w:rPr>
        <w:t>no Nacionālā veselības dienesta vai pieņemot individuālus pieteikumus vakcinācijai tieši konkrētajā ģimenes ārsta praksē</w:t>
      </w:r>
      <w:r w:rsidR="004D1C05" w:rsidRPr="00B301B6">
        <w:rPr>
          <w:rFonts w:ascii="Times New Roman" w:hAnsi="Times New Roman"/>
          <w:sz w:val="28"/>
          <w:szCs w:val="28"/>
        </w:rPr>
        <w:t>, ja attiecīgā ģimenes ārsta prakse ir noslēgusi attiecīgu līgumu ar Nacionālo veselības dienestu par vakcinācijas veikšanu</w:t>
      </w:r>
      <w:r w:rsidRPr="00B301B6">
        <w:rPr>
          <w:rFonts w:ascii="Times New Roman" w:hAnsi="Times New Roman"/>
          <w:sz w:val="28"/>
          <w:szCs w:val="28"/>
        </w:rPr>
        <w:t xml:space="preserve">. </w:t>
      </w:r>
      <w:r w:rsidR="001908E6" w:rsidRPr="00B301B6">
        <w:rPr>
          <w:rFonts w:ascii="Times New Roman" w:hAnsi="Times New Roman"/>
          <w:sz w:val="28"/>
          <w:szCs w:val="28"/>
        </w:rPr>
        <w:t>Ģimenes ārstu praksē saņemt</w:t>
      </w:r>
      <w:r w:rsidR="00E71472" w:rsidRPr="00B301B6">
        <w:rPr>
          <w:rFonts w:ascii="Times New Roman" w:hAnsi="Times New Roman"/>
          <w:sz w:val="28"/>
          <w:szCs w:val="28"/>
        </w:rPr>
        <w:t xml:space="preserve">ie </w:t>
      </w:r>
      <w:r w:rsidR="001908E6" w:rsidRPr="00B301B6">
        <w:rPr>
          <w:rFonts w:ascii="Times New Roman" w:hAnsi="Times New Roman"/>
          <w:sz w:val="28"/>
          <w:szCs w:val="28"/>
        </w:rPr>
        <w:t>individuāl</w:t>
      </w:r>
      <w:r w:rsidR="00E71472" w:rsidRPr="00B301B6">
        <w:rPr>
          <w:rFonts w:ascii="Times New Roman" w:hAnsi="Times New Roman"/>
          <w:sz w:val="28"/>
          <w:szCs w:val="28"/>
        </w:rPr>
        <w:t>ie</w:t>
      </w:r>
      <w:r w:rsidR="001908E6" w:rsidRPr="00B301B6">
        <w:rPr>
          <w:rFonts w:ascii="Times New Roman" w:hAnsi="Times New Roman"/>
          <w:sz w:val="28"/>
          <w:szCs w:val="28"/>
        </w:rPr>
        <w:t xml:space="preserve"> </w:t>
      </w:r>
      <w:r w:rsidR="00B624E4" w:rsidRPr="00B301B6">
        <w:rPr>
          <w:rFonts w:ascii="Times New Roman" w:hAnsi="Times New Roman"/>
          <w:sz w:val="28"/>
          <w:szCs w:val="28"/>
        </w:rPr>
        <w:t xml:space="preserve">personu pieteikumi, un portālā “manavakcina.lv” reģistrētie pieteikumi vakcinācijai ir vienlīdz prioritāri. </w:t>
      </w:r>
      <w:r w:rsidR="00944534" w:rsidRPr="00B301B6">
        <w:rPr>
          <w:rFonts w:ascii="Times New Roman" w:hAnsi="Times New Roman"/>
          <w:sz w:val="28"/>
          <w:szCs w:val="28"/>
        </w:rPr>
        <w:t xml:space="preserve">Ģimenes ārsti, veidojot pierakstu, iespēju robežās ņem vērā vakcinējamo personu vecumu un veselības stāvokli, priekšroku dodot vecākām personām </w:t>
      </w:r>
      <w:r w:rsidR="004D1C05" w:rsidRPr="00B301B6">
        <w:rPr>
          <w:rFonts w:ascii="Times New Roman" w:hAnsi="Times New Roman"/>
          <w:sz w:val="28"/>
          <w:szCs w:val="28"/>
        </w:rPr>
        <w:t>vai personām ar smagākām hroniskām slimībām atkarībā no vakcinējamās personu grupas</w:t>
      </w:r>
      <w:r w:rsidRPr="00B301B6">
        <w:rPr>
          <w:rFonts w:ascii="Times New Roman" w:hAnsi="Times New Roman"/>
          <w:sz w:val="28"/>
          <w:szCs w:val="28"/>
        </w:rPr>
        <w:t>;</w:t>
      </w:r>
    </w:p>
    <w:p w14:paraId="40EC785F" w14:textId="77777777" w:rsidR="005074A1" w:rsidRPr="00B301B6" w:rsidRDefault="00294B85" w:rsidP="005074A1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ģimenes ārsti, kuru prak</w:t>
      </w:r>
      <w:r w:rsidRPr="00B301B6">
        <w:rPr>
          <w:rFonts w:ascii="Times New Roman" w:hAnsi="Times New Roman"/>
          <w:sz w:val="28"/>
          <w:szCs w:val="28"/>
        </w:rPr>
        <w:t>se neveic vakcināciju pret Covid-19</w:t>
      </w:r>
      <w:r w:rsidR="000B3C9C" w:rsidRPr="00B301B6">
        <w:rPr>
          <w:rFonts w:ascii="Times New Roman" w:hAnsi="Times New Roman"/>
          <w:sz w:val="28"/>
          <w:szCs w:val="28"/>
        </w:rPr>
        <w:t>,</w:t>
      </w:r>
      <w:r w:rsidRPr="00B301B6">
        <w:rPr>
          <w:rFonts w:ascii="Times New Roman" w:hAnsi="Times New Roman"/>
          <w:sz w:val="28"/>
          <w:szCs w:val="28"/>
        </w:rPr>
        <w:t xml:space="preserve"> var rekomendēt personām, kas ir reģistrējušās attiecīgā ģimenes ārsta pacientu sarakstā</w:t>
      </w:r>
      <w:r w:rsidR="000B3C9C" w:rsidRPr="00B301B6">
        <w:rPr>
          <w:rFonts w:ascii="Times New Roman" w:hAnsi="Times New Roman"/>
          <w:sz w:val="28"/>
          <w:szCs w:val="28"/>
        </w:rPr>
        <w:t>,</w:t>
      </w:r>
      <w:r w:rsidRPr="00B301B6">
        <w:rPr>
          <w:rFonts w:ascii="Times New Roman" w:hAnsi="Times New Roman"/>
          <w:sz w:val="28"/>
          <w:szCs w:val="28"/>
        </w:rPr>
        <w:t xml:space="preserve"> reģistrēties vakcinācijai portālā </w:t>
      </w:r>
      <w:r w:rsidRPr="00B301B6">
        <w:rPr>
          <w:rFonts w:ascii="Times New Roman" w:hAnsi="Times New Roman"/>
          <w:sz w:val="28"/>
          <w:szCs w:val="28"/>
          <w:shd w:val="clear" w:color="auto" w:fill="FFFFFF"/>
        </w:rPr>
        <w:t>“manavakcina.lv”</w:t>
      </w:r>
      <w:r w:rsidRPr="00B301B6">
        <w:rPr>
          <w:rFonts w:ascii="Times New Roman" w:hAnsi="Times New Roman"/>
          <w:sz w:val="28"/>
          <w:szCs w:val="28"/>
        </w:rPr>
        <w:t xml:space="preserve">  vai nosūtīt minētās personas vakcinēties uz </w:t>
      </w:r>
      <w:r w:rsidR="00E71472" w:rsidRPr="00B301B6">
        <w:rPr>
          <w:rFonts w:ascii="Times New Roman" w:hAnsi="Times New Roman"/>
          <w:sz w:val="28"/>
          <w:szCs w:val="28"/>
        </w:rPr>
        <w:t xml:space="preserve">ārstniecības </w:t>
      </w:r>
      <w:r w:rsidRPr="00B301B6">
        <w:rPr>
          <w:rFonts w:ascii="Times New Roman" w:hAnsi="Times New Roman"/>
          <w:sz w:val="28"/>
          <w:szCs w:val="28"/>
        </w:rPr>
        <w:t>iestādi, kurai ir līg</w:t>
      </w:r>
      <w:r w:rsidRPr="00B301B6">
        <w:rPr>
          <w:rFonts w:ascii="Times New Roman" w:hAnsi="Times New Roman"/>
          <w:sz w:val="28"/>
          <w:szCs w:val="28"/>
        </w:rPr>
        <w:t xml:space="preserve">ums ar konkrēto ģimenes ārsta praksi par vakcinācijas pakalpojumu nodrošināšanu. Pacienti, kas </w:t>
      </w:r>
      <w:r w:rsidR="00BF23F8" w:rsidRPr="00B301B6">
        <w:rPr>
          <w:rFonts w:ascii="Times New Roman" w:hAnsi="Times New Roman"/>
          <w:sz w:val="28"/>
          <w:szCs w:val="28"/>
        </w:rPr>
        <w:t xml:space="preserve">piesakās </w:t>
      </w:r>
      <w:r w:rsidRPr="00B301B6">
        <w:rPr>
          <w:rFonts w:ascii="Times New Roman" w:hAnsi="Times New Roman"/>
          <w:sz w:val="28"/>
          <w:szCs w:val="28"/>
        </w:rPr>
        <w:t xml:space="preserve"> vakcinācijai ārstniecības iestādē</w:t>
      </w:r>
      <w:r w:rsidR="00BF23F8" w:rsidRPr="00B301B6">
        <w:rPr>
          <w:rFonts w:ascii="Times New Roman" w:hAnsi="Times New Roman"/>
          <w:sz w:val="28"/>
          <w:szCs w:val="28"/>
        </w:rPr>
        <w:t>, kurai ir noslēgts līgums ar konkrēto ģimenes ārsta praksi,</w:t>
      </w:r>
      <w:r w:rsidRPr="00B301B6">
        <w:rPr>
          <w:rFonts w:ascii="Times New Roman" w:hAnsi="Times New Roman"/>
          <w:sz w:val="28"/>
          <w:szCs w:val="28"/>
        </w:rPr>
        <w:t xml:space="preserve"> ar ģimenes ārsta nosūtījumu un personas, kas reģistrējušās vakcinācijai portālā “manavakcina.lv” ir vienlīdz prioritāras, </w:t>
      </w:r>
      <w:r w:rsidR="00BF23F8" w:rsidRPr="00B301B6">
        <w:rPr>
          <w:rFonts w:ascii="Times New Roman" w:hAnsi="Times New Roman"/>
          <w:sz w:val="28"/>
          <w:szCs w:val="28"/>
        </w:rPr>
        <w:t>ja</w:t>
      </w:r>
      <w:r w:rsidRPr="00B301B6">
        <w:rPr>
          <w:rFonts w:ascii="Times New Roman" w:hAnsi="Times New Roman"/>
          <w:sz w:val="28"/>
          <w:szCs w:val="28"/>
        </w:rPr>
        <w:t xml:space="preserve"> atrodas vienā prioritāri vakcinējamo personu grupā. Veidojot pierakstu, iespēju robežās ņem vērā vakcinējamo personu vecumu un ves</w:t>
      </w:r>
      <w:r w:rsidRPr="00B301B6">
        <w:rPr>
          <w:rFonts w:ascii="Times New Roman" w:hAnsi="Times New Roman"/>
          <w:sz w:val="28"/>
          <w:szCs w:val="28"/>
        </w:rPr>
        <w:t>elības stāvokli, priekšroku dodot vecākām personām vai personām ar smagākām hroniskām slimībām atkarībā no vakcinējamās personu grupas.</w:t>
      </w:r>
    </w:p>
    <w:p w14:paraId="4AD2A7C2" w14:textId="77777777" w:rsidR="00B20102" w:rsidRPr="006775D7" w:rsidRDefault="00294B85" w:rsidP="005C0EA2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kolektīvu vakcināciju  ārstniecības iestādes veic, saņemot pieteikumus kolektīvu vakcinācijai  no Nacionālā veselības di</w:t>
      </w:r>
      <w:r>
        <w:rPr>
          <w:rFonts w:ascii="Times New Roman" w:hAnsi="Times New Roman"/>
          <w:sz w:val="28"/>
          <w:szCs w:val="28"/>
        </w:rPr>
        <w:t>enesta;</w:t>
      </w:r>
    </w:p>
    <w:p w14:paraId="0E7A8FC0" w14:textId="77777777" w:rsidR="006775D7" w:rsidRDefault="00294B85" w:rsidP="00010734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5D7">
        <w:rPr>
          <w:rFonts w:ascii="Times New Roman" w:hAnsi="Times New Roman"/>
          <w:sz w:val="28"/>
          <w:szCs w:val="28"/>
        </w:rPr>
        <w:t>veidojot pierakstu vakcinācijai</w:t>
      </w:r>
      <w:r w:rsidR="00BF1073">
        <w:rPr>
          <w:rFonts w:ascii="Times New Roman" w:hAnsi="Times New Roman"/>
          <w:sz w:val="28"/>
          <w:szCs w:val="28"/>
        </w:rPr>
        <w:t>,</w:t>
      </w:r>
      <w:r w:rsidRPr="006775D7">
        <w:rPr>
          <w:rFonts w:ascii="Times New Roman" w:hAnsi="Times New Roman"/>
          <w:sz w:val="28"/>
          <w:szCs w:val="28"/>
        </w:rPr>
        <w:t xml:space="preserve"> prioritārā kārtā tiek nodrošināta vakcinācija personām, kam ir paredzēta </w:t>
      </w:r>
      <w:proofErr w:type="spellStart"/>
      <w:r w:rsidRPr="006775D7">
        <w:rPr>
          <w:rFonts w:ascii="Times New Roman" w:hAnsi="Times New Roman"/>
          <w:sz w:val="28"/>
          <w:szCs w:val="28"/>
        </w:rPr>
        <w:t>balstvakcinācija</w:t>
      </w:r>
      <w:proofErr w:type="spellEnd"/>
      <w:r>
        <w:rPr>
          <w:rFonts w:ascii="Times New Roman" w:hAnsi="Times New Roman"/>
          <w:sz w:val="28"/>
          <w:szCs w:val="28"/>
        </w:rPr>
        <w:t xml:space="preserve"> vai personām, kas atrodas augstākā prioritāri vakcinējamā grupā;</w:t>
      </w:r>
    </w:p>
    <w:p w14:paraId="0EE97D2A" w14:textId="77777777" w:rsidR="00010734" w:rsidRPr="006775D7" w:rsidRDefault="00294B85" w:rsidP="00010734">
      <w:pPr>
        <w:pStyle w:val="ListParagraph"/>
        <w:widowControl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r w:rsidRPr="006775D7">
        <w:rPr>
          <w:rFonts w:ascii="Times New Roman" w:hAnsi="Times New Roman"/>
          <w:sz w:val="28"/>
          <w:szCs w:val="28"/>
          <w:shd w:val="clear" w:color="auto" w:fill="FFFFFF"/>
        </w:rPr>
        <w:t>odrošina vakcinēj</w:t>
      </w:r>
      <w:r w:rsidR="008454CF">
        <w:rPr>
          <w:rFonts w:ascii="Times New Roman" w:hAnsi="Times New Roman"/>
          <w:sz w:val="28"/>
          <w:szCs w:val="28"/>
          <w:shd w:val="clear" w:color="auto" w:fill="FFFFFF"/>
        </w:rPr>
        <w:t>amām personām</w:t>
      </w:r>
      <w:r w:rsidRPr="006775D7">
        <w:rPr>
          <w:rFonts w:ascii="Times New Roman" w:hAnsi="Times New Roman"/>
          <w:sz w:val="28"/>
          <w:szCs w:val="28"/>
          <w:shd w:val="clear" w:color="auto" w:fill="FFFFFF"/>
        </w:rPr>
        <w:t xml:space="preserve"> pieejamu informāciju par piet</w:t>
      </w:r>
      <w:r w:rsidR="00BF1073">
        <w:rPr>
          <w:rFonts w:ascii="Times New Roman" w:hAnsi="Times New Roman"/>
          <w:sz w:val="28"/>
          <w:szCs w:val="28"/>
          <w:shd w:val="clear" w:color="auto" w:fill="FFFFFF"/>
        </w:rPr>
        <w:t>ei</w:t>
      </w:r>
      <w:r w:rsidRPr="006775D7">
        <w:rPr>
          <w:rFonts w:ascii="Times New Roman" w:hAnsi="Times New Roman"/>
          <w:sz w:val="28"/>
          <w:szCs w:val="28"/>
          <w:shd w:val="clear" w:color="auto" w:fill="FFFFFF"/>
        </w:rPr>
        <w:t xml:space="preserve">kšanās iespējām un kārtību konkrētā vakcinācijas iestādē, </w:t>
      </w:r>
      <w:r w:rsidR="009936CA">
        <w:rPr>
          <w:rFonts w:ascii="Times New Roman" w:hAnsi="Times New Roman"/>
          <w:sz w:val="28"/>
          <w:szCs w:val="28"/>
          <w:shd w:val="clear" w:color="auto" w:fill="FFFFFF"/>
        </w:rPr>
        <w:t xml:space="preserve">aktuālākajām prioritārajām sabiedrības grupām, kuru vakcinācija konkrētajā iestādē ir uzsākta, </w:t>
      </w:r>
      <w:r w:rsidRPr="006775D7">
        <w:rPr>
          <w:rFonts w:ascii="Times New Roman" w:hAnsi="Times New Roman"/>
          <w:sz w:val="28"/>
          <w:szCs w:val="28"/>
        </w:rPr>
        <w:t>publicējot to iestādes mājaslapā</w:t>
      </w:r>
      <w:r w:rsidR="00BF1073">
        <w:rPr>
          <w:rFonts w:ascii="Times New Roman" w:hAnsi="Times New Roman"/>
          <w:sz w:val="28"/>
          <w:szCs w:val="28"/>
        </w:rPr>
        <w:t xml:space="preserve"> (neattiecas uz ģimenes ārsta praksi)</w:t>
      </w:r>
      <w:r w:rsidRPr="006775D7">
        <w:rPr>
          <w:rFonts w:ascii="Times New Roman" w:hAnsi="Times New Roman"/>
          <w:sz w:val="28"/>
          <w:szCs w:val="28"/>
        </w:rPr>
        <w:t>;</w:t>
      </w:r>
    </w:p>
    <w:p w14:paraId="2E736184" w14:textId="77777777" w:rsidR="00010734" w:rsidRDefault="00294B85" w:rsidP="00010734">
      <w:pPr>
        <w:pStyle w:val="tv213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nodrošina vakcinācijas pakalpojumu pieejamību svētku dienās un brīvdienās, ja ārstniecības iestādē ir pieejamas vakcīnu devas vakcinācijai</w:t>
      </w:r>
      <w:r w:rsidR="00BF1073">
        <w:rPr>
          <w:sz w:val="28"/>
          <w:szCs w:val="28"/>
        </w:rPr>
        <w:t xml:space="preserve"> (neattiecas uz ģimenes ārsta praksi)</w:t>
      </w:r>
      <w:r>
        <w:rPr>
          <w:sz w:val="28"/>
          <w:szCs w:val="28"/>
        </w:rPr>
        <w:t>;</w:t>
      </w:r>
    </w:p>
    <w:p w14:paraId="1B70D3B5" w14:textId="77777777" w:rsidR="000512CB" w:rsidRPr="000512CB" w:rsidRDefault="00294B85" w:rsidP="000512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14">
        <w:rPr>
          <w:rFonts w:ascii="Times New Roman" w:hAnsi="Times New Roman"/>
          <w:sz w:val="28"/>
          <w:szCs w:val="28"/>
        </w:rPr>
        <w:t>lai novērstu vakcīnu devu zudumus,</w:t>
      </w:r>
      <w:r>
        <w:rPr>
          <w:rFonts w:ascii="Times New Roman" w:hAnsi="Times New Roman"/>
          <w:sz w:val="28"/>
          <w:szCs w:val="28"/>
        </w:rPr>
        <w:t xml:space="preserve"> vakcinācijas iestāde veido vakcinējamo personu rezerves sarakstus</w:t>
      </w:r>
      <w:r w:rsidR="00B20102">
        <w:rPr>
          <w:rFonts w:ascii="Times New Roman" w:hAnsi="Times New Roman"/>
          <w:sz w:val="28"/>
          <w:szCs w:val="28"/>
        </w:rPr>
        <w:t xml:space="preserve"> no aktuālās prioritāri vakcinējamās vai nākamās prioritāri vakcinējamās sabiedrības grupas</w:t>
      </w:r>
      <w:r>
        <w:rPr>
          <w:rFonts w:ascii="Times New Roman" w:hAnsi="Times New Roman"/>
          <w:sz w:val="28"/>
          <w:szCs w:val="28"/>
        </w:rPr>
        <w:t>, lai varētu operatīvi nod</w:t>
      </w:r>
      <w:r>
        <w:rPr>
          <w:rFonts w:ascii="Times New Roman" w:hAnsi="Times New Roman"/>
          <w:sz w:val="28"/>
          <w:szCs w:val="28"/>
        </w:rPr>
        <w:t>rošināt to vakcinējamo personu aizvietošanu, kas nav ieradušās uz vakcināciju;</w:t>
      </w:r>
    </w:p>
    <w:p w14:paraId="5276768F" w14:textId="77777777" w:rsidR="0028242B" w:rsidRPr="00785D7C" w:rsidRDefault="00294B85" w:rsidP="001169D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D7C">
        <w:rPr>
          <w:rFonts w:ascii="Times New Roman" w:hAnsi="Times New Roman"/>
          <w:sz w:val="28"/>
          <w:szCs w:val="28"/>
        </w:rPr>
        <w:t>plāno prioritāri vakcinējamo pers</w:t>
      </w:r>
      <w:r w:rsidR="000512CB" w:rsidRPr="00785D7C">
        <w:rPr>
          <w:rFonts w:ascii="Times New Roman" w:hAnsi="Times New Roman"/>
          <w:sz w:val="28"/>
          <w:szCs w:val="28"/>
        </w:rPr>
        <w:t>o</w:t>
      </w:r>
      <w:r w:rsidRPr="00785D7C">
        <w:rPr>
          <w:rFonts w:ascii="Times New Roman" w:hAnsi="Times New Roman"/>
          <w:sz w:val="28"/>
          <w:szCs w:val="28"/>
        </w:rPr>
        <w:t xml:space="preserve">nu vakcināciju tā, lai nodrošinātu optimālu vakcīnu </w:t>
      </w:r>
      <w:proofErr w:type="spellStart"/>
      <w:r w:rsidRPr="00785D7C">
        <w:rPr>
          <w:rFonts w:ascii="Times New Roman" w:hAnsi="Times New Roman"/>
          <w:sz w:val="28"/>
          <w:szCs w:val="28"/>
        </w:rPr>
        <w:t>daudzdevu</w:t>
      </w:r>
      <w:proofErr w:type="spellEnd"/>
      <w:r w:rsidRPr="00785D7C">
        <w:rPr>
          <w:rFonts w:ascii="Times New Roman" w:hAnsi="Times New Roman"/>
          <w:sz w:val="28"/>
          <w:szCs w:val="28"/>
        </w:rPr>
        <w:t xml:space="preserve"> flakonu izlietojumu un novērstu vakcīnu devu zudumus. Tomēr, ja vakcinācijas dien</w:t>
      </w:r>
      <w:r w:rsidRPr="00785D7C">
        <w:rPr>
          <w:rFonts w:ascii="Times New Roman" w:hAnsi="Times New Roman"/>
          <w:sz w:val="28"/>
          <w:szCs w:val="28"/>
        </w:rPr>
        <w:t>as beigās ārstniecības iestādē veidojas neizlieto</w:t>
      </w:r>
      <w:r w:rsidR="00F41FCD" w:rsidRPr="00785D7C">
        <w:rPr>
          <w:rFonts w:ascii="Times New Roman" w:hAnsi="Times New Roman"/>
          <w:sz w:val="28"/>
          <w:szCs w:val="28"/>
        </w:rPr>
        <w:t>to</w:t>
      </w:r>
      <w:r w:rsidRPr="00785D7C">
        <w:rPr>
          <w:rFonts w:ascii="Times New Roman" w:hAnsi="Times New Roman"/>
          <w:sz w:val="28"/>
          <w:szCs w:val="28"/>
        </w:rPr>
        <w:t xml:space="preserve"> vakcīnu devu </w:t>
      </w:r>
      <w:r w:rsidR="001169D1" w:rsidRPr="00785D7C">
        <w:rPr>
          <w:rFonts w:ascii="Times New Roman" w:hAnsi="Times New Roman"/>
          <w:sz w:val="28"/>
          <w:szCs w:val="28"/>
        </w:rPr>
        <w:t>uzkrājums</w:t>
      </w:r>
      <w:r w:rsidRPr="00785D7C">
        <w:rPr>
          <w:rFonts w:ascii="Times New Roman" w:hAnsi="Times New Roman"/>
          <w:sz w:val="28"/>
          <w:szCs w:val="28"/>
        </w:rPr>
        <w:t xml:space="preserve">, kuras nav iespējams saglabāt uz nākamo vakcinācijas dienu, var tikt vakcinētas personas arī ārpus </w:t>
      </w:r>
      <w:r w:rsidR="00F41FCD" w:rsidRPr="00785D7C">
        <w:rPr>
          <w:rFonts w:ascii="Times New Roman" w:hAnsi="Times New Roman"/>
          <w:sz w:val="28"/>
          <w:szCs w:val="28"/>
        </w:rPr>
        <w:t>noteiktās prioritāri vakcinējamās grupas.</w:t>
      </w:r>
      <w:r w:rsidR="001169D1" w:rsidRPr="00785D7C">
        <w:rPr>
          <w:rFonts w:ascii="Times New Roman" w:hAnsi="Times New Roman"/>
          <w:sz w:val="28"/>
          <w:szCs w:val="28"/>
        </w:rPr>
        <w:t xml:space="preserve"> </w:t>
      </w:r>
      <w:r w:rsidR="001169D1" w:rsidRPr="00785D7C">
        <w:rPr>
          <w:rFonts w:ascii="Times New Roman" w:hAnsi="Times New Roman"/>
          <w:sz w:val="28"/>
          <w:szCs w:val="28"/>
          <w:shd w:val="clear" w:color="auto" w:fill="FFFFFF"/>
        </w:rPr>
        <w:t>Šādu personu skaits nedrīkst būt lielāks kā flakonā ietilpstošo devu skaits mīnus viena. Personu, kas neietilpst attiecīgajās prioritārajās grupās vakcinācija ir jādokumentē un jāpamato.</w:t>
      </w:r>
      <w:r w:rsidR="00DB656D">
        <w:rPr>
          <w:rFonts w:ascii="Times New Roman" w:hAnsi="Times New Roman"/>
          <w:sz w:val="28"/>
          <w:szCs w:val="28"/>
          <w:shd w:val="clear" w:color="auto" w:fill="FFFFFF"/>
        </w:rPr>
        <w:t xml:space="preserve"> Tāpat ir jādokumentē un jāpamato </w:t>
      </w:r>
      <w:r w:rsidR="00726AD1">
        <w:rPr>
          <w:rFonts w:ascii="Times New Roman" w:hAnsi="Times New Roman"/>
          <w:sz w:val="28"/>
          <w:szCs w:val="28"/>
          <w:shd w:val="clear" w:color="auto" w:fill="FFFFFF"/>
        </w:rPr>
        <w:t>norakstītās</w:t>
      </w:r>
      <w:r w:rsidR="00DB656D">
        <w:rPr>
          <w:rFonts w:ascii="Times New Roman" w:hAnsi="Times New Roman"/>
          <w:sz w:val="28"/>
          <w:szCs w:val="28"/>
          <w:shd w:val="clear" w:color="auto" w:fill="FFFFFF"/>
        </w:rPr>
        <w:t xml:space="preserve"> devas, ja </w:t>
      </w:r>
      <w:r w:rsidR="00EF68D2">
        <w:rPr>
          <w:rFonts w:ascii="Times New Roman" w:hAnsi="Times New Roman"/>
          <w:sz w:val="28"/>
          <w:szCs w:val="28"/>
          <w:shd w:val="clear" w:color="auto" w:fill="FFFFFF"/>
        </w:rPr>
        <w:t>šāda rīcība notiek.</w:t>
      </w:r>
    </w:p>
    <w:p w14:paraId="25AF2172" w14:textId="77777777" w:rsidR="00A41014" w:rsidRPr="00B301B6" w:rsidRDefault="00294B85" w:rsidP="00010734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ja ārstniecības  iestāde</w:t>
      </w:r>
      <w:r w:rsidR="000A0E1F" w:rsidRPr="00B301B6">
        <w:rPr>
          <w:rFonts w:ascii="Times New Roman" w:hAnsi="Times New Roman"/>
          <w:sz w:val="28"/>
          <w:szCs w:val="28"/>
        </w:rPr>
        <w:t>,</w:t>
      </w:r>
      <w:r w:rsidRPr="00B301B6">
        <w:rPr>
          <w:rFonts w:ascii="Times New Roman" w:hAnsi="Times New Roman"/>
          <w:sz w:val="28"/>
          <w:szCs w:val="28"/>
        </w:rPr>
        <w:t xml:space="preserve"> </w:t>
      </w:r>
      <w:r w:rsidR="002569EF" w:rsidRPr="00B301B6">
        <w:rPr>
          <w:rFonts w:ascii="Times New Roman" w:hAnsi="Times New Roman"/>
          <w:sz w:val="28"/>
          <w:szCs w:val="28"/>
        </w:rPr>
        <w:t>aktualizējot</w:t>
      </w:r>
      <w:r w:rsidRPr="00B301B6">
        <w:rPr>
          <w:rFonts w:ascii="Times New Roman" w:hAnsi="Times New Roman"/>
          <w:sz w:val="28"/>
          <w:szCs w:val="28"/>
        </w:rPr>
        <w:t xml:space="preserve"> pierakstu uz vakcināciju</w:t>
      </w:r>
      <w:r w:rsidR="000A0E1F" w:rsidRPr="00B301B6">
        <w:rPr>
          <w:rFonts w:ascii="Times New Roman" w:hAnsi="Times New Roman"/>
          <w:sz w:val="28"/>
          <w:szCs w:val="28"/>
        </w:rPr>
        <w:t>,</w:t>
      </w:r>
      <w:r w:rsidRPr="00B301B6">
        <w:rPr>
          <w:rFonts w:ascii="Times New Roman" w:hAnsi="Times New Roman"/>
          <w:sz w:val="28"/>
          <w:szCs w:val="28"/>
        </w:rPr>
        <w:t xml:space="preserve"> konstatē, ka nav iespējams nodrošināt pilnu vakcinācijas kapacitāti</w:t>
      </w:r>
      <w:r w:rsidR="002569EF" w:rsidRPr="00B301B6">
        <w:rPr>
          <w:rFonts w:ascii="Times New Roman" w:hAnsi="Times New Roman"/>
          <w:sz w:val="28"/>
          <w:szCs w:val="28"/>
        </w:rPr>
        <w:t xml:space="preserve"> (vakcīnu devu skaits un vietas pierakstam uz vakcināciju ir pietiekamā apjomā, lai nodrošinātu vakcinācijas un </w:t>
      </w:r>
      <w:proofErr w:type="spellStart"/>
      <w:r w:rsidRPr="00B301B6">
        <w:rPr>
          <w:rFonts w:ascii="Times New Roman" w:hAnsi="Times New Roman"/>
          <w:sz w:val="28"/>
          <w:szCs w:val="28"/>
        </w:rPr>
        <w:t>balstvakcinācijas</w:t>
      </w:r>
      <w:proofErr w:type="spellEnd"/>
      <w:r w:rsidRPr="00B301B6">
        <w:rPr>
          <w:rFonts w:ascii="Times New Roman" w:hAnsi="Times New Roman"/>
          <w:sz w:val="28"/>
          <w:szCs w:val="28"/>
        </w:rPr>
        <w:t xml:space="preserve"> pieejamīb</w:t>
      </w:r>
      <w:r w:rsidR="00A728A2" w:rsidRPr="00B301B6">
        <w:rPr>
          <w:rFonts w:ascii="Times New Roman" w:hAnsi="Times New Roman"/>
          <w:sz w:val="28"/>
          <w:szCs w:val="28"/>
        </w:rPr>
        <w:t>u</w:t>
      </w:r>
      <w:r w:rsidR="002569EF" w:rsidRPr="00B301B6">
        <w:rPr>
          <w:rFonts w:ascii="Times New Roman" w:hAnsi="Times New Roman"/>
          <w:sz w:val="28"/>
          <w:szCs w:val="28"/>
        </w:rPr>
        <w:t>)</w:t>
      </w:r>
      <w:r w:rsidR="0028242B" w:rsidRPr="00B301B6">
        <w:rPr>
          <w:rFonts w:ascii="Times New Roman" w:hAnsi="Times New Roman"/>
          <w:sz w:val="28"/>
          <w:szCs w:val="28"/>
        </w:rPr>
        <w:t>,</w:t>
      </w:r>
      <w:r w:rsidRPr="00B301B6">
        <w:rPr>
          <w:rFonts w:ascii="Times New Roman" w:hAnsi="Times New Roman"/>
          <w:sz w:val="28"/>
          <w:szCs w:val="28"/>
        </w:rPr>
        <w:t xml:space="preserve"> iestāde</w:t>
      </w:r>
      <w:r w:rsidRPr="00B301B6">
        <w:rPr>
          <w:rFonts w:ascii="Times New Roman" w:hAnsi="Times New Roman"/>
          <w:sz w:val="28"/>
          <w:szCs w:val="28"/>
        </w:rPr>
        <w:t xml:space="preserve"> </w:t>
      </w:r>
      <w:r w:rsidR="006F2581" w:rsidRPr="00B301B6">
        <w:rPr>
          <w:rFonts w:ascii="Times New Roman" w:hAnsi="Times New Roman"/>
          <w:sz w:val="28"/>
          <w:szCs w:val="28"/>
        </w:rPr>
        <w:t>par šo faktu informē Vakcinācijas projekta biroju</w:t>
      </w:r>
      <w:r w:rsidR="00467531" w:rsidRPr="00B301B6">
        <w:rPr>
          <w:rFonts w:ascii="Times New Roman" w:hAnsi="Times New Roman"/>
          <w:sz w:val="28"/>
          <w:szCs w:val="28"/>
        </w:rPr>
        <w:t>. Vakcinācijas projekta birojs</w:t>
      </w:r>
      <w:r w:rsidR="006F2581" w:rsidRPr="00B301B6">
        <w:rPr>
          <w:rFonts w:ascii="Times New Roman" w:hAnsi="Times New Roman"/>
          <w:sz w:val="28"/>
          <w:szCs w:val="28"/>
        </w:rPr>
        <w:t xml:space="preserve">  pārplāno vakcinējamo personu plūsmu uz konkrēto ārstniecības iestādi vai informē </w:t>
      </w:r>
      <w:r w:rsidR="006F2581" w:rsidRPr="00B301B6">
        <w:rPr>
          <w:rFonts w:ascii="Times New Roman" w:hAnsi="Times New Roman"/>
          <w:sz w:val="28"/>
          <w:szCs w:val="28"/>
          <w:shd w:val="clear" w:color="auto" w:fill="FFFFFF"/>
        </w:rPr>
        <w:t>Veselības ministrijas darba grupu sabiedrības vakcinācijai pret Covid-19 par nepieciešamību uzsākt jaunu prioritāri vakcinējamo grupu vakcināciju.</w:t>
      </w:r>
      <w:r w:rsidR="006F2581" w:rsidRPr="00B301B6">
        <w:rPr>
          <w:rFonts w:ascii="Times New Roman" w:hAnsi="Times New Roman"/>
          <w:sz w:val="28"/>
          <w:szCs w:val="28"/>
        </w:rPr>
        <w:t xml:space="preserve"> </w:t>
      </w:r>
    </w:p>
    <w:p w14:paraId="4AA2CF8E" w14:textId="77777777" w:rsidR="00A41014" w:rsidRPr="00A41014" w:rsidRDefault="00A41014" w:rsidP="00A41014">
      <w:pPr>
        <w:pStyle w:val="ListParagraph"/>
        <w:spacing w:after="0" w:line="240" w:lineRule="auto"/>
        <w:ind w:left="1794"/>
        <w:jc w:val="both"/>
        <w:rPr>
          <w:rFonts w:ascii="Times New Roman" w:hAnsi="Times New Roman"/>
          <w:sz w:val="28"/>
          <w:szCs w:val="28"/>
        </w:rPr>
      </w:pPr>
    </w:p>
    <w:p w14:paraId="63015CD1" w14:textId="77777777" w:rsidR="006C2A78" w:rsidRPr="002F2356" w:rsidRDefault="00294B85" w:rsidP="002F2356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 w:rsidR="00116E23">
        <w:rPr>
          <w:rFonts w:ascii="Times New Roman" w:hAnsi="Times New Roman"/>
          <w:sz w:val="28"/>
          <w:szCs w:val="28"/>
          <w:shd w:val="clear" w:color="auto" w:fill="FFFFFF"/>
        </w:rPr>
        <w:t>akcināciju pēc medicīniskām indikācijām pacientiem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, kur</w:t>
      </w:r>
      <w:r w:rsidR="00116E23" w:rsidRPr="002F2356">
        <w:rPr>
          <w:rFonts w:ascii="Times New Roman" w:hAnsi="Times New Roman"/>
          <w:sz w:val="28"/>
          <w:szCs w:val="28"/>
          <w:shd w:val="clear" w:color="auto" w:fill="FFFFFF"/>
        </w:rPr>
        <w:t>ie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m saskaņā ar ārsta lēmumu nepieciešama nopietna medicīniska manipulācija, tai skaitā augstu izmaksu vai augstas sarežģītības pakāpes 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operācija (piemēram, onkoloģiskie pacienti, pirms vai ķīmijterapijas laikā, pacienti un donori pirms orgānu vai cilmes šūnu transplantācijas, pacienti, kas ilgstoši uzturas stacionārā ārstniecības iestādē)</w:t>
      </w:r>
      <w:r w:rsidR="00116E23"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2CB"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ārstniecības 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iestādē</w:t>
      </w:r>
      <w:r w:rsidR="00116E23"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vei</w:t>
      </w:r>
      <w:r w:rsidR="00467531">
        <w:rPr>
          <w:rFonts w:ascii="Times New Roman" w:hAnsi="Times New Roman"/>
          <w:sz w:val="28"/>
          <w:szCs w:val="28"/>
          <w:shd w:val="clear" w:color="auto" w:fill="FFFFFF"/>
        </w:rPr>
        <w:t>kt</w:t>
      </w:r>
      <w:r w:rsidR="004875C5"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saskaņā ar ārsta nozīmējumu un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ņemot vērā:</w:t>
      </w:r>
    </w:p>
    <w:p w14:paraId="46529CC9" w14:textId="77777777" w:rsidR="006C2A78" w:rsidRDefault="00294B85" w:rsidP="006C2A78">
      <w:pPr>
        <w:widowControl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2B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Slimību profilakses un kontroles centra mājaslapā publicētā</w:t>
      </w:r>
      <w:r w:rsidR="00A173EB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rekomendācij</w:t>
      </w:r>
      <w:r w:rsidR="00A173EB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šādu pacientu vakcinācija</w:t>
      </w:r>
      <w:r w:rsidR="000512CB">
        <w:rPr>
          <w:rFonts w:ascii="Times New Roman" w:hAnsi="Times New Roman"/>
          <w:sz w:val="28"/>
          <w:szCs w:val="28"/>
        </w:rPr>
        <w:t>s organizēšanai</w:t>
      </w:r>
      <w:r w:rsidR="00010734">
        <w:rPr>
          <w:rFonts w:ascii="Times New Roman" w:hAnsi="Times New Roman"/>
          <w:sz w:val="28"/>
          <w:szCs w:val="28"/>
        </w:rPr>
        <w:t>;</w:t>
      </w:r>
    </w:p>
    <w:p w14:paraId="6A55A335" w14:textId="77777777" w:rsidR="00010734" w:rsidRDefault="00294B85" w:rsidP="006C2A78">
      <w:pPr>
        <w:widowControl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2B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ārstniecības iestādes noteikt</w:t>
      </w:r>
      <w:r w:rsidR="00A173EB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kārtīb</w:t>
      </w:r>
      <w:r w:rsidR="00A173EB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pacientu vakcinācijai pēc medicīniskām indikācijām, kas nosaka </w:t>
      </w:r>
      <w:r w:rsidR="00A173EB">
        <w:rPr>
          <w:rFonts w:ascii="Times New Roman" w:hAnsi="Times New Roman"/>
          <w:sz w:val="28"/>
          <w:szCs w:val="28"/>
        </w:rPr>
        <w:t>kārtību</w:t>
      </w:r>
      <w:r>
        <w:rPr>
          <w:rFonts w:ascii="Times New Roman" w:hAnsi="Times New Roman"/>
          <w:sz w:val="28"/>
          <w:szCs w:val="28"/>
        </w:rPr>
        <w:t xml:space="preserve"> pacienta nosūtīšanai uz vakcināciju, pacienta veselības stāvokļa novērtēšanai pirms un pēc vakcinācijas, kā arī pacienta </w:t>
      </w:r>
      <w:proofErr w:type="spellStart"/>
      <w:r>
        <w:rPr>
          <w:rFonts w:ascii="Times New Roman" w:hAnsi="Times New Roman"/>
          <w:sz w:val="28"/>
          <w:szCs w:val="28"/>
        </w:rPr>
        <w:t>balstvakcinācijas</w:t>
      </w:r>
      <w:proofErr w:type="spellEnd"/>
      <w:r>
        <w:rPr>
          <w:rFonts w:ascii="Times New Roman" w:hAnsi="Times New Roman"/>
          <w:sz w:val="28"/>
          <w:szCs w:val="28"/>
        </w:rPr>
        <w:t xml:space="preserve"> organizēšanu</w:t>
      </w:r>
      <w:r w:rsidR="007D2B1A">
        <w:rPr>
          <w:rFonts w:ascii="Times New Roman" w:hAnsi="Times New Roman"/>
          <w:sz w:val="28"/>
          <w:szCs w:val="28"/>
        </w:rPr>
        <w:t xml:space="preserve"> (neattiecas uz ģimenes ārstu praksēm)</w:t>
      </w:r>
      <w:r>
        <w:rPr>
          <w:rFonts w:ascii="Times New Roman" w:hAnsi="Times New Roman"/>
          <w:sz w:val="28"/>
          <w:szCs w:val="28"/>
        </w:rPr>
        <w:t>.</w:t>
      </w:r>
    </w:p>
    <w:p w14:paraId="72632070" w14:textId="77777777" w:rsidR="00316FA4" w:rsidRDefault="00316FA4" w:rsidP="00A41014">
      <w:pPr>
        <w:pStyle w:val="tv2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FE05003" w14:textId="77777777" w:rsidR="007D2B1A" w:rsidRPr="002F2356" w:rsidRDefault="00294B85" w:rsidP="002F2356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235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Personu ar hroniskām slimībām vakcināciju vei</w:t>
      </w:r>
      <w:r w:rsidR="00467531">
        <w:rPr>
          <w:rFonts w:ascii="Times New Roman" w:hAnsi="Times New Roman"/>
          <w:sz w:val="28"/>
          <w:szCs w:val="28"/>
          <w:shd w:val="clear" w:color="auto" w:fill="FFFFFF"/>
        </w:rPr>
        <w:t>kt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ņemot vērā Slimību profilakses un kontroles centra mājaslapā publicētās rekomendācijas personu ar hroniskām slimībām vakcinācijas organizēšanai:</w:t>
      </w:r>
    </w:p>
    <w:p w14:paraId="3B6A6F83" w14:textId="77777777" w:rsidR="007D2B1A" w:rsidRPr="008855E2" w:rsidRDefault="00294B85" w:rsidP="007D2B1A">
      <w:pPr>
        <w:pStyle w:val="ListParagraph"/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855E2">
        <w:rPr>
          <w:rFonts w:ascii="Times New Roman" w:hAnsi="Times New Roman"/>
          <w:sz w:val="28"/>
          <w:szCs w:val="28"/>
        </w:rPr>
        <w:t xml:space="preserve">4.1. </w:t>
      </w:r>
      <w:r w:rsidR="000512CB" w:rsidRPr="008855E2">
        <w:rPr>
          <w:rFonts w:ascii="Times New Roman" w:hAnsi="Times New Roman"/>
          <w:sz w:val="28"/>
          <w:szCs w:val="28"/>
        </w:rPr>
        <w:t>ārstniecības iestād</w:t>
      </w:r>
      <w:r w:rsidR="00467531">
        <w:rPr>
          <w:rFonts w:ascii="Times New Roman" w:hAnsi="Times New Roman"/>
          <w:sz w:val="28"/>
          <w:szCs w:val="28"/>
        </w:rPr>
        <w:t>ē</w:t>
      </w:r>
      <w:r w:rsidR="000512CB" w:rsidRPr="008855E2">
        <w:rPr>
          <w:rFonts w:ascii="Times New Roman" w:hAnsi="Times New Roman"/>
          <w:sz w:val="28"/>
          <w:szCs w:val="28"/>
        </w:rPr>
        <w:t xml:space="preserve"> saskaņā ar ārsta no</w:t>
      </w:r>
      <w:r w:rsidRPr="008855E2">
        <w:rPr>
          <w:rFonts w:ascii="Times New Roman" w:hAnsi="Times New Roman"/>
          <w:sz w:val="28"/>
          <w:szCs w:val="28"/>
        </w:rPr>
        <w:t xml:space="preserve">sūtījumu; </w:t>
      </w:r>
    </w:p>
    <w:p w14:paraId="7D44C80E" w14:textId="77777777" w:rsidR="00316FA4" w:rsidRDefault="00294B85" w:rsidP="007D2B1A">
      <w:pPr>
        <w:pStyle w:val="ListParagraph"/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855E2">
        <w:rPr>
          <w:rFonts w:ascii="Times New Roman" w:hAnsi="Times New Roman"/>
          <w:sz w:val="28"/>
          <w:szCs w:val="28"/>
        </w:rPr>
        <w:t>4.2. ģimenes ārsta praks</w:t>
      </w:r>
      <w:r w:rsidR="00467531">
        <w:rPr>
          <w:rFonts w:ascii="Times New Roman" w:hAnsi="Times New Roman"/>
          <w:sz w:val="28"/>
          <w:szCs w:val="28"/>
        </w:rPr>
        <w:t>ē</w:t>
      </w:r>
      <w:r w:rsidRPr="008855E2">
        <w:rPr>
          <w:rFonts w:ascii="Times New Roman" w:hAnsi="Times New Roman"/>
          <w:sz w:val="28"/>
          <w:szCs w:val="28"/>
        </w:rPr>
        <w:t xml:space="preserve"> ģimenes ārsta pacientu sarakstā reģistrētiem pacientiem</w:t>
      </w:r>
      <w:r w:rsidR="000512CB" w:rsidRPr="008855E2">
        <w:rPr>
          <w:rFonts w:ascii="Times New Roman" w:hAnsi="Times New Roman"/>
          <w:sz w:val="28"/>
          <w:szCs w:val="28"/>
        </w:rPr>
        <w:t>.</w:t>
      </w:r>
    </w:p>
    <w:p w14:paraId="52BBCEA0" w14:textId="77777777" w:rsidR="002B1B03" w:rsidRDefault="002B1B03" w:rsidP="007D2B1A">
      <w:pPr>
        <w:pStyle w:val="ListParagraph"/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9F2AE9D" w14:textId="77777777" w:rsidR="002B1B03" w:rsidRPr="008454CF" w:rsidRDefault="00294B85" w:rsidP="00E97871">
      <w:pPr>
        <w:pStyle w:val="ListParagraph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Vakcinācijas projekta birojam organizē</w:t>
      </w:r>
      <w:r w:rsidR="00B301B6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izbraukuma vakcināciju, ja tiek</w:t>
      </w:r>
      <w:r w:rsidR="008454CF">
        <w:rPr>
          <w:rFonts w:ascii="Times New Roman" w:hAnsi="Times New Roman"/>
          <w:sz w:val="28"/>
          <w:szCs w:val="28"/>
        </w:rPr>
        <w:t xml:space="preserve"> </w:t>
      </w:r>
      <w:r w:rsidRPr="008454CF">
        <w:rPr>
          <w:rFonts w:ascii="Times New Roman" w:hAnsi="Times New Roman"/>
          <w:sz w:val="28"/>
          <w:szCs w:val="28"/>
        </w:rPr>
        <w:t>konstatēts, ka konkrētā administratīvā teritorijā vakcinācijas procesa norisi kavē nepietiekama uz vietas pieejamo vakcinācij</w:t>
      </w:r>
      <w:r w:rsidRPr="008454CF">
        <w:rPr>
          <w:rFonts w:ascii="Times New Roman" w:hAnsi="Times New Roman"/>
          <w:sz w:val="28"/>
          <w:szCs w:val="28"/>
        </w:rPr>
        <w:t xml:space="preserve">ā iesaistīto ārstniecības iestāžu kapacitāte. </w:t>
      </w:r>
    </w:p>
    <w:p w14:paraId="3E217262" w14:textId="77777777" w:rsidR="006F2581" w:rsidRDefault="006F2581" w:rsidP="007D2B1A">
      <w:pPr>
        <w:pStyle w:val="ListParagraph"/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42E0008" w14:textId="77777777" w:rsidR="0070212C" w:rsidRPr="008454CF" w:rsidRDefault="00294B85" w:rsidP="00E97871">
      <w:pPr>
        <w:pStyle w:val="ListParagraph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Priekšlikumus pārejai uz jaunu sabiedrības prioritāri vakcinējamo grupu</w:t>
      </w:r>
      <w:r w:rsidR="008454CF">
        <w:rPr>
          <w:rFonts w:ascii="Times New Roman" w:hAnsi="Times New Roman"/>
          <w:sz w:val="28"/>
          <w:szCs w:val="28"/>
        </w:rPr>
        <w:t xml:space="preserve"> </w:t>
      </w:r>
      <w:r w:rsidRPr="008454CF">
        <w:rPr>
          <w:rFonts w:ascii="Times New Roman" w:hAnsi="Times New Roman"/>
          <w:sz w:val="28"/>
          <w:szCs w:val="28"/>
          <w:shd w:val="clear" w:color="auto" w:fill="FFFFFF"/>
        </w:rPr>
        <w:t xml:space="preserve">Veselības ministrijas darba grupai sabiedrības vakcinācijai pret Covid-19 </w:t>
      </w:r>
      <w:r w:rsidR="00467531" w:rsidRPr="008454CF">
        <w:rPr>
          <w:rFonts w:ascii="Times New Roman" w:hAnsi="Times New Roman"/>
          <w:sz w:val="28"/>
          <w:szCs w:val="28"/>
        </w:rPr>
        <w:t>saņemt no</w:t>
      </w:r>
      <w:r w:rsidRPr="008454CF">
        <w:rPr>
          <w:rFonts w:ascii="Times New Roman" w:hAnsi="Times New Roman"/>
          <w:sz w:val="28"/>
          <w:szCs w:val="28"/>
        </w:rPr>
        <w:t>:</w:t>
      </w:r>
    </w:p>
    <w:p w14:paraId="13C3F200" w14:textId="77777777" w:rsidR="0070212C" w:rsidRPr="00B301B6" w:rsidRDefault="00294B85" w:rsidP="00726AD1">
      <w:pPr>
        <w:pStyle w:val="ListParagraph"/>
        <w:widowControl/>
        <w:numPr>
          <w:ilvl w:val="1"/>
          <w:numId w:val="3"/>
        </w:numPr>
        <w:spacing w:after="0" w:line="240" w:lineRule="auto"/>
        <w:ind w:hanging="371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Vakcinācijas projekta bir</w:t>
      </w:r>
      <w:r w:rsidR="00467531" w:rsidRPr="00B301B6">
        <w:rPr>
          <w:rFonts w:ascii="Times New Roman" w:hAnsi="Times New Roman"/>
          <w:sz w:val="28"/>
          <w:szCs w:val="28"/>
        </w:rPr>
        <w:t>oja</w:t>
      </w:r>
      <w:r w:rsidR="00726AD1">
        <w:rPr>
          <w:rFonts w:ascii="Times New Roman" w:hAnsi="Times New Roman"/>
          <w:sz w:val="28"/>
          <w:szCs w:val="28"/>
        </w:rPr>
        <w:t>,</w:t>
      </w:r>
      <w:r w:rsidRPr="00B301B6">
        <w:rPr>
          <w:rFonts w:ascii="Times New Roman" w:hAnsi="Times New Roman"/>
          <w:sz w:val="28"/>
          <w:szCs w:val="28"/>
        </w:rPr>
        <w:t xml:space="preserve"> </w:t>
      </w:r>
      <w:r w:rsidR="00467531" w:rsidRPr="00B301B6">
        <w:rPr>
          <w:rFonts w:ascii="Times New Roman" w:hAnsi="Times New Roman"/>
          <w:sz w:val="28"/>
          <w:szCs w:val="28"/>
        </w:rPr>
        <w:t>ņemot vērā</w:t>
      </w:r>
      <w:r w:rsidRPr="00B301B6">
        <w:rPr>
          <w:rFonts w:ascii="Times New Roman" w:hAnsi="Times New Roman"/>
          <w:sz w:val="28"/>
          <w:szCs w:val="28"/>
        </w:rPr>
        <w:t xml:space="preserve"> vakcinācijas procesa tendenc</w:t>
      </w:r>
      <w:r w:rsidR="00467531" w:rsidRPr="00B301B6">
        <w:rPr>
          <w:rFonts w:ascii="Times New Roman" w:hAnsi="Times New Roman"/>
          <w:sz w:val="28"/>
          <w:szCs w:val="28"/>
        </w:rPr>
        <w:t>es</w:t>
      </w:r>
      <w:r w:rsidRPr="00B301B6">
        <w:rPr>
          <w:rFonts w:ascii="Times New Roman" w:hAnsi="Times New Roman"/>
          <w:sz w:val="28"/>
          <w:szCs w:val="28"/>
        </w:rPr>
        <w:t>;</w:t>
      </w:r>
    </w:p>
    <w:p w14:paraId="5F279B3A" w14:textId="77777777" w:rsidR="0070212C" w:rsidRPr="00B301B6" w:rsidRDefault="00294B85" w:rsidP="00726AD1">
      <w:pPr>
        <w:pStyle w:val="ListParagraph"/>
        <w:widowControl/>
        <w:numPr>
          <w:ilvl w:val="1"/>
          <w:numId w:val="3"/>
        </w:numPr>
        <w:spacing w:after="0" w:line="240" w:lineRule="auto"/>
        <w:ind w:hanging="371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Slimību profilakses un kontroles centr</w:t>
      </w:r>
      <w:r w:rsidR="00467531" w:rsidRPr="00B301B6">
        <w:rPr>
          <w:rFonts w:ascii="Times New Roman" w:hAnsi="Times New Roman"/>
          <w:sz w:val="28"/>
          <w:szCs w:val="28"/>
        </w:rPr>
        <w:t>a</w:t>
      </w:r>
      <w:r w:rsidRPr="00B301B6">
        <w:rPr>
          <w:rFonts w:ascii="Times New Roman" w:hAnsi="Times New Roman"/>
          <w:sz w:val="28"/>
          <w:szCs w:val="28"/>
        </w:rPr>
        <w:t xml:space="preserve">, </w:t>
      </w:r>
      <w:r w:rsidR="00467531" w:rsidRPr="00B301B6">
        <w:rPr>
          <w:rFonts w:ascii="Times New Roman" w:hAnsi="Times New Roman"/>
          <w:sz w:val="28"/>
          <w:szCs w:val="28"/>
        </w:rPr>
        <w:t xml:space="preserve">ņemot vērā </w:t>
      </w:r>
      <w:r w:rsidRPr="00B301B6">
        <w:rPr>
          <w:rFonts w:ascii="Times New Roman" w:hAnsi="Times New Roman"/>
          <w:sz w:val="28"/>
          <w:szCs w:val="28"/>
        </w:rPr>
        <w:t>konkrētās prioritāri vakcinējamās sabiedrības grupas lielum</w:t>
      </w:r>
      <w:r w:rsidR="00726AD1">
        <w:rPr>
          <w:rFonts w:ascii="Times New Roman" w:hAnsi="Times New Roman"/>
          <w:sz w:val="28"/>
          <w:szCs w:val="28"/>
        </w:rPr>
        <w:t>u</w:t>
      </w:r>
      <w:r w:rsidRPr="00B301B6">
        <w:rPr>
          <w:rFonts w:ascii="Times New Roman" w:hAnsi="Times New Roman"/>
          <w:sz w:val="28"/>
          <w:szCs w:val="28"/>
        </w:rPr>
        <w:t>, konkrētās sabiedrības grupas vakcinācijas aptver</w:t>
      </w:r>
      <w:r w:rsidR="00726AD1">
        <w:rPr>
          <w:rFonts w:ascii="Times New Roman" w:hAnsi="Times New Roman"/>
          <w:sz w:val="28"/>
          <w:szCs w:val="28"/>
        </w:rPr>
        <w:t>i</w:t>
      </w:r>
      <w:r w:rsidRPr="00B301B6">
        <w:rPr>
          <w:rFonts w:ascii="Times New Roman" w:hAnsi="Times New Roman"/>
          <w:sz w:val="28"/>
          <w:szCs w:val="28"/>
        </w:rPr>
        <w:t>, kā arī vakcīnu pasūtījumu un vakcīnu atlikumu veidošanās t</w:t>
      </w:r>
      <w:r w:rsidRPr="00B301B6">
        <w:rPr>
          <w:rFonts w:ascii="Times New Roman" w:hAnsi="Times New Roman"/>
          <w:sz w:val="28"/>
          <w:szCs w:val="28"/>
        </w:rPr>
        <w:t>endenc</w:t>
      </w:r>
      <w:r w:rsidR="00467531" w:rsidRPr="00B301B6">
        <w:rPr>
          <w:rFonts w:ascii="Times New Roman" w:hAnsi="Times New Roman"/>
          <w:sz w:val="28"/>
          <w:szCs w:val="28"/>
        </w:rPr>
        <w:t>es</w:t>
      </w:r>
      <w:r w:rsidRPr="00B301B6">
        <w:rPr>
          <w:rFonts w:ascii="Times New Roman" w:hAnsi="Times New Roman"/>
          <w:sz w:val="28"/>
          <w:szCs w:val="28"/>
        </w:rPr>
        <w:t>.</w:t>
      </w:r>
    </w:p>
    <w:p w14:paraId="0D7AE6E0" w14:textId="77777777" w:rsidR="0070212C" w:rsidRDefault="0070212C" w:rsidP="0070212C">
      <w:pPr>
        <w:pStyle w:val="ListParagraph"/>
        <w:widowControl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3EF7DAF2" w14:textId="77777777" w:rsidR="006F2581" w:rsidRPr="00B301B6" w:rsidRDefault="00294B85" w:rsidP="0070212C">
      <w:pPr>
        <w:pStyle w:val="ListParagraph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Saņemot šā rīkojuma 6.punktā </w:t>
      </w:r>
      <w:r w:rsidR="0070212C" w:rsidRPr="00B301B6">
        <w:rPr>
          <w:rFonts w:ascii="Times New Roman" w:hAnsi="Times New Roman"/>
          <w:sz w:val="28"/>
          <w:szCs w:val="28"/>
          <w:shd w:val="clear" w:color="auto" w:fill="FFFFFF"/>
        </w:rPr>
        <w:t>minēt</w:t>
      </w:r>
      <w:r w:rsidR="00E97871">
        <w:rPr>
          <w:rFonts w:ascii="Times New Roman" w:hAnsi="Times New Roman"/>
          <w:sz w:val="28"/>
          <w:szCs w:val="28"/>
          <w:shd w:val="clear" w:color="auto" w:fill="FFFFFF"/>
        </w:rPr>
        <w:t>os</w:t>
      </w:r>
      <w:r w:rsidR="0070212C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priekšlikum</w:t>
      </w:r>
      <w:r w:rsidR="00E97871">
        <w:rPr>
          <w:rFonts w:ascii="Times New Roman" w:hAnsi="Times New Roman"/>
          <w:sz w:val="28"/>
          <w:szCs w:val="28"/>
          <w:shd w:val="clear" w:color="auto" w:fill="FFFFFF"/>
        </w:rPr>
        <w:t>us,</w:t>
      </w:r>
      <w:r w:rsidR="0070212C" w:rsidRPr="00B301B6">
        <w:rPr>
          <w:rFonts w:ascii="Times New Roman" w:hAnsi="Times New Roman"/>
          <w:sz w:val="28"/>
          <w:szCs w:val="28"/>
          <w:shd w:val="clear" w:color="auto" w:fill="FFFFFF"/>
        </w:rPr>
        <w:t xml:space="preserve"> Veselības ministrijas darba grupa sabiedrības vakcinācijai pret Covid-19</w:t>
      </w:r>
      <w:r w:rsidR="0070212C" w:rsidRPr="00B301B6">
        <w:rPr>
          <w:rFonts w:ascii="Times New Roman" w:hAnsi="Times New Roman"/>
          <w:sz w:val="28"/>
          <w:szCs w:val="28"/>
        </w:rPr>
        <w:t xml:space="preserve"> sagatavo</w:t>
      </w:r>
      <w:r w:rsidR="008454CF">
        <w:rPr>
          <w:rFonts w:ascii="Times New Roman" w:hAnsi="Times New Roman"/>
          <w:sz w:val="28"/>
          <w:szCs w:val="28"/>
        </w:rPr>
        <w:t>t</w:t>
      </w:r>
      <w:r w:rsidR="0070212C" w:rsidRPr="00B301B6">
        <w:rPr>
          <w:rFonts w:ascii="Times New Roman" w:hAnsi="Times New Roman"/>
          <w:sz w:val="28"/>
          <w:szCs w:val="28"/>
        </w:rPr>
        <w:t xml:space="preserve"> rekomendāciju veselības ministram</w:t>
      </w:r>
      <w:r w:rsidRPr="00B301B6">
        <w:rPr>
          <w:rFonts w:ascii="Times New Roman" w:hAnsi="Times New Roman"/>
          <w:sz w:val="28"/>
          <w:szCs w:val="28"/>
        </w:rPr>
        <w:t xml:space="preserve"> par nepieciešamību</w:t>
      </w:r>
      <w:r w:rsidR="008454CF">
        <w:rPr>
          <w:rFonts w:ascii="Times New Roman" w:hAnsi="Times New Roman"/>
          <w:sz w:val="28"/>
          <w:szCs w:val="28"/>
        </w:rPr>
        <w:t xml:space="preserve"> sagatavot</w:t>
      </w:r>
      <w:r w:rsidR="0070212C" w:rsidRPr="00B301B6">
        <w:rPr>
          <w:rFonts w:ascii="Times New Roman" w:hAnsi="Times New Roman"/>
          <w:sz w:val="28"/>
          <w:szCs w:val="28"/>
        </w:rPr>
        <w:t xml:space="preserve"> rīkojum</w:t>
      </w:r>
      <w:r w:rsidR="008454CF">
        <w:rPr>
          <w:rFonts w:ascii="Times New Roman" w:hAnsi="Times New Roman"/>
          <w:sz w:val="28"/>
          <w:szCs w:val="28"/>
        </w:rPr>
        <w:t xml:space="preserve">u </w:t>
      </w:r>
      <w:r w:rsidR="0070212C" w:rsidRPr="00B301B6">
        <w:rPr>
          <w:rFonts w:ascii="Times New Roman" w:hAnsi="Times New Roman"/>
          <w:sz w:val="28"/>
          <w:szCs w:val="28"/>
        </w:rPr>
        <w:t>pārejai uz jaunu prioritāri vakcinējamo sabiedrības grupu.</w:t>
      </w:r>
    </w:p>
    <w:p w14:paraId="459738E6" w14:textId="77777777" w:rsidR="006F2581" w:rsidRDefault="006F2581" w:rsidP="007D2B1A">
      <w:pPr>
        <w:pStyle w:val="ListParagraph"/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56EB83B" w14:textId="77777777" w:rsidR="00FA1122" w:rsidRPr="002F2356" w:rsidRDefault="00294B85" w:rsidP="002F2356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Nacionālajam</w:t>
      </w:r>
      <w:r w:rsidR="007D2B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2FC3">
        <w:rPr>
          <w:rFonts w:ascii="Times New Roman" w:hAnsi="Times New Roman"/>
          <w:sz w:val="28"/>
          <w:szCs w:val="28"/>
          <w:shd w:val="clear" w:color="auto" w:fill="FFFFFF"/>
        </w:rPr>
        <w:t>veselības dienesta</w:t>
      </w:r>
      <w:r w:rsidR="009C4AD9">
        <w:rPr>
          <w:rFonts w:ascii="Times New Roman" w:hAnsi="Times New Roman"/>
          <w:sz w:val="28"/>
          <w:szCs w:val="28"/>
          <w:shd w:val="clear" w:color="auto" w:fill="FFFFFF"/>
        </w:rPr>
        <w:t>m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139E7FC2" w14:textId="77777777" w:rsidR="00236ADB" w:rsidRPr="00526267" w:rsidRDefault="00294B85" w:rsidP="00526267">
      <w:pPr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52626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F258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2626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526267">
        <w:rPr>
          <w:rFonts w:ascii="Times New Roman" w:hAnsi="Times New Roman"/>
          <w:sz w:val="28"/>
          <w:szCs w:val="28"/>
          <w:shd w:val="clear" w:color="auto" w:fill="FFFFFF"/>
        </w:rPr>
        <w:t>informēt ārstniecības iestādes par jaunas prioritāri vakcinējamo personu grupas vakcinācijas uzsākšanu pēc veselības ministra rīkojuma s</w:t>
      </w:r>
      <w:r w:rsidR="00526267">
        <w:rPr>
          <w:rFonts w:ascii="Times New Roman" w:hAnsi="Times New Roman"/>
          <w:sz w:val="28"/>
          <w:szCs w:val="28"/>
          <w:shd w:val="clear" w:color="auto" w:fill="FFFFFF"/>
        </w:rPr>
        <w:t>aņ</w:t>
      </w:r>
      <w:r w:rsidRPr="00526267">
        <w:rPr>
          <w:rFonts w:ascii="Times New Roman" w:hAnsi="Times New Roman"/>
          <w:sz w:val="28"/>
          <w:szCs w:val="28"/>
          <w:shd w:val="clear" w:color="auto" w:fill="FFFFFF"/>
        </w:rPr>
        <w:t>emšanas;</w:t>
      </w:r>
    </w:p>
    <w:p w14:paraId="42980487" w14:textId="77777777" w:rsidR="00FA1122" w:rsidRPr="00526267" w:rsidRDefault="00294B85" w:rsidP="00526267">
      <w:pPr>
        <w:widowControl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52626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F258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2626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236ADB" w:rsidRPr="00526267">
        <w:rPr>
          <w:rFonts w:ascii="Times New Roman" w:hAnsi="Times New Roman"/>
          <w:sz w:val="28"/>
          <w:szCs w:val="28"/>
          <w:shd w:val="clear" w:color="auto" w:fill="FFFFFF"/>
        </w:rPr>
        <w:t xml:space="preserve">pieņemt kolektīvu pieteikumus vakcinācijai, izvērtēt to atbilstību aktuālajai prioritāri vakcinējamo personu grupai un apstiprināto kolektīvo pieteikumu vakcinācijai nodot ārstniecības iestādei, kas veiks konkrētā kolektīva vakcināciju. </w:t>
      </w:r>
    </w:p>
    <w:p w14:paraId="5CF27AB8" w14:textId="77777777" w:rsidR="006707B6" w:rsidRDefault="006707B6" w:rsidP="006707B6">
      <w:pPr>
        <w:pStyle w:val="ListParagraph"/>
        <w:widowControl/>
        <w:spacing w:after="0" w:line="240" w:lineRule="auto"/>
        <w:ind w:left="179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D5AD037" w14:textId="77777777" w:rsidR="00616732" w:rsidRPr="002F2356" w:rsidRDefault="00294B85" w:rsidP="002F2356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Veselības inspekcija</w:t>
      </w:r>
      <w:r w:rsidR="00883685">
        <w:rPr>
          <w:rFonts w:ascii="Times New Roman" w:hAnsi="Times New Roman"/>
          <w:sz w:val="28"/>
          <w:szCs w:val="28"/>
          <w:shd w:val="clear" w:color="auto" w:fill="FFFFFF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nodrošin</w:t>
      </w:r>
      <w:r w:rsidR="008454CF">
        <w:rPr>
          <w:rFonts w:ascii="Times New Roman" w:hAnsi="Times New Roman"/>
          <w:sz w:val="28"/>
          <w:szCs w:val="28"/>
          <w:shd w:val="clear" w:color="auto" w:fill="FFFFFF"/>
        </w:rPr>
        <w:t>āt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2FC3">
        <w:rPr>
          <w:rFonts w:ascii="Times New Roman" w:hAnsi="Times New Roman"/>
          <w:sz w:val="28"/>
          <w:szCs w:val="28"/>
          <w:shd w:val="clear" w:color="auto" w:fill="FFFFFF"/>
        </w:rPr>
        <w:t>kontroli par to, lai tiktu ievērot</w:t>
      </w:r>
      <w:r w:rsidR="00883685">
        <w:rPr>
          <w:rFonts w:ascii="Times New Roman" w:hAnsi="Times New Roman"/>
          <w:sz w:val="28"/>
          <w:szCs w:val="28"/>
          <w:shd w:val="clear" w:color="auto" w:fill="FFFFFF"/>
        </w:rPr>
        <w:t>as</w:t>
      </w:r>
      <w:r w:rsidR="00952F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2FC3" w:rsidRPr="006C2A78">
        <w:rPr>
          <w:rFonts w:ascii="Times New Roman" w:hAnsi="Times New Roman"/>
          <w:sz w:val="28"/>
          <w:szCs w:val="28"/>
          <w:shd w:val="clear" w:color="auto" w:fill="FFFFFF"/>
        </w:rPr>
        <w:t>Ministru kabineta 2020. gada 9. jūnija noteikum</w:t>
      </w:r>
      <w:r w:rsidR="009C4AD9">
        <w:rPr>
          <w:rFonts w:ascii="Times New Roman" w:hAnsi="Times New Roman"/>
          <w:sz w:val="28"/>
          <w:szCs w:val="28"/>
          <w:shd w:val="clear" w:color="auto" w:fill="FFFFFF"/>
        </w:rPr>
        <w:t>os</w:t>
      </w:r>
      <w:r w:rsidR="00952FC3" w:rsidRPr="006C2A78">
        <w:rPr>
          <w:rFonts w:ascii="Times New Roman" w:hAnsi="Times New Roman"/>
          <w:sz w:val="28"/>
          <w:szCs w:val="28"/>
          <w:shd w:val="clear" w:color="auto" w:fill="FFFFFF"/>
        </w:rPr>
        <w:t xml:space="preserve"> Nr. 360 </w:t>
      </w:r>
      <w:r w:rsidR="00952FC3">
        <w:rPr>
          <w:rFonts w:ascii="Times New Roman" w:hAnsi="Times New Roman"/>
          <w:sz w:val="28"/>
          <w:szCs w:val="28"/>
          <w:shd w:val="clear" w:color="auto" w:fill="FFFFFF"/>
        </w:rPr>
        <w:t>“Epidemioloģiskās drošības pasākumi Covid-19 infekcijas izplatības ierobežošanai</w:t>
      </w:r>
      <w:r w:rsidR="00952FC3" w:rsidRPr="006C2A78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="009C4AD9">
        <w:rPr>
          <w:rFonts w:ascii="Times New Roman" w:hAnsi="Times New Roman"/>
          <w:sz w:val="28"/>
          <w:szCs w:val="28"/>
          <w:shd w:val="clear" w:color="auto" w:fill="FFFFFF"/>
        </w:rPr>
        <w:t xml:space="preserve"> un šajā rīkojumā</w:t>
      </w:r>
      <w:r w:rsidR="008454C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C4AD9">
        <w:rPr>
          <w:rFonts w:ascii="Times New Roman" w:hAnsi="Times New Roman"/>
          <w:sz w:val="28"/>
          <w:szCs w:val="28"/>
          <w:shd w:val="clear" w:color="auto" w:fill="FFFFFF"/>
        </w:rPr>
        <w:t xml:space="preserve">kā arī citas normatīvajos aktos noteiktās vakcinācijas </w:t>
      </w:r>
      <w:r w:rsidR="00D96038">
        <w:rPr>
          <w:rFonts w:ascii="Times New Roman" w:hAnsi="Times New Roman"/>
          <w:sz w:val="28"/>
          <w:szCs w:val="28"/>
          <w:shd w:val="clear" w:color="auto" w:fill="FFFFFF"/>
        </w:rPr>
        <w:t>prasības</w:t>
      </w:r>
      <w:r w:rsidR="00952FC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7FF2B2FB" w14:textId="77777777" w:rsidR="006707B6" w:rsidRPr="00952FC3" w:rsidRDefault="006707B6" w:rsidP="006707B6">
      <w:pPr>
        <w:pStyle w:val="ListParagraph"/>
        <w:widowControl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14:paraId="1CC941B2" w14:textId="77777777" w:rsidR="0045478E" w:rsidRPr="002F2356" w:rsidRDefault="00294B85" w:rsidP="002F2356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Atzīt par spēku zaudējušu 202</w:t>
      </w:r>
      <w:r w:rsidR="006707B6" w:rsidRPr="002F235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F235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gada </w:t>
      </w:r>
      <w:r w:rsidR="004875C5" w:rsidRPr="002F2356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F235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875C5" w:rsidRPr="002F2356">
        <w:rPr>
          <w:rFonts w:ascii="Times New Roman" w:hAnsi="Times New Roman"/>
          <w:sz w:val="28"/>
          <w:szCs w:val="28"/>
          <w:shd w:val="clear" w:color="auto" w:fill="FFFFFF"/>
        </w:rPr>
        <w:t>janvāra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Veselības</w:t>
      </w:r>
      <w:r w:rsidR="006E2619"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ministrijas rīkojumu Nr.</w:t>
      </w:r>
      <w:r w:rsidR="00F977C6" w:rsidRPr="002F2356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 xml:space="preserve"> “Par ārstniecības iestāžu ārstniecības personu, ārstniecības atbalsta personu un darbinieku vakcināciju pret Covid-19”.</w:t>
      </w:r>
    </w:p>
    <w:p w14:paraId="6FE9FC8A" w14:textId="77777777" w:rsidR="006707B6" w:rsidRDefault="006707B6" w:rsidP="006707B6">
      <w:pPr>
        <w:pStyle w:val="tv21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E8A20C8" w14:textId="77777777" w:rsidR="0045478E" w:rsidRPr="002F2356" w:rsidRDefault="00294B85" w:rsidP="002F2356">
      <w:pPr>
        <w:pStyle w:val="ListParagraph"/>
        <w:widowControl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F2356">
        <w:rPr>
          <w:rFonts w:ascii="Times New Roman" w:hAnsi="Times New Roman"/>
          <w:sz w:val="28"/>
          <w:szCs w:val="28"/>
          <w:shd w:val="clear" w:color="auto" w:fill="FFFFFF"/>
        </w:rPr>
        <w:t>Rīkojums stājas spēkā nākamajā dienā pēc tā publicēšanas oficiālajā izdevumā "Latvijas Vēstnesis".</w:t>
      </w:r>
    </w:p>
    <w:p w14:paraId="1418932B" w14:textId="77777777" w:rsidR="00612D80" w:rsidRDefault="00612D80" w:rsidP="00F220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28B80" w14:textId="77777777" w:rsidR="00726AD1" w:rsidRDefault="00726AD1" w:rsidP="00F220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4676"/>
      </w:tblGrid>
      <w:tr w:rsidR="00152602" w14:paraId="52300328" w14:textId="77777777" w:rsidTr="00FD0384">
        <w:tc>
          <w:tcPr>
            <w:tcW w:w="3119" w:type="dxa"/>
          </w:tcPr>
          <w:p w14:paraId="613E6DC9" w14:textId="77777777" w:rsidR="00950DCC" w:rsidRPr="005A3EEC" w:rsidRDefault="00294B85" w:rsidP="00FD0384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</w:t>
            </w:r>
            <w:r w:rsidR="0045478E">
              <w:rPr>
                <w:rFonts w:eastAsia="Calibri"/>
                <w:noProof/>
                <w:sz w:val="28"/>
                <w:szCs w:val="28"/>
                <w:lang w:val="lv-LV"/>
              </w:rPr>
              <w:t>s</w:t>
            </w:r>
          </w:p>
        </w:tc>
        <w:tc>
          <w:tcPr>
            <w:tcW w:w="1276" w:type="dxa"/>
            <w:vAlign w:val="center"/>
          </w:tcPr>
          <w:p w14:paraId="3306B261" w14:textId="77777777" w:rsidR="00950DCC" w:rsidRPr="005A3EEC" w:rsidRDefault="00294B85" w:rsidP="00FD03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676" w:type="dxa"/>
          </w:tcPr>
          <w:p w14:paraId="22F5FE78" w14:textId="77777777" w:rsidR="00950DCC" w:rsidRPr="005A3EEC" w:rsidRDefault="00294B85" w:rsidP="00FD03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rFonts w:eastAsia="Calibri"/>
                <w:noProof/>
                <w:sz w:val="28"/>
                <w:szCs w:val="28"/>
                <w:lang w:val="lv-LV"/>
              </w:rPr>
              <w:t>Daniels Pavļuts</w:t>
            </w:r>
          </w:p>
        </w:tc>
      </w:tr>
    </w:tbl>
    <w:p w14:paraId="16F5ECE7" w14:textId="77777777" w:rsidR="008616C4" w:rsidRPr="00714D75" w:rsidRDefault="008616C4" w:rsidP="00714D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8E0573" w14:textId="77777777" w:rsidR="00950DCC" w:rsidRDefault="00950DCC" w:rsidP="00714D75">
      <w:pPr>
        <w:pStyle w:val="pamattekststabul"/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2A73FB13" w14:textId="77777777" w:rsidR="00726AD1" w:rsidRDefault="00726AD1" w:rsidP="00714D75">
      <w:pPr>
        <w:pStyle w:val="pamattekststabul"/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3E73C9C4" w14:textId="77777777" w:rsidR="00726AD1" w:rsidRDefault="00726AD1" w:rsidP="00714D75">
      <w:pPr>
        <w:pStyle w:val="pamattekststabul"/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7B103114" w14:textId="77777777" w:rsidR="00726AD1" w:rsidRDefault="00726AD1" w:rsidP="00714D75">
      <w:pPr>
        <w:pStyle w:val="pamattekststabul"/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3737B40B" w14:textId="77777777" w:rsidR="00726AD1" w:rsidRDefault="00726AD1" w:rsidP="00714D75">
      <w:pPr>
        <w:pStyle w:val="pamattekststabul"/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6F02D380" w14:textId="77777777" w:rsidR="00726AD1" w:rsidRPr="00714D75" w:rsidRDefault="00726AD1" w:rsidP="00714D75">
      <w:pPr>
        <w:pStyle w:val="pamattekststabul"/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14:paraId="5A78B69B" w14:textId="77777777" w:rsidR="00950DCC" w:rsidRPr="005A3EEC" w:rsidRDefault="00294B85" w:rsidP="00950DCC">
      <w:pPr>
        <w:pStyle w:val="pamattekststabul"/>
        <w:spacing w:before="0" w:beforeAutospacing="0" w:after="0" w:afterAutospacing="0"/>
        <w:rPr>
          <w:lang w:val="lv-LV"/>
        </w:rPr>
      </w:pPr>
      <w:r>
        <w:rPr>
          <w:noProof/>
          <w:lang w:val="lv-LV"/>
        </w:rPr>
        <w:t>Jana Feldmane</w:t>
      </w:r>
      <w:r w:rsidR="001F717E" w:rsidRPr="005A3EEC">
        <w:rPr>
          <w:lang w:val="lv-LV"/>
        </w:rPr>
        <w:t xml:space="preserve"> </w:t>
      </w:r>
      <w:r w:rsidR="001F717E" w:rsidRPr="005A3EEC">
        <w:rPr>
          <w:noProof/>
          <w:lang w:val="lv-LV"/>
        </w:rPr>
        <w:t>67876</w:t>
      </w:r>
      <w:r>
        <w:rPr>
          <w:noProof/>
          <w:lang w:val="lv-LV"/>
        </w:rPr>
        <w:t>119</w:t>
      </w:r>
    </w:p>
    <w:p w14:paraId="640241BB" w14:textId="77777777" w:rsidR="009A146B" w:rsidRPr="00445732" w:rsidRDefault="00294B85" w:rsidP="00950DCC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Jana.feldmane</w:t>
      </w:r>
      <w:r w:rsidR="001F717E" w:rsidRPr="003756FE">
        <w:rPr>
          <w:rFonts w:ascii="Times New Roman" w:hAnsi="Times New Roman"/>
          <w:noProof/>
          <w:sz w:val="24"/>
          <w:szCs w:val="24"/>
        </w:rPr>
        <w:t>@vm.gov.lv</w:t>
      </w:r>
    </w:p>
    <w:sectPr w:rsidR="009A146B" w:rsidRPr="00445732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A4445" w14:textId="77777777" w:rsidR="00000000" w:rsidRDefault="00294B85">
      <w:pPr>
        <w:spacing w:after="0" w:line="240" w:lineRule="auto"/>
      </w:pPr>
      <w:r>
        <w:separator/>
      </w:r>
    </w:p>
  </w:endnote>
  <w:endnote w:type="continuationSeparator" w:id="0">
    <w:p w14:paraId="34482486" w14:textId="77777777" w:rsidR="00000000" w:rsidRDefault="0029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674E3" w14:textId="77777777" w:rsidR="005E06C4" w:rsidRDefault="00294B85" w:rsidP="00B8001B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305F275B" w14:textId="77777777" w:rsidR="00043295" w:rsidRPr="009D36CB" w:rsidRDefault="00043295" w:rsidP="00B8001B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BE73" w14:textId="77777777" w:rsidR="005E06C4" w:rsidRDefault="00294B85" w:rsidP="00A477D6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 xml:space="preserve">*Dokuments ir parakstīts ar drošu </w:t>
    </w:r>
    <w:r w:rsidRPr="006541D3">
      <w:rPr>
        <w:rFonts w:ascii="Times New Roman" w:hAnsi="Times New Roman"/>
      </w:rPr>
      <w:t>elektronisko parakstu un satur laika zīmogu</w:t>
    </w:r>
  </w:p>
  <w:p w14:paraId="26DF0823" w14:textId="77777777" w:rsidR="00A477D6" w:rsidRDefault="00A477D6" w:rsidP="00A477D6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1084" w14:textId="77777777" w:rsidR="00000000" w:rsidRDefault="00294B85">
      <w:pPr>
        <w:spacing w:after="0" w:line="240" w:lineRule="auto"/>
      </w:pPr>
      <w:r>
        <w:separator/>
      </w:r>
    </w:p>
  </w:footnote>
  <w:footnote w:type="continuationSeparator" w:id="0">
    <w:p w14:paraId="1F22A6BA" w14:textId="77777777" w:rsidR="00000000" w:rsidRDefault="0029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1057398003"/>
      <w:docPartObj>
        <w:docPartGallery w:val="Page Numbers (Top of Page)"/>
        <w:docPartUnique/>
      </w:docPartObj>
    </w:sdtPr>
    <w:sdtEndPr/>
    <w:sdtContent>
      <w:p w14:paraId="01A11CA7" w14:textId="77777777" w:rsidR="005E06C4" w:rsidRPr="00126258" w:rsidRDefault="00294B8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5A475B">
          <w:rPr>
            <w:rFonts w:ascii="Times New Roman" w:hAnsi="Times New Roman"/>
            <w:noProof/>
            <w:sz w:val="24"/>
            <w:szCs w:val="24"/>
          </w:rPr>
          <w:t>5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CD4DD9B" w14:textId="77777777"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CFC" w14:textId="77777777"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98F0616"/>
    <w:multiLevelType w:val="multilevel"/>
    <w:tmpl w:val="C8969C3C"/>
    <w:lvl w:ilvl="0">
      <w:start w:val="1"/>
      <w:numFmt w:val="decimal"/>
      <w:lvlText w:val="%1."/>
      <w:lvlJc w:val="left"/>
      <w:pPr>
        <w:ind w:left="107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" w15:restartNumberingAfterBreak="1">
    <w:nsid w:val="2DFB2933"/>
    <w:multiLevelType w:val="hybridMultilevel"/>
    <w:tmpl w:val="4E5A423E"/>
    <w:lvl w:ilvl="0" w:tplc="112E764E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EC66B344" w:tentative="1">
      <w:start w:val="1"/>
      <w:numFmt w:val="lowerLetter"/>
      <w:lvlText w:val="%2."/>
      <w:lvlJc w:val="left"/>
      <w:pPr>
        <w:ind w:left="1870" w:hanging="360"/>
      </w:pPr>
    </w:lvl>
    <w:lvl w:ilvl="2" w:tplc="D30E39F6" w:tentative="1">
      <w:start w:val="1"/>
      <w:numFmt w:val="lowerRoman"/>
      <w:lvlText w:val="%3."/>
      <w:lvlJc w:val="right"/>
      <w:pPr>
        <w:ind w:left="2590" w:hanging="180"/>
      </w:pPr>
    </w:lvl>
    <w:lvl w:ilvl="3" w:tplc="FD509248" w:tentative="1">
      <w:start w:val="1"/>
      <w:numFmt w:val="decimal"/>
      <w:lvlText w:val="%4."/>
      <w:lvlJc w:val="left"/>
      <w:pPr>
        <w:ind w:left="3310" w:hanging="360"/>
      </w:pPr>
    </w:lvl>
    <w:lvl w:ilvl="4" w:tplc="363E78C6" w:tentative="1">
      <w:start w:val="1"/>
      <w:numFmt w:val="lowerLetter"/>
      <w:lvlText w:val="%5."/>
      <w:lvlJc w:val="left"/>
      <w:pPr>
        <w:ind w:left="4030" w:hanging="360"/>
      </w:pPr>
    </w:lvl>
    <w:lvl w:ilvl="5" w:tplc="D87C8498" w:tentative="1">
      <w:start w:val="1"/>
      <w:numFmt w:val="lowerRoman"/>
      <w:lvlText w:val="%6."/>
      <w:lvlJc w:val="right"/>
      <w:pPr>
        <w:ind w:left="4750" w:hanging="180"/>
      </w:pPr>
    </w:lvl>
    <w:lvl w:ilvl="6" w:tplc="1FE852A4" w:tentative="1">
      <w:start w:val="1"/>
      <w:numFmt w:val="decimal"/>
      <w:lvlText w:val="%7."/>
      <w:lvlJc w:val="left"/>
      <w:pPr>
        <w:ind w:left="5470" w:hanging="360"/>
      </w:pPr>
    </w:lvl>
    <w:lvl w:ilvl="7" w:tplc="BBEAA176" w:tentative="1">
      <w:start w:val="1"/>
      <w:numFmt w:val="lowerLetter"/>
      <w:lvlText w:val="%8."/>
      <w:lvlJc w:val="left"/>
      <w:pPr>
        <w:ind w:left="6190" w:hanging="360"/>
      </w:pPr>
    </w:lvl>
    <w:lvl w:ilvl="8" w:tplc="DA903F6A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1">
    <w:nsid w:val="536170DA"/>
    <w:multiLevelType w:val="hybridMultilevel"/>
    <w:tmpl w:val="2E82AD30"/>
    <w:lvl w:ilvl="0" w:tplc="EAD23426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2"/>
      </w:rPr>
    </w:lvl>
    <w:lvl w:ilvl="1" w:tplc="FA0AFDCA" w:tentative="1">
      <w:start w:val="1"/>
      <w:numFmt w:val="lowerLetter"/>
      <w:lvlText w:val="%2."/>
      <w:lvlJc w:val="left"/>
      <w:pPr>
        <w:ind w:left="1440" w:hanging="360"/>
      </w:pPr>
    </w:lvl>
    <w:lvl w:ilvl="2" w:tplc="FA703858" w:tentative="1">
      <w:start w:val="1"/>
      <w:numFmt w:val="lowerRoman"/>
      <w:lvlText w:val="%3."/>
      <w:lvlJc w:val="right"/>
      <w:pPr>
        <w:ind w:left="2160" w:hanging="180"/>
      </w:pPr>
    </w:lvl>
    <w:lvl w:ilvl="3" w:tplc="0D0CF66A" w:tentative="1">
      <w:start w:val="1"/>
      <w:numFmt w:val="decimal"/>
      <w:lvlText w:val="%4."/>
      <w:lvlJc w:val="left"/>
      <w:pPr>
        <w:ind w:left="2880" w:hanging="360"/>
      </w:pPr>
    </w:lvl>
    <w:lvl w:ilvl="4" w:tplc="F904B34C" w:tentative="1">
      <w:start w:val="1"/>
      <w:numFmt w:val="lowerLetter"/>
      <w:lvlText w:val="%5."/>
      <w:lvlJc w:val="left"/>
      <w:pPr>
        <w:ind w:left="3600" w:hanging="360"/>
      </w:pPr>
    </w:lvl>
    <w:lvl w:ilvl="5" w:tplc="F1E0CBAA" w:tentative="1">
      <w:start w:val="1"/>
      <w:numFmt w:val="lowerRoman"/>
      <w:lvlText w:val="%6."/>
      <w:lvlJc w:val="right"/>
      <w:pPr>
        <w:ind w:left="4320" w:hanging="180"/>
      </w:pPr>
    </w:lvl>
    <w:lvl w:ilvl="6" w:tplc="AD7ABABC" w:tentative="1">
      <w:start w:val="1"/>
      <w:numFmt w:val="decimal"/>
      <w:lvlText w:val="%7."/>
      <w:lvlJc w:val="left"/>
      <w:pPr>
        <w:ind w:left="5040" w:hanging="360"/>
      </w:pPr>
    </w:lvl>
    <w:lvl w:ilvl="7" w:tplc="697C29CC" w:tentative="1">
      <w:start w:val="1"/>
      <w:numFmt w:val="lowerLetter"/>
      <w:lvlText w:val="%8."/>
      <w:lvlJc w:val="left"/>
      <w:pPr>
        <w:ind w:left="5760" w:hanging="360"/>
      </w:pPr>
    </w:lvl>
    <w:lvl w:ilvl="8" w:tplc="D942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C813A75"/>
    <w:multiLevelType w:val="multilevel"/>
    <w:tmpl w:val="EA7C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05C47"/>
    <w:rsid w:val="00010734"/>
    <w:rsid w:val="000115D2"/>
    <w:rsid w:val="00013415"/>
    <w:rsid w:val="00017FDB"/>
    <w:rsid w:val="00021AA9"/>
    <w:rsid w:val="000256CA"/>
    <w:rsid w:val="00026358"/>
    <w:rsid w:val="00026646"/>
    <w:rsid w:val="00032602"/>
    <w:rsid w:val="00043295"/>
    <w:rsid w:val="0004599D"/>
    <w:rsid w:val="00050A7F"/>
    <w:rsid w:val="000512CB"/>
    <w:rsid w:val="00053169"/>
    <w:rsid w:val="00056D94"/>
    <w:rsid w:val="00071EA6"/>
    <w:rsid w:val="00076969"/>
    <w:rsid w:val="00076AA3"/>
    <w:rsid w:val="00084361"/>
    <w:rsid w:val="00091DD9"/>
    <w:rsid w:val="00097F9D"/>
    <w:rsid w:val="000A0E1F"/>
    <w:rsid w:val="000A1011"/>
    <w:rsid w:val="000A61F3"/>
    <w:rsid w:val="000B12AC"/>
    <w:rsid w:val="000B3C9C"/>
    <w:rsid w:val="000B7899"/>
    <w:rsid w:val="000D2AB9"/>
    <w:rsid w:val="000D3DF7"/>
    <w:rsid w:val="000D49B5"/>
    <w:rsid w:val="000E1E20"/>
    <w:rsid w:val="000E429F"/>
    <w:rsid w:val="000F377C"/>
    <w:rsid w:val="000F4E7C"/>
    <w:rsid w:val="00104654"/>
    <w:rsid w:val="00110E85"/>
    <w:rsid w:val="00111C08"/>
    <w:rsid w:val="00115FCF"/>
    <w:rsid w:val="0011678A"/>
    <w:rsid w:val="001169D1"/>
    <w:rsid w:val="00116E23"/>
    <w:rsid w:val="00123CBF"/>
    <w:rsid w:val="00125809"/>
    <w:rsid w:val="00126258"/>
    <w:rsid w:val="00127A26"/>
    <w:rsid w:val="001321DF"/>
    <w:rsid w:val="00134E5B"/>
    <w:rsid w:val="00145A84"/>
    <w:rsid w:val="001510E7"/>
    <w:rsid w:val="00152602"/>
    <w:rsid w:val="001545B7"/>
    <w:rsid w:val="001545DF"/>
    <w:rsid w:val="00154920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CEF"/>
    <w:rsid w:val="0018600C"/>
    <w:rsid w:val="001908E6"/>
    <w:rsid w:val="00191A1D"/>
    <w:rsid w:val="00196A44"/>
    <w:rsid w:val="001A31B8"/>
    <w:rsid w:val="001A72C3"/>
    <w:rsid w:val="001B16E2"/>
    <w:rsid w:val="001B554A"/>
    <w:rsid w:val="001B59E0"/>
    <w:rsid w:val="001C1EEF"/>
    <w:rsid w:val="001C43FE"/>
    <w:rsid w:val="001C517B"/>
    <w:rsid w:val="001C72E0"/>
    <w:rsid w:val="001D0AF0"/>
    <w:rsid w:val="001D4BC8"/>
    <w:rsid w:val="001D5B70"/>
    <w:rsid w:val="001D5D10"/>
    <w:rsid w:val="001E50A0"/>
    <w:rsid w:val="001E51DF"/>
    <w:rsid w:val="001F717E"/>
    <w:rsid w:val="0020352E"/>
    <w:rsid w:val="002057F9"/>
    <w:rsid w:val="00212DB7"/>
    <w:rsid w:val="002138D5"/>
    <w:rsid w:val="00220E0E"/>
    <w:rsid w:val="00224D92"/>
    <w:rsid w:val="00225057"/>
    <w:rsid w:val="00225EB8"/>
    <w:rsid w:val="00233A18"/>
    <w:rsid w:val="00236ADB"/>
    <w:rsid w:val="002409C9"/>
    <w:rsid w:val="0025235E"/>
    <w:rsid w:val="00255074"/>
    <w:rsid w:val="00256676"/>
    <w:rsid w:val="002569EF"/>
    <w:rsid w:val="002620A0"/>
    <w:rsid w:val="0026400E"/>
    <w:rsid w:val="002778B0"/>
    <w:rsid w:val="0028242B"/>
    <w:rsid w:val="002912B2"/>
    <w:rsid w:val="002930BF"/>
    <w:rsid w:val="00293BD5"/>
    <w:rsid w:val="00294B85"/>
    <w:rsid w:val="002A3540"/>
    <w:rsid w:val="002A4619"/>
    <w:rsid w:val="002A661C"/>
    <w:rsid w:val="002B1B03"/>
    <w:rsid w:val="002B6E80"/>
    <w:rsid w:val="002E23D6"/>
    <w:rsid w:val="002F0CCC"/>
    <w:rsid w:val="002F2356"/>
    <w:rsid w:val="002F3433"/>
    <w:rsid w:val="00303965"/>
    <w:rsid w:val="00307E7B"/>
    <w:rsid w:val="003144EC"/>
    <w:rsid w:val="003145BF"/>
    <w:rsid w:val="003163B8"/>
    <w:rsid w:val="00316FA4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6D2"/>
    <w:rsid w:val="00364BC5"/>
    <w:rsid w:val="00370D43"/>
    <w:rsid w:val="00373E81"/>
    <w:rsid w:val="003756FE"/>
    <w:rsid w:val="003768FB"/>
    <w:rsid w:val="00377916"/>
    <w:rsid w:val="00380B22"/>
    <w:rsid w:val="00383773"/>
    <w:rsid w:val="00383AE4"/>
    <w:rsid w:val="00384E31"/>
    <w:rsid w:val="0038672B"/>
    <w:rsid w:val="00387940"/>
    <w:rsid w:val="00392DA3"/>
    <w:rsid w:val="003966CF"/>
    <w:rsid w:val="003A335B"/>
    <w:rsid w:val="003A5A3B"/>
    <w:rsid w:val="003B5DA1"/>
    <w:rsid w:val="003C0839"/>
    <w:rsid w:val="003C1784"/>
    <w:rsid w:val="003C5D0F"/>
    <w:rsid w:val="003C5F22"/>
    <w:rsid w:val="003D1F57"/>
    <w:rsid w:val="003D7430"/>
    <w:rsid w:val="003E29F0"/>
    <w:rsid w:val="003E6052"/>
    <w:rsid w:val="003F169F"/>
    <w:rsid w:val="004022F1"/>
    <w:rsid w:val="00415AAA"/>
    <w:rsid w:val="00423F38"/>
    <w:rsid w:val="00424025"/>
    <w:rsid w:val="0043271F"/>
    <w:rsid w:val="00435AF9"/>
    <w:rsid w:val="00445732"/>
    <w:rsid w:val="004458A7"/>
    <w:rsid w:val="00445D62"/>
    <w:rsid w:val="00453587"/>
    <w:rsid w:val="0045478E"/>
    <w:rsid w:val="0046488C"/>
    <w:rsid w:val="00466BEC"/>
    <w:rsid w:val="00467531"/>
    <w:rsid w:val="004818CE"/>
    <w:rsid w:val="00485F41"/>
    <w:rsid w:val="004875C5"/>
    <w:rsid w:val="004918FE"/>
    <w:rsid w:val="0049705D"/>
    <w:rsid w:val="004A0A94"/>
    <w:rsid w:val="004A4D7F"/>
    <w:rsid w:val="004A6461"/>
    <w:rsid w:val="004A6D08"/>
    <w:rsid w:val="004A7518"/>
    <w:rsid w:val="004B0B3D"/>
    <w:rsid w:val="004B7DE5"/>
    <w:rsid w:val="004C07B6"/>
    <w:rsid w:val="004C2657"/>
    <w:rsid w:val="004C2BA4"/>
    <w:rsid w:val="004C6F24"/>
    <w:rsid w:val="004C7FBA"/>
    <w:rsid w:val="004D1C05"/>
    <w:rsid w:val="004D2BF5"/>
    <w:rsid w:val="004D3F7C"/>
    <w:rsid w:val="004D6F51"/>
    <w:rsid w:val="004E0D7A"/>
    <w:rsid w:val="004E4165"/>
    <w:rsid w:val="004E77A8"/>
    <w:rsid w:val="004F4A94"/>
    <w:rsid w:val="00501CD6"/>
    <w:rsid w:val="005071F0"/>
    <w:rsid w:val="005072B3"/>
    <w:rsid w:val="005074A1"/>
    <w:rsid w:val="00511A94"/>
    <w:rsid w:val="00512AD5"/>
    <w:rsid w:val="005135F3"/>
    <w:rsid w:val="005145DF"/>
    <w:rsid w:val="00517361"/>
    <w:rsid w:val="00520536"/>
    <w:rsid w:val="005220EB"/>
    <w:rsid w:val="005237B9"/>
    <w:rsid w:val="005242B1"/>
    <w:rsid w:val="00526267"/>
    <w:rsid w:val="00530A31"/>
    <w:rsid w:val="00536C2A"/>
    <w:rsid w:val="00544557"/>
    <w:rsid w:val="005466E4"/>
    <w:rsid w:val="00546AE2"/>
    <w:rsid w:val="005521B6"/>
    <w:rsid w:val="0055335A"/>
    <w:rsid w:val="00564153"/>
    <w:rsid w:val="0056510C"/>
    <w:rsid w:val="005658FE"/>
    <w:rsid w:val="00572DBA"/>
    <w:rsid w:val="00580FC9"/>
    <w:rsid w:val="00583B09"/>
    <w:rsid w:val="005862AD"/>
    <w:rsid w:val="00593505"/>
    <w:rsid w:val="005A2340"/>
    <w:rsid w:val="005A3DE9"/>
    <w:rsid w:val="005A3EEC"/>
    <w:rsid w:val="005A475B"/>
    <w:rsid w:val="005A7FDF"/>
    <w:rsid w:val="005B325A"/>
    <w:rsid w:val="005C0AF2"/>
    <w:rsid w:val="005C0EA2"/>
    <w:rsid w:val="005C1721"/>
    <w:rsid w:val="005C6E0E"/>
    <w:rsid w:val="005C7E02"/>
    <w:rsid w:val="005D2A31"/>
    <w:rsid w:val="005D64BA"/>
    <w:rsid w:val="005D7801"/>
    <w:rsid w:val="005E06C4"/>
    <w:rsid w:val="005F1545"/>
    <w:rsid w:val="005F6F12"/>
    <w:rsid w:val="005F7A3C"/>
    <w:rsid w:val="00611A31"/>
    <w:rsid w:val="00612D80"/>
    <w:rsid w:val="006151E9"/>
    <w:rsid w:val="006160EE"/>
    <w:rsid w:val="00616732"/>
    <w:rsid w:val="0063099E"/>
    <w:rsid w:val="00631F9E"/>
    <w:rsid w:val="00633C31"/>
    <w:rsid w:val="00636828"/>
    <w:rsid w:val="00637F05"/>
    <w:rsid w:val="00640C82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07B6"/>
    <w:rsid w:val="00672174"/>
    <w:rsid w:val="00673A0C"/>
    <w:rsid w:val="00676CA5"/>
    <w:rsid w:val="006775D7"/>
    <w:rsid w:val="00683073"/>
    <w:rsid w:val="00685EA5"/>
    <w:rsid w:val="00686BB9"/>
    <w:rsid w:val="0069282A"/>
    <w:rsid w:val="00694243"/>
    <w:rsid w:val="006B08AA"/>
    <w:rsid w:val="006B30C2"/>
    <w:rsid w:val="006C1779"/>
    <w:rsid w:val="006C2A78"/>
    <w:rsid w:val="006E1E5C"/>
    <w:rsid w:val="006E2619"/>
    <w:rsid w:val="006E53D9"/>
    <w:rsid w:val="006E6A17"/>
    <w:rsid w:val="006F2581"/>
    <w:rsid w:val="006F49E4"/>
    <w:rsid w:val="006F5C7C"/>
    <w:rsid w:val="006F7FAF"/>
    <w:rsid w:val="00701264"/>
    <w:rsid w:val="0070212C"/>
    <w:rsid w:val="00707D30"/>
    <w:rsid w:val="00711948"/>
    <w:rsid w:val="00713E4E"/>
    <w:rsid w:val="00714D75"/>
    <w:rsid w:val="0071523E"/>
    <w:rsid w:val="00721E7C"/>
    <w:rsid w:val="007261FB"/>
    <w:rsid w:val="00726A56"/>
    <w:rsid w:val="00726AD1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85D7C"/>
    <w:rsid w:val="0079117E"/>
    <w:rsid w:val="00791445"/>
    <w:rsid w:val="007946AE"/>
    <w:rsid w:val="00797AD2"/>
    <w:rsid w:val="007B2188"/>
    <w:rsid w:val="007B2B29"/>
    <w:rsid w:val="007B5B7D"/>
    <w:rsid w:val="007B7359"/>
    <w:rsid w:val="007C3ABF"/>
    <w:rsid w:val="007D2B1A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253F"/>
    <w:rsid w:val="007F57F9"/>
    <w:rsid w:val="00801980"/>
    <w:rsid w:val="00801B88"/>
    <w:rsid w:val="008038EE"/>
    <w:rsid w:val="008140DE"/>
    <w:rsid w:val="00815A2B"/>
    <w:rsid w:val="00821385"/>
    <w:rsid w:val="0082465B"/>
    <w:rsid w:val="008321A4"/>
    <w:rsid w:val="008454CF"/>
    <w:rsid w:val="0084694B"/>
    <w:rsid w:val="008471C1"/>
    <w:rsid w:val="00851B24"/>
    <w:rsid w:val="008616C4"/>
    <w:rsid w:val="008674A1"/>
    <w:rsid w:val="0087333B"/>
    <w:rsid w:val="00873D99"/>
    <w:rsid w:val="00875130"/>
    <w:rsid w:val="00876647"/>
    <w:rsid w:val="00880F53"/>
    <w:rsid w:val="00883685"/>
    <w:rsid w:val="00883CBA"/>
    <w:rsid w:val="00884273"/>
    <w:rsid w:val="008855E2"/>
    <w:rsid w:val="008878F9"/>
    <w:rsid w:val="00896C39"/>
    <w:rsid w:val="008A04D0"/>
    <w:rsid w:val="008A634D"/>
    <w:rsid w:val="008B259C"/>
    <w:rsid w:val="008B47BA"/>
    <w:rsid w:val="008B53DC"/>
    <w:rsid w:val="008C5F6C"/>
    <w:rsid w:val="008C7292"/>
    <w:rsid w:val="008D0193"/>
    <w:rsid w:val="008E3A8E"/>
    <w:rsid w:val="008E4284"/>
    <w:rsid w:val="008F3E94"/>
    <w:rsid w:val="008F70C3"/>
    <w:rsid w:val="00902CA9"/>
    <w:rsid w:val="00906B01"/>
    <w:rsid w:val="0091364A"/>
    <w:rsid w:val="009202C1"/>
    <w:rsid w:val="00923055"/>
    <w:rsid w:val="00925A9A"/>
    <w:rsid w:val="00926F46"/>
    <w:rsid w:val="00927820"/>
    <w:rsid w:val="00944534"/>
    <w:rsid w:val="00950DCC"/>
    <w:rsid w:val="00951C5B"/>
    <w:rsid w:val="00952FC3"/>
    <w:rsid w:val="0095437C"/>
    <w:rsid w:val="00960B85"/>
    <w:rsid w:val="00960E0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85741"/>
    <w:rsid w:val="009936CA"/>
    <w:rsid w:val="009962FB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4AD9"/>
    <w:rsid w:val="009C68F1"/>
    <w:rsid w:val="009D042C"/>
    <w:rsid w:val="009D36CB"/>
    <w:rsid w:val="009D48DA"/>
    <w:rsid w:val="009D5CA0"/>
    <w:rsid w:val="009D6999"/>
    <w:rsid w:val="009D6F51"/>
    <w:rsid w:val="009F02C5"/>
    <w:rsid w:val="009F194F"/>
    <w:rsid w:val="009F2B46"/>
    <w:rsid w:val="00A04A07"/>
    <w:rsid w:val="00A06E6A"/>
    <w:rsid w:val="00A11284"/>
    <w:rsid w:val="00A15873"/>
    <w:rsid w:val="00A173EB"/>
    <w:rsid w:val="00A20BAF"/>
    <w:rsid w:val="00A34A03"/>
    <w:rsid w:val="00A34F03"/>
    <w:rsid w:val="00A35B7B"/>
    <w:rsid w:val="00A36317"/>
    <w:rsid w:val="00A41014"/>
    <w:rsid w:val="00A44916"/>
    <w:rsid w:val="00A477D6"/>
    <w:rsid w:val="00A47AB2"/>
    <w:rsid w:val="00A64F41"/>
    <w:rsid w:val="00A673E6"/>
    <w:rsid w:val="00A728A2"/>
    <w:rsid w:val="00A72C84"/>
    <w:rsid w:val="00A74B06"/>
    <w:rsid w:val="00A756E7"/>
    <w:rsid w:val="00A757DC"/>
    <w:rsid w:val="00A85D77"/>
    <w:rsid w:val="00A9636F"/>
    <w:rsid w:val="00A9639A"/>
    <w:rsid w:val="00AA4C3C"/>
    <w:rsid w:val="00AA7A7C"/>
    <w:rsid w:val="00AB124F"/>
    <w:rsid w:val="00AB350C"/>
    <w:rsid w:val="00AB7C19"/>
    <w:rsid w:val="00AC0627"/>
    <w:rsid w:val="00AE08A6"/>
    <w:rsid w:val="00AE0974"/>
    <w:rsid w:val="00AE4FFA"/>
    <w:rsid w:val="00AE642B"/>
    <w:rsid w:val="00AF0347"/>
    <w:rsid w:val="00AF6D7C"/>
    <w:rsid w:val="00B0037C"/>
    <w:rsid w:val="00B14D75"/>
    <w:rsid w:val="00B20102"/>
    <w:rsid w:val="00B20901"/>
    <w:rsid w:val="00B301B6"/>
    <w:rsid w:val="00B36FF5"/>
    <w:rsid w:val="00B37546"/>
    <w:rsid w:val="00B40767"/>
    <w:rsid w:val="00B41855"/>
    <w:rsid w:val="00B45FF9"/>
    <w:rsid w:val="00B527BB"/>
    <w:rsid w:val="00B61591"/>
    <w:rsid w:val="00B624E4"/>
    <w:rsid w:val="00B643C2"/>
    <w:rsid w:val="00B7320B"/>
    <w:rsid w:val="00B7575D"/>
    <w:rsid w:val="00B77AB5"/>
    <w:rsid w:val="00B8001B"/>
    <w:rsid w:val="00B8084E"/>
    <w:rsid w:val="00B8104F"/>
    <w:rsid w:val="00B853A6"/>
    <w:rsid w:val="00B92DD6"/>
    <w:rsid w:val="00B9342E"/>
    <w:rsid w:val="00B93591"/>
    <w:rsid w:val="00BA57C7"/>
    <w:rsid w:val="00BA5A8A"/>
    <w:rsid w:val="00BA7339"/>
    <w:rsid w:val="00BB120E"/>
    <w:rsid w:val="00BB16EA"/>
    <w:rsid w:val="00BB18EA"/>
    <w:rsid w:val="00BB2022"/>
    <w:rsid w:val="00BC3DB9"/>
    <w:rsid w:val="00BD73D9"/>
    <w:rsid w:val="00BE3EB8"/>
    <w:rsid w:val="00BE41CD"/>
    <w:rsid w:val="00BE5647"/>
    <w:rsid w:val="00BF1073"/>
    <w:rsid w:val="00BF23F8"/>
    <w:rsid w:val="00C01B12"/>
    <w:rsid w:val="00C03EE4"/>
    <w:rsid w:val="00C05679"/>
    <w:rsid w:val="00C05E8C"/>
    <w:rsid w:val="00C063FD"/>
    <w:rsid w:val="00C36C93"/>
    <w:rsid w:val="00C40E72"/>
    <w:rsid w:val="00C43A00"/>
    <w:rsid w:val="00C515FF"/>
    <w:rsid w:val="00C63DF5"/>
    <w:rsid w:val="00C65D68"/>
    <w:rsid w:val="00C67C69"/>
    <w:rsid w:val="00C73F2C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38CC"/>
    <w:rsid w:val="00D54D31"/>
    <w:rsid w:val="00D61A3E"/>
    <w:rsid w:val="00D63A87"/>
    <w:rsid w:val="00D63CBB"/>
    <w:rsid w:val="00D63D80"/>
    <w:rsid w:val="00D658A2"/>
    <w:rsid w:val="00D677D1"/>
    <w:rsid w:val="00D74FD3"/>
    <w:rsid w:val="00D76892"/>
    <w:rsid w:val="00D81BCC"/>
    <w:rsid w:val="00D824C3"/>
    <w:rsid w:val="00D86BA7"/>
    <w:rsid w:val="00D92B69"/>
    <w:rsid w:val="00D93B6A"/>
    <w:rsid w:val="00D94A5D"/>
    <w:rsid w:val="00D96038"/>
    <w:rsid w:val="00D96676"/>
    <w:rsid w:val="00DA0538"/>
    <w:rsid w:val="00DA4BF7"/>
    <w:rsid w:val="00DB656D"/>
    <w:rsid w:val="00DB6E26"/>
    <w:rsid w:val="00DC00FB"/>
    <w:rsid w:val="00DC1BBD"/>
    <w:rsid w:val="00DC3160"/>
    <w:rsid w:val="00DC3EEE"/>
    <w:rsid w:val="00DC3F42"/>
    <w:rsid w:val="00DC4EBB"/>
    <w:rsid w:val="00DD276E"/>
    <w:rsid w:val="00DD57E5"/>
    <w:rsid w:val="00DE11DF"/>
    <w:rsid w:val="00DE496B"/>
    <w:rsid w:val="00DE4E02"/>
    <w:rsid w:val="00DE5DEA"/>
    <w:rsid w:val="00DE6296"/>
    <w:rsid w:val="00DE6DEE"/>
    <w:rsid w:val="00DE7D78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08DA"/>
    <w:rsid w:val="00E41682"/>
    <w:rsid w:val="00E4412B"/>
    <w:rsid w:val="00E649F6"/>
    <w:rsid w:val="00E65059"/>
    <w:rsid w:val="00E65763"/>
    <w:rsid w:val="00E71132"/>
    <w:rsid w:val="00E71472"/>
    <w:rsid w:val="00E72448"/>
    <w:rsid w:val="00E74099"/>
    <w:rsid w:val="00E76981"/>
    <w:rsid w:val="00E8323E"/>
    <w:rsid w:val="00E861B9"/>
    <w:rsid w:val="00E90EB5"/>
    <w:rsid w:val="00E93E37"/>
    <w:rsid w:val="00E9757D"/>
    <w:rsid w:val="00E97871"/>
    <w:rsid w:val="00EA15BA"/>
    <w:rsid w:val="00EA2882"/>
    <w:rsid w:val="00EA364B"/>
    <w:rsid w:val="00EA4B3C"/>
    <w:rsid w:val="00EA65E2"/>
    <w:rsid w:val="00EA6699"/>
    <w:rsid w:val="00EB061B"/>
    <w:rsid w:val="00EB2F06"/>
    <w:rsid w:val="00EB30CE"/>
    <w:rsid w:val="00EB54C1"/>
    <w:rsid w:val="00EC1FE8"/>
    <w:rsid w:val="00EC26DF"/>
    <w:rsid w:val="00EC4FC7"/>
    <w:rsid w:val="00EC7B25"/>
    <w:rsid w:val="00ED00C7"/>
    <w:rsid w:val="00EF48C5"/>
    <w:rsid w:val="00EF68D2"/>
    <w:rsid w:val="00F03BB7"/>
    <w:rsid w:val="00F06569"/>
    <w:rsid w:val="00F14F1B"/>
    <w:rsid w:val="00F159C3"/>
    <w:rsid w:val="00F17D57"/>
    <w:rsid w:val="00F220C6"/>
    <w:rsid w:val="00F25050"/>
    <w:rsid w:val="00F307A9"/>
    <w:rsid w:val="00F3205F"/>
    <w:rsid w:val="00F36027"/>
    <w:rsid w:val="00F4177F"/>
    <w:rsid w:val="00F41FCD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65E6D"/>
    <w:rsid w:val="00F70880"/>
    <w:rsid w:val="00F76CC5"/>
    <w:rsid w:val="00F82D03"/>
    <w:rsid w:val="00F85938"/>
    <w:rsid w:val="00F977C6"/>
    <w:rsid w:val="00FA1122"/>
    <w:rsid w:val="00FB10D0"/>
    <w:rsid w:val="00FB355D"/>
    <w:rsid w:val="00FB4F1A"/>
    <w:rsid w:val="00FB50D3"/>
    <w:rsid w:val="00FC0EFF"/>
    <w:rsid w:val="00FC1D1C"/>
    <w:rsid w:val="00FC24BD"/>
    <w:rsid w:val="00FD0384"/>
    <w:rsid w:val="00FD465D"/>
    <w:rsid w:val="00FD6B28"/>
    <w:rsid w:val="00FD7FAD"/>
    <w:rsid w:val="00FE697D"/>
    <w:rsid w:val="00FF0F76"/>
    <w:rsid w:val="00FF39BD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B0BF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523E"/>
    <w:pPr>
      <w:ind w:left="720"/>
      <w:contextualSpacing/>
    </w:pPr>
  </w:style>
  <w:style w:type="paragraph" w:customStyle="1" w:styleId="tv213">
    <w:name w:val="tv213"/>
    <w:basedOn w:val="Normal"/>
    <w:rsid w:val="0045478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7513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1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6C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6C6C-3D46-4590-B6F6-A44A02AD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5915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Sintija Gulbe</cp:lastModifiedBy>
  <cp:revision>2</cp:revision>
  <cp:lastPrinted>2015-07-10T08:13:00Z</cp:lastPrinted>
  <dcterms:created xsi:type="dcterms:W3CDTF">2021-02-25T10:48:00Z</dcterms:created>
  <dcterms:modified xsi:type="dcterms:W3CDTF">2021-02-25T10:48:00Z</dcterms:modified>
</cp:coreProperties>
</file>