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07FD0" w14:textId="69027924" w:rsidR="00E5323B" w:rsidRDefault="00E263FD" w:rsidP="00FB1845">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sdt>
        <w:sdtPr>
          <w:rPr>
            <w:rFonts w:ascii="Times New Roman" w:eastAsia="Times New Roman" w:hAnsi="Times New Roman" w:cs="Times New Roman"/>
            <w:b/>
            <w:bCs/>
            <w:color w:val="414142"/>
            <w:sz w:val="24"/>
            <w:szCs w:val="24"/>
            <w:lang w:eastAsia="lv-LV"/>
          </w:rPr>
          <w:id w:val="882755678"/>
          <w:placeholder>
            <w:docPart w:val="B2513C7936974E769D1103048039203D"/>
          </w:placeholder>
        </w:sdtPr>
        <w:sdtEndPr/>
        <w:sdtContent>
          <w:r w:rsidR="00FB1845">
            <w:rPr>
              <w:rFonts w:ascii="Times New Roman" w:eastAsia="Times New Roman" w:hAnsi="Times New Roman" w:cs="Times New Roman"/>
              <w:b/>
              <w:bCs/>
              <w:color w:val="414142"/>
              <w:sz w:val="24"/>
              <w:szCs w:val="24"/>
              <w:lang w:eastAsia="lv-LV"/>
            </w:rPr>
            <w:t xml:space="preserve">Likumprojekta </w:t>
          </w:r>
          <w:r w:rsidR="00F10D4F" w:rsidRPr="000252F9">
            <w:rPr>
              <w:rFonts w:ascii="Times New Roman" w:eastAsia="Times New Roman" w:hAnsi="Times New Roman" w:cs="Times New Roman"/>
              <w:b/>
              <w:bCs/>
              <w:color w:val="414142"/>
              <w:sz w:val="24"/>
              <w:szCs w:val="24"/>
              <w:lang w:eastAsia="lv-LV"/>
            </w:rPr>
            <w:t xml:space="preserve">“Grozījumi </w:t>
          </w:r>
          <w:r w:rsidR="00B15014" w:rsidRPr="000252F9">
            <w:rPr>
              <w:rFonts w:ascii="Times New Roman" w:eastAsia="Times New Roman" w:hAnsi="Times New Roman" w:cs="Times New Roman"/>
              <w:b/>
              <w:bCs/>
              <w:color w:val="414142"/>
              <w:sz w:val="24"/>
              <w:szCs w:val="24"/>
              <w:lang w:eastAsia="lv-LV"/>
            </w:rPr>
            <w:t>“</w:t>
          </w:r>
          <w:r w:rsidR="00F10D4F" w:rsidRPr="000252F9">
            <w:rPr>
              <w:rFonts w:ascii="Times New Roman" w:eastAsia="Times New Roman" w:hAnsi="Times New Roman" w:cs="Times New Roman"/>
              <w:b/>
              <w:bCs/>
              <w:color w:val="414142"/>
              <w:sz w:val="24"/>
              <w:szCs w:val="24"/>
              <w:lang w:eastAsia="lv-LV"/>
            </w:rPr>
            <w:t>Sporta likumā”</w:t>
          </w:r>
          <w:r w:rsidR="00B15014" w:rsidRPr="000252F9">
            <w:rPr>
              <w:rFonts w:ascii="Times New Roman" w:eastAsia="Times New Roman" w:hAnsi="Times New Roman" w:cs="Times New Roman"/>
              <w:b/>
              <w:bCs/>
              <w:color w:val="414142"/>
              <w:sz w:val="24"/>
              <w:szCs w:val="24"/>
              <w:lang w:eastAsia="lv-LV"/>
            </w:rPr>
            <w:t>”</w:t>
          </w:r>
        </w:sdtContent>
      </w:sdt>
      <w:r w:rsidR="00B15014" w:rsidRPr="000252F9">
        <w:rPr>
          <w:rFonts w:ascii="Times New Roman" w:eastAsia="Times New Roman" w:hAnsi="Times New Roman" w:cs="Times New Roman"/>
          <w:b/>
          <w:bCs/>
          <w:color w:val="414142"/>
          <w:sz w:val="24"/>
          <w:szCs w:val="24"/>
          <w:lang w:eastAsia="lv-LV"/>
        </w:rPr>
        <w:t xml:space="preserve"> </w:t>
      </w:r>
      <w:r w:rsidR="003B0BF9" w:rsidRPr="000252F9">
        <w:rPr>
          <w:rFonts w:ascii="Times New Roman" w:eastAsia="Times New Roman" w:hAnsi="Times New Roman" w:cs="Times New Roman"/>
          <w:b/>
          <w:bCs/>
          <w:color w:val="414142"/>
          <w:sz w:val="24"/>
          <w:szCs w:val="24"/>
          <w:lang w:eastAsia="lv-LV"/>
        </w:rPr>
        <w:br/>
      </w:r>
      <w:r w:rsidR="00894C55" w:rsidRPr="000252F9">
        <w:rPr>
          <w:rFonts w:ascii="Times New Roman" w:eastAsia="Times New Roman" w:hAnsi="Times New Roman" w:cs="Times New Roman"/>
          <w:b/>
          <w:bCs/>
          <w:color w:val="414142"/>
          <w:sz w:val="24"/>
          <w:szCs w:val="24"/>
          <w:lang w:eastAsia="lv-LV"/>
        </w:rPr>
        <w:t>sākotnējās ietekmes novērtējuma ziņojums (anotācija)</w:t>
      </w:r>
    </w:p>
    <w:p w14:paraId="1EEE3797" w14:textId="77777777" w:rsidR="003B28C1" w:rsidRPr="000252F9" w:rsidRDefault="003B28C1" w:rsidP="00FB1845">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0252F9" w14:paraId="05A265A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043CEE" w14:textId="77777777" w:rsidR="00655F2C" w:rsidRPr="000252F9" w:rsidRDefault="00E5323B" w:rsidP="000252F9">
            <w:pPr>
              <w:spacing w:after="0" w:line="240" w:lineRule="auto"/>
              <w:jc w:val="center"/>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Tiesību akta projekta anotācijas kopsavilkums</w:t>
            </w:r>
          </w:p>
        </w:tc>
      </w:tr>
      <w:tr w:rsidR="00E5323B" w:rsidRPr="000252F9" w14:paraId="38813EE5" w14:textId="77777777" w:rsidTr="003B28C1">
        <w:trPr>
          <w:trHeight w:val="466"/>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222A6C9"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665552B" w14:textId="23B1E0D2" w:rsidR="00EB1946" w:rsidRPr="00FB1845" w:rsidRDefault="00A36B31" w:rsidP="00DE697F">
            <w:pPr>
              <w:spacing w:after="0" w:line="240" w:lineRule="auto"/>
              <w:jc w:val="both"/>
              <w:rPr>
                <w:rFonts w:ascii="Times New Roman" w:eastAsia="Times New Roman" w:hAnsi="Times New Roman" w:cs="Times New Roman"/>
                <w:iCs/>
                <w:sz w:val="24"/>
                <w:szCs w:val="24"/>
                <w:lang w:eastAsia="lv-LV"/>
              </w:rPr>
            </w:pPr>
            <w:r w:rsidRPr="00FB1845">
              <w:rPr>
                <w:rFonts w:ascii="Times New Roman" w:eastAsia="Times New Roman" w:hAnsi="Times New Roman" w:cs="Times New Roman"/>
                <w:iCs/>
                <w:sz w:val="24"/>
                <w:szCs w:val="24"/>
                <w:lang w:eastAsia="lv-LV"/>
              </w:rPr>
              <w:t xml:space="preserve">Lai pārņemtu  </w:t>
            </w:r>
            <w:r w:rsidR="00B03E12" w:rsidRPr="00FB1845">
              <w:rPr>
                <w:rFonts w:ascii="Times New Roman" w:eastAsia="Times New Roman" w:hAnsi="Times New Roman" w:cs="Times New Roman"/>
                <w:iCs/>
                <w:sz w:val="24"/>
                <w:szCs w:val="24"/>
                <w:lang w:eastAsia="lv-LV"/>
              </w:rPr>
              <w:t xml:space="preserve">Apvienoto Nāciju Izglītības, zinātnes un kultūras organizācijas (UNESCO) Starptautiskās konvencijas pret dopingu sportā </w:t>
            </w:r>
            <w:r w:rsidR="002E6D82" w:rsidRPr="00FB1845">
              <w:rPr>
                <w:rFonts w:ascii="Times New Roman" w:eastAsia="Times New Roman" w:hAnsi="Times New Roman" w:cs="Times New Roman"/>
                <w:iCs/>
                <w:sz w:val="24"/>
                <w:szCs w:val="24"/>
                <w:lang w:eastAsia="lv-LV"/>
              </w:rPr>
              <w:t>1.papildinājum</w:t>
            </w:r>
            <w:r w:rsidR="003E1660" w:rsidRPr="00FB1845">
              <w:rPr>
                <w:rFonts w:ascii="Times New Roman" w:eastAsia="Times New Roman" w:hAnsi="Times New Roman" w:cs="Times New Roman"/>
                <w:iCs/>
                <w:sz w:val="24"/>
                <w:szCs w:val="24"/>
                <w:lang w:eastAsia="lv-LV"/>
              </w:rPr>
              <w:t>a</w:t>
            </w:r>
            <w:r w:rsidR="002E6D82" w:rsidRPr="00FB1845">
              <w:rPr>
                <w:rFonts w:ascii="Times New Roman" w:eastAsia="Times New Roman" w:hAnsi="Times New Roman" w:cs="Times New Roman"/>
                <w:iCs/>
                <w:sz w:val="24"/>
                <w:szCs w:val="24"/>
                <w:lang w:eastAsia="lv-LV"/>
              </w:rPr>
              <w:t xml:space="preserve"> </w:t>
            </w:r>
            <w:r w:rsidR="00B03E12" w:rsidRPr="00FB1845">
              <w:rPr>
                <w:rFonts w:ascii="Times New Roman" w:eastAsia="Times New Roman" w:hAnsi="Times New Roman" w:cs="Times New Roman"/>
                <w:iCs/>
                <w:sz w:val="24"/>
                <w:szCs w:val="24"/>
                <w:lang w:eastAsia="lv-LV"/>
              </w:rPr>
              <w:t xml:space="preserve">- </w:t>
            </w:r>
            <w:r w:rsidRPr="00FB1845">
              <w:rPr>
                <w:rFonts w:ascii="Times New Roman" w:eastAsia="Times New Roman" w:hAnsi="Times New Roman" w:cs="Times New Roman"/>
                <w:iCs/>
                <w:sz w:val="24"/>
                <w:szCs w:val="24"/>
                <w:lang w:eastAsia="lv-LV"/>
              </w:rPr>
              <w:t xml:space="preserve">Pasaules Antidopinga kodeksā </w:t>
            </w:r>
            <w:r w:rsidR="00B87086" w:rsidRPr="00FB1845">
              <w:rPr>
                <w:rFonts w:ascii="Times New Roman" w:eastAsia="Times New Roman" w:hAnsi="Times New Roman" w:cs="Times New Roman"/>
                <w:iCs/>
                <w:sz w:val="24"/>
                <w:szCs w:val="24"/>
                <w:lang w:eastAsia="lv-LV"/>
              </w:rPr>
              <w:t>(turpmāk – Kodekss)</w:t>
            </w:r>
            <w:r w:rsidRPr="00FB1845">
              <w:rPr>
                <w:rFonts w:ascii="Times New Roman" w:eastAsia="Times New Roman" w:hAnsi="Times New Roman" w:cs="Times New Roman"/>
                <w:iCs/>
                <w:sz w:val="24"/>
                <w:szCs w:val="24"/>
                <w:lang w:eastAsia="lv-LV"/>
              </w:rPr>
              <w:t xml:space="preserve"> noteiktās prasības, kas </w:t>
            </w:r>
            <w:r w:rsidR="00FB1845" w:rsidRPr="00FB1845">
              <w:rPr>
                <w:rFonts w:ascii="Times New Roman" w:eastAsia="Times New Roman" w:hAnsi="Times New Roman" w:cs="Times New Roman"/>
                <w:iCs/>
                <w:sz w:val="24"/>
                <w:szCs w:val="24"/>
                <w:lang w:eastAsia="lv-LV"/>
              </w:rPr>
              <w:t xml:space="preserve">stājās </w:t>
            </w:r>
            <w:r w:rsidRPr="00FB1845">
              <w:rPr>
                <w:rFonts w:ascii="Times New Roman" w:eastAsia="Times New Roman" w:hAnsi="Times New Roman" w:cs="Times New Roman"/>
                <w:iCs/>
                <w:sz w:val="24"/>
                <w:szCs w:val="24"/>
                <w:lang w:eastAsia="lv-LV"/>
              </w:rPr>
              <w:t>spēkā 2021.gada 1.janvārī</w:t>
            </w:r>
            <w:r w:rsidR="00A503BC" w:rsidRPr="00FB1845">
              <w:rPr>
                <w:rStyle w:val="FootnoteReference"/>
                <w:rFonts w:ascii="Times New Roman" w:eastAsia="Times New Roman" w:hAnsi="Times New Roman" w:cs="Times New Roman"/>
                <w:iCs/>
                <w:sz w:val="24"/>
                <w:szCs w:val="24"/>
                <w:lang w:eastAsia="lv-LV"/>
              </w:rPr>
              <w:footnoteReference w:id="1"/>
            </w:r>
            <w:r w:rsidRPr="00FB1845">
              <w:rPr>
                <w:rFonts w:ascii="Times New Roman" w:eastAsia="Times New Roman" w:hAnsi="Times New Roman" w:cs="Times New Roman"/>
                <w:iCs/>
                <w:sz w:val="24"/>
                <w:szCs w:val="24"/>
                <w:lang w:eastAsia="lv-LV"/>
              </w:rPr>
              <w:t>, nepieciešams veikt grozījumus Sporta likumā.</w:t>
            </w:r>
            <w:r w:rsidR="005D682E">
              <w:rPr>
                <w:rFonts w:ascii="Times New Roman" w:eastAsia="Times New Roman" w:hAnsi="Times New Roman" w:cs="Times New Roman"/>
                <w:iCs/>
                <w:sz w:val="24"/>
                <w:szCs w:val="24"/>
                <w:lang w:eastAsia="lv-LV"/>
              </w:rPr>
              <w:t xml:space="preserve"> Likumprojekts </w:t>
            </w:r>
            <w:r w:rsidRPr="00FB1845">
              <w:rPr>
                <w:rFonts w:ascii="Times New Roman" w:eastAsia="Times New Roman" w:hAnsi="Times New Roman" w:cs="Times New Roman"/>
                <w:iCs/>
                <w:sz w:val="24"/>
                <w:szCs w:val="24"/>
                <w:lang w:eastAsia="lv-LV"/>
              </w:rPr>
              <w:t>“Grozījumi “Sporta likumā”</w:t>
            </w:r>
            <w:r w:rsidR="00DE697F">
              <w:rPr>
                <w:rFonts w:ascii="Times New Roman" w:eastAsia="Times New Roman" w:hAnsi="Times New Roman" w:cs="Times New Roman"/>
                <w:iCs/>
                <w:sz w:val="24"/>
                <w:szCs w:val="24"/>
                <w:lang w:eastAsia="lv-LV"/>
              </w:rPr>
              <w:t>”</w:t>
            </w:r>
            <w:r w:rsidRPr="00FB1845">
              <w:rPr>
                <w:rFonts w:ascii="Times New Roman" w:eastAsia="Times New Roman" w:hAnsi="Times New Roman" w:cs="Times New Roman"/>
                <w:iCs/>
                <w:sz w:val="24"/>
                <w:szCs w:val="24"/>
                <w:lang w:eastAsia="lv-LV"/>
              </w:rPr>
              <w:t xml:space="preserve"> (turpmāk - </w:t>
            </w:r>
            <w:r w:rsidR="00FB1845">
              <w:rPr>
                <w:rFonts w:ascii="Times New Roman" w:eastAsia="Times New Roman" w:hAnsi="Times New Roman" w:cs="Times New Roman"/>
                <w:iCs/>
                <w:sz w:val="24"/>
                <w:szCs w:val="24"/>
                <w:lang w:eastAsia="lv-LV"/>
              </w:rPr>
              <w:t>L</w:t>
            </w:r>
            <w:r w:rsidRPr="00FB1845">
              <w:rPr>
                <w:rFonts w:ascii="Times New Roman" w:eastAsia="Times New Roman" w:hAnsi="Times New Roman" w:cs="Times New Roman"/>
                <w:iCs/>
                <w:sz w:val="24"/>
                <w:szCs w:val="24"/>
                <w:lang w:eastAsia="lv-LV"/>
              </w:rPr>
              <w:t>ikumprojekts) izstrādāt</w:t>
            </w:r>
            <w:r w:rsidR="00FB1845">
              <w:rPr>
                <w:rFonts w:ascii="Times New Roman" w:eastAsia="Times New Roman" w:hAnsi="Times New Roman" w:cs="Times New Roman"/>
                <w:iCs/>
                <w:sz w:val="24"/>
                <w:szCs w:val="24"/>
                <w:lang w:eastAsia="lv-LV"/>
              </w:rPr>
              <w:t>s</w:t>
            </w:r>
            <w:r w:rsidRPr="00FB1845">
              <w:rPr>
                <w:rFonts w:ascii="Times New Roman" w:eastAsia="Times New Roman" w:hAnsi="Times New Roman" w:cs="Times New Roman"/>
                <w:iCs/>
                <w:sz w:val="24"/>
                <w:szCs w:val="24"/>
                <w:lang w:eastAsia="lv-LV"/>
              </w:rPr>
              <w:t xml:space="preserve"> balstoties uz </w:t>
            </w:r>
            <w:r w:rsidR="00FB1845">
              <w:rPr>
                <w:rFonts w:ascii="Times New Roman" w:eastAsia="Times New Roman" w:hAnsi="Times New Roman" w:cs="Times New Roman"/>
                <w:iCs/>
                <w:sz w:val="24"/>
                <w:szCs w:val="24"/>
                <w:lang w:eastAsia="lv-LV"/>
              </w:rPr>
              <w:t xml:space="preserve">2021.gada </w:t>
            </w:r>
            <w:r w:rsidR="003E1660" w:rsidRPr="00FB1845">
              <w:rPr>
                <w:rFonts w:ascii="Times New Roman" w:eastAsia="Times New Roman" w:hAnsi="Times New Roman" w:cs="Times New Roman"/>
                <w:iCs/>
                <w:sz w:val="24"/>
                <w:szCs w:val="24"/>
                <w:lang w:eastAsia="lv-LV"/>
              </w:rPr>
              <w:t>K</w:t>
            </w:r>
            <w:r w:rsidRPr="00FB1845">
              <w:rPr>
                <w:rFonts w:ascii="Times New Roman" w:eastAsia="Times New Roman" w:hAnsi="Times New Roman" w:cs="Times New Roman"/>
                <w:iCs/>
                <w:sz w:val="24"/>
                <w:szCs w:val="24"/>
                <w:lang w:eastAsia="lv-LV"/>
              </w:rPr>
              <w:t>odeksā</w:t>
            </w:r>
            <w:r w:rsidR="002E6D82" w:rsidRPr="00FB1845">
              <w:rPr>
                <w:rFonts w:ascii="Times New Roman" w:eastAsia="Times New Roman" w:hAnsi="Times New Roman" w:cs="Times New Roman"/>
                <w:iCs/>
                <w:sz w:val="24"/>
                <w:szCs w:val="24"/>
                <w:lang w:eastAsia="lv-LV"/>
              </w:rPr>
              <w:t xml:space="preserve"> </w:t>
            </w:r>
            <w:r w:rsidRPr="00FB1845">
              <w:rPr>
                <w:rFonts w:ascii="Times New Roman" w:eastAsia="Times New Roman" w:hAnsi="Times New Roman" w:cs="Times New Roman"/>
                <w:iCs/>
                <w:sz w:val="24"/>
                <w:szCs w:val="24"/>
                <w:lang w:eastAsia="lv-LV"/>
              </w:rPr>
              <w:t xml:space="preserve">minētajām prasībām, kā arī saņemtajiem ieteikumiem no </w:t>
            </w:r>
            <w:r w:rsidR="009B3BE7" w:rsidRPr="00FB1845">
              <w:rPr>
                <w:rFonts w:ascii="Times New Roman" w:eastAsia="Times New Roman" w:hAnsi="Times New Roman" w:cs="Times New Roman"/>
                <w:iCs/>
                <w:sz w:val="24"/>
                <w:szCs w:val="24"/>
                <w:lang w:eastAsia="lv-LV"/>
              </w:rPr>
              <w:t>Pasaules Antidoping</w:t>
            </w:r>
            <w:r w:rsidR="00DE697F">
              <w:rPr>
                <w:rFonts w:ascii="Times New Roman" w:eastAsia="Times New Roman" w:hAnsi="Times New Roman" w:cs="Times New Roman"/>
                <w:iCs/>
                <w:sz w:val="24"/>
                <w:szCs w:val="24"/>
                <w:lang w:eastAsia="lv-LV"/>
              </w:rPr>
              <w:t>a</w:t>
            </w:r>
            <w:r w:rsidR="009B3BE7" w:rsidRPr="00FB1845">
              <w:rPr>
                <w:rFonts w:ascii="Times New Roman" w:eastAsia="Times New Roman" w:hAnsi="Times New Roman" w:cs="Times New Roman"/>
                <w:iCs/>
                <w:sz w:val="24"/>
                <w:szCs w:val="24"/>
                <w:lang w:eastAsia="lv-LV"/>
              </w:rPr>
              <w:t xml:space="preserve"> a</w:t>
            </w:r>
            <w:r w:rsidRPr="00FB1845">
              <w:rPr>
                <w:rFonts w:ascii="Times New Roman" w:eastAsia="Times New Roman" w:hAnsi="Times New Roman" w:cs="Times New Roman"/>
                <w:iCs/>
                <w:sz w:val="24"/>
                <w:szCs w:val="24"/>
                <w:lang w:eastAsia="lv-LV"/>
              </w:rPr>
              <w:t>ģentūra</w:t>
            </w:r>
            <w:r w:rsidR="006F542B" w:rsidRPr="00FB1845">
              <w:rPr>
                <w:rFonts w:ascii="Times New Roman" w:eastAsia="Times New Roman" w:hAnsi="Times New Roman" w:cs="Times New Roman"/>
                <w:iCs/>
                <w:sz w:val="24"/>
                <w:szCs w:val="24"/>
                <w:lang w:eastAsia="lv-LV"/>
              </w:rPr>
              <w:t>s</w:t>
            </w:r>
            <w:r w:rsidR="009B3BE7" w:rsidRPr="00FB1845">
              <w:rPr>
                <w:rFonts w:ascii="Times New Roman" w:eastAsia="Times New Roman" w:hAnsi="Times New Roman" w:cs="Times New Roman"/>
                <w:iCs/>
                <w:sz w:val="24"/>
                <w:szCs w:val="24"/>
                <w:lang w:eastAsia="lv-LV"/>
              </w:rPr>
              <w:t xml:space="preserve"> (turpmāk – Aģentūra)</w:t>
            </w:r>
            <w:r w:rsidRPr="00FB1845">
              <w:rPr>
                <w:rFonts w:ascii="Times New Roman" w:eastAsia="Times New Roman" w:hAnsi="Times New Roman" w:cs="Times New Roman"/>
                <w:iCs/>
                <w:sz w:val="24"/>
                <w:szCs w:val="24"/>
                <w:lang w:eastAsia="lv-LV"/>
              </w:rPr>
              <w:t xml:space="preserve"> par </w:t>
            </w:r>
            <w:r w:rsidR="00FB1845">
              <w:rPr>
                <w:rFonts w:ascii="Times New Roman" w:eastAsia="Times New Roman" w:hAnsi="Times New Roman" w:cs="Times New Roman"/>
                <w:iCs/>
                <w:sz w:val="24"/>
                <w:szCs w:val="24"/>
                <w:lang w:eastAsia="lv-LV"/>
              </w:rPr>
              <w:t xml:space="preserve">nepieciešamo </w:t>
            </w:r>
            <w:r w:rsidRPr="00FB1845">
              <w:rPr>
                <w:rFonts w:ascii="Times New Roman" w:eastAsia="Times New Roman" w:hAnsi="Times New Roman" w:cs="Times New Roman"/>
                <w:iCs/>
                <w:sz w:val="24"/>
                <w:szCs w:val="24"/>
                <w:lang w:eastAsia="lv-LV"/>
              </w:rPr>
              <w:t xml:space="preserve">grozījumu veikšanu Latvijas normatīvajos aktos, lai nodrošinātu </w:t>
            </w:r>
            <w:r w:rsidR="0099316E" w:rsidRPr="00FB1845">
              <w:rPr>
                <w:rFonts w:ascii="Times New Roman" w:eastAsia="Times New Roman" w:hAnsi="Times New Roman" w:cs="Times New Roman"/>
                <w:iCs/>
                <w:sz w:val="24"/>
                <w:szCs w:val="24"/>
                <w:lang w:eastAsia="lv-LV"/>
              </w:rPr>
              <w:t>2021.gada</w:t>
            </w:r>
            <w:r w:rsidRPr="00FB1845">
              <w:rPr>
                <w:rFonts w:ascii="Times New Roman" w:eastAsia="Times New Roman" w:hAnsi="Times New Roman" w:cs="Times New Roman"/>
                <w:iCs/>
                <w:sz w:val="24"/>
                <w:szCs w:val="24"/>
                <w:lang w:eastAsia="lv-LV"/>
              </w:rPr>
              <w:t xml:space="preserve"> Kodeksa pārņemšanu nacionāl</w:t>
            </w:r>
            <w:r w:rsidR="002E6D82" w:rsidRPr="00FB1845">
              <w:rPr>
                <w:rFonts w:ascii="Times New Roman" w:eastAsia="Times New Roman" w:hAnsi="Times New Roman" w:cs="Times New Roman"/>
                <w:iCs/>
                <w:sz w:val="24"/>
                <w:szCs w:val="24"/>
                <w:lang w:eastAsia="lv-LV"/>
              </w:rPr>
              <w:t>a</w:t>
            </w:r>
            <w:r w:rsidRPr="00FB1845">
              <w:rPr>
                <w:rFonts w:ascii="Times New Roman" w:eastAsia="Times New Roman" w:hAnsi="Times New Roman" w:cs="Times New Roman"/>
                <w:iCs/>
                <w:sz w:val="24"/>
                <w:szCs w:val="24"/>
                <w:lang w:eastAsia="lv-LV"/>
              </w:rPr>
              <w:t>jā likumdošanā.</w:t>
            </w:r>
            <w:r w:rsidR="005D682E">
              <w:rPr>
                <w:rFonts w:ascii="Times New Roman" w:eastAsia="Times New Roman" w:hAnsi="Times New Roman" w:cs="Times New Roman"/>
                <w:iCs/>
                <w:sz w:val="24"/>
                <w:szCs w:val="24"/>
                <w:lang w:eastAsia="lv-LV"/>
              </w:rPr>
              <w:t xml:space="preserve"> </w:t>
            </w:r>
            <w:r w:rsidR="00FB1845">
              <w:rPr>
                <w:rFonts w:ascii="Times New Roman" w:eastAsia="Times New Roman" w:hAnsi="Times New Roman" w:cs="Times New Roman"/>
                <w:iCs/>
                <w:sz w:val="24"/>
                <w:szCs w:val="24"/>
                <w:lang w:eastAsia="lv-LV"/>
              </w:rPr>
              <w:t xml:space="preserve">Likumprojektā iekļautie grozījumi </w:t>
            </w:r>
            <w:r w:rsidR="002E6D82" w:rsidRPr="00FB1845">
              <w:rPr>
                <w:rFonts w:ascii="Times New Roman" w:eastAsia="Times New Roman" w:hAnsi="Times New Roman" w:cs="Times New Roman"/>
                <w:iCs/>
                <w:sz w:val="24"/>
                <w:szCs w:val="24"/>
                <w:lang w:eastAsia="lv-LV"/>
              </w:rPr>
              <w:t>i</w:t>
            </w:r>
            <w:r w:rsidR="006F542B" w:rsidRPr="00FB1845">
              <w:rPr>
                <w:rFonts w:ascii="Times New Roman" w:eastAsia="Times New Roman" w:hAnsi="Times New Roman" w:cs="Times New Roman"/>
                <w:iCs/>
                <w:sz w:val="24"/>
                <w:szCs w:val="24"/>
                <w:lang w:eastAsia="lv-LV"/>
              </w:rPr>
              <w:t>r nepieciešami</w:t>
            </w:r>
            <w:r w:rsidR="002E6D82" w:rsidRPr="00FB1845">
              <w:rPr>
                <w:rFonts w:ascii="Times New Roman" w:eastAsia="Times New Roman" w:hAnsi="Times New Roman" w:cs="Times New Roman"/>
                <w:iCs/>
                <w:sz w:val="24"/>
                <w:szCs w:val="24"/>
                <w:lang w:eastAsia="lv-LV"/>
              </w:rPr>
              <w:t>, lai Latvijas Republika un</w:t>
            </w:r>
            <w:r w:rsidR="002C66C8" w:rsidRPr="00FB1845">
              <w:rPr>
                <w:rFonts w:ascii="Times New Roman" w:eastAsia="Times New Roman" w:hAnsi="Times New Roman" w:cs="Times New Roman"/>
                <w:iCs/>
                <w:sz w:val="24"/>
                <w:szCs w:val="24"/>
                <w:lang w:eastAsia="lv-LV"/>
              </w:rPr>
              <w:t xml:space="preserve"> </w:t>
            </w:r>
            <w:r w:rsidR="005D682E">
              <w:rPr>
                <w:rFonts w:ascii="Times New Roman" w:eastAsia="Times New Roman" w:hAnsi="Times New Roman" w:cs="Times New Roman"/>
                <w:iCs/>
                <w:sz w:val="24"/>
                <w:szCs w:val="24"/>
                <w:lang w:eastAsia="lv-LV"/>
              </w:rPr>
              <w:t>Latvijas Antidopinga b</w:t>
            </w:r>
            <w:r w:rsidR="002C66C8" w:rsidRPr="00FB1845">
              <w:rPr>
                <w:rFonts w:ascii="Times New Roman" w:eastAsia="Times New Roman" w:hAnsi="Times New Roman" w:cs="Times New Roman"/>
                <w:iCs/>
                <w:sz w:val="24"/>
                <w:szCs w:val="24"/>
                <w:lang w:eastAsia="lv-LV"/>
              </w:rPr>
              <w:t>irojs</w:t>
            </w:r>
            <w:r w:rsidR="005D682E">
              <w:rPr>
                <w:rFonts w:ascii="Times New Roman" w:eastAsia="Times New Roman" w:hAnsi="Times New Roman" w:cs="Times New Roman"/>
                <w:iCs/>
                <w:sz w:val="24"/>
                <w:szCs w:val="24"/>
                <w:lang w:eastAsia="lv-LV"/>
              </w:rPr>
              <w:t xml:space="preserve"> (turpmāk – Birojs)</w:t>
            </w:r>
            <w:r w:rsidR="002E6D82" w:rsidRPr="00FB1845">
              <w:rPr>
                <w:rFonts w:ascii="Times New Roman" w:eastAsia="Times New Roman" w:hAnsi="Times New Roman" w:cs="Times New Roman"/>
                <w:iCs/>
                <w:sz w:val="24"/>
                <w:szCs w:val="24"/>
                <w:lang w:eastAsia="lv-LV"/>
              </w:rPr>
              <w:t xml:space="preserve"> spētu nodrošināt </w:t>
            </w:r>
            <w:r w:rsidR="0099316E" w:rsidRPr="00FB1845">
              <w:rPr>
                <w:rFonts w:ascii="Times New Roman" w:eastAsia="Times New Roman" w:hAnsi="Times New Roman" w:cs="Times New Roman"/>
                <w:iCs/>
                <w:sz w:val="24"/>
                <w:szCs w:val="24"/>
                <w:lang w:eastAsia="lv-LV"/>
              </w:rPr>
              <w:t xml:space="preserve">2021.gada </w:t>
            </w:r>
            <w:r w:rsidR="002E6D82" w:rsidRPr="00FB1845">
              <w:rPr>
                <w:rFonts w:ascii="Times New Roman" w:eastAsia="Times New Roman" w:hAnsi="Times New Roman" w:cs="Times New Roman"/>
                <w:iCs/>
                <w:sz w:val="24"/>
                <w:szCs w:val="24"/>
                <w:lang w:eastAsia="lv-LV"/>
              </w:rPr>
              <w:t>Kodeksa ievērošanu nacionālajā līmenī un Aģentūra atzītu</w:t>
            </w:r>
            <w:r w:rsidR="001128EB" w:rsidRPr="00FB1845">
              <w:rPr>
                <w:rFonts w:ascii="Times New Roman" w:eastAsia="Times New Roman" w:hAnsi="Times New Roman" w:cs="Times New Roman"/>
                <w:iCs/>
                <w:sz w:val="24"/>
                <w:szCs w:val="24"/>
                <w:lang w:eastAsia="lv-LV"/>
              </w:rPr>
              <w:t xml:space="preserve"> Latvijā pieņemt</w:t>
            </w:r>
            <w:r w:rsidR="00B87086" w:rsidRPr="00FB1845">
              <w:rPr>
                <w:rFonts w:ascii="Times New Roman" w:eastAsia="Times New Roman" w:hAnsi="Times New Roman" w:cs="Times New Roman"/>
                <w:iCs/>
                <w:sz w:val="24"/>
                <w:szCs w:val="24"/>
                <w:lang w:eastAsia="lv-LV"/>
              </w:rPr>
              <w:t>o</w:t>
            </w:r>
            <w:r w:rsidR="001128EB" w:rsidRPr="00FB1845">
              <w:rPr>
                <w:rFonts w:ascii="Times New Roman" w:eastAsia="Times New Roman" w:hAnsi="Times New Roman" w:cs="Times New Roman"/>
                <w:iCs/>
                <w:sz w:val="24"/>
                <w:szCs w:val="24"/>
                <w:lang w:eastAsia="lv-LV"/>
              </w:rPr>
              <w:t xml:space="preserve"> regulējum</w:t>
            </w:r>
            <w:r w:rsidR="00B87086" w:rsidRPr="00FB1845">
              <w:rPr>
                <w:rFonts w:ascii="Times New Roman" w:eastAsia="Times New Roman" w:hAnsi="Times New Roman" w:cs="Times New Roman"/>
                <w:iCs/>
                <w:sz w:val="24"/>
                <w:szCs w:val="24"/>
                <w:lang w:eastAsia="lv-LV"/>
              </w:rPr>
              <w:t>u</w:t>
            </w:r>
            <w:r w:rsidR="001128EB" w:rsidRPr="00FB1845">
              <w:rPr>
                <w:rFonts w:ascii="Times New Roman" w:eastAsia="Times New Roman" w:hAnsi="Times New Roman" w:cs="Times New Roman"/>
                <w:iCs/>
                <w:sz w:val="24"/>
                <w:szCs w:val="24"/>
                <w:lang w:eastAsia="lv-LV"/>
              </w:rPr>
              <w:t xml:space="preserve"> </w:t>
            </w:r>
            <w:r w:rsidR="0099316E" w:rsidRPr="00FB1845">
              <w:rPr>
                <w:rFonts w:ascii="Times New Roman" w:eastAsia="Times New Roman" w:hAnsi="Times New Roman" w:cs="Times New Roman"/>
                <w:iCs/>
                <w:sz w:val="24"/>
                <w:szCs w:val="24"/>
                <w:lang w:eastAsia="lv-LV"/>
              </w:rPr>
              <w:t>un antid</w:t>
            </w:r>
            <w:r w:rsidR="00D24916" w:rsidRPr="00FB1845">
              <w:rPr>
                <w:rFonts w:ascii="Times New Roman" w:eastAsia="Times New Roman" w:hAnsi="Times New Roman" w:cs="Times New Roman"/>
                <w:iCs/>
                <w:sz w:val="24"/>
                <w:szCs w:val="24"/>
                <w:lang w:eastAsia="lv-LV"/>
              </w:rPr>
              <w:t>o</w:t>
            </w:r>
            <w:r w:rsidR="0099316E" w:rsidRPr="00FB1845">
              <w:rPr>
                <w:rFonts w:ascii="Times New Roman" w:eastAsia="Times New Roman" w:hAnsi="Times New Roman" w:cs="Times New Roman"/>
                <w:iCs/>
                <w:sz w:val="24"/>
                <w:szCs w:val="24"/>
                <w:lang w:eastAsia="lv-LV"/>
              </w:rPr>
              <w:t>p</w:t>
            </w:r>
            <w:r w:rsidR="00D24916" w:rsidRPr="00FB1845">
              <w:rPr>
                <w:rFonts w:ascii="Times New Roman" w:eastAsia="Times New Roman" w:hAnsi="Times New Roman" w:cs="Times New Roman"/>
                <w:iCs/>
                <w:sz w:val="24"/>
                <w:szCs w:val="24"/>
                <w:lang w:eastAsia="lv-LV"/>
              </w:rPr>
              <w:t>i</w:t>
            </w:r>
            <w:r w:rsidR="0099316E" w:rsidRPr="00FB1845">
              <w:rPr>
                <w:rFonts w:ascii="Times New Roman" w:eastAsia="Times New Roman" w:hAnsi="Times New Roman" w:cs="Times New Roman"/>
                <w:iCs/>
                <w:sz w:val="24"/>
                <w:szCs w:val="24"/>
                <w:lang w:eastAsia="lv-LV"/>
              </w:rPr>
              <w:t xml:space="preserve">nga sistēmu </w:t>
            </w:r>
            <w:r w:rsidR="001128EB" w:rsidRPr="00FB1845">
              <w:rPr>
                <w:rFonts w:ascii="Times New Roman" w:eastAsia="Times New Roman" w:hAnsi="Times New Roman" w:cs="Times New Roman"/>
                <w:iCs/>
                <w:sz w:val="24"/>
                <w:szCs w:val="24"/>
                <w:lang w:eastAsia="lv-LV"/>
              </w:rPr>
              <w:t>par atbilstošu Kodeksa prasībām</w:t>
            </w:r>
            <w:r w:rsidR="0099316E" w:rsidRPr="00FB1845">
              <w:rPr>
                <w:rFonts w:ascii="Times New Roman" w:eastAsia="Times New Roman" w:hAnsi="Times New Roman" w:cs="Times New Roman"/>
                <w:iCs/>
                <w:sz w:val="24"/>
                <w:szCs w:val="24"/>
                <w:lang w:eastAsia="lv-LV"/>
              </w:rPr>
              <w:t>. Vienlaikus veicot</w:t>
            </w:r>
            <w:r w:rsidR="006F542B" w:rsidRPr="00FB1845">
              <w:rPr>
                <w:rFonts w:ascii="Times New Roman" w:eastAsia="Times New Roman" w:hAnsi="Times New Roman" w:cs="Times New Roman"/>
                <w:iCs/>
                <w:sz w:val="24"/>
                <w:szCs w:val="24"/>
                <w:lang w:eastAsia="lv-LV"/>
              </w:rPr>
              <w:t xml:space="preserve"> </w:t>
            </w:r>
            <w:r w:rsidR="00FB1845">
              <w:rPr>
                <w:rFonts w:ascii="Times New Roman" w:eastAsia="Times New Roman" w:hAnsi="Times New Roman" w:cs="Times New Roman"/>
                <w:iCs/>
                <w:sz w:val="24"/>
                <w:szCs w:val="24"/>
                <w:lang w:eastAsia="lv-LV"/>
              </w:rPr>
              <w:t xml:space="preserve">Likumprojektā  iekļautos </w:t>
            </w:r>
            <w:r w:rsidR="003140A3" w:rsidRPr="00FB1845">
              <w:rPr>
                <w:rFonts w:ascii="Times New Roman" w:eastAsia="Times New Roman" w:hAnsi="Times New Roman" w:cs="Times New Roman"/>
                <w:iCs/>
                <w:sz w:val="24"/>
                <w:szCs w:val="24"/>
                <w:lang w:eastAsia="lv-LV"/>
              </w:rPr>
              <w:t xml:space="preserve">grozījumus </w:t>
            </w:r>
            <w:r w:rsidR="0099316E" w:rsidRPr="00FB1845">
              <w:rPr>
                <w:rFonts w:ascii="Times New Roman" w:eastAsia="Times New Roman" w:hAnsi="Times New Roman" w:cs="Times New Roman"/>
                <w:iCs/>
                <w:sz w:val="24"/>
                <w:szCs w:val="24"/>
                <w:lang w:eastAsia="lv-LV"/>
              </w:rPr>
              <w:t xml:space="preserve">detalizētāk tiks regulēti </w:t>
            </w:r>
            <w:r w:rsidR="003140A3" w:rsidRPr="00FB1845">
              <w:rPr>
                <w:rFonts w:ascii="Times New Roman" w:eastAsia="Times New Roman" w:hAnsi="Times New Roman" w:cs="Times New Roman"/>
                <w:iCs/>
                <w:sz w:val="24"/>
                <w:szCs w:val="24"/>
                <w:lang w:eastAsia="lv-LV"/>
              </w:rPr>
              <w:t>jautājum</w:t>
            </w:r>
            <w:r w:rsidR="0099316E" w:rsidRPr="00FB1845">
              <w:rPr>
                <w:rFonts w:ascii="Times New Roman" w:eastAsia="Times New Roman" w:hAnsi="Times New Roman" w:cs="Times New Roman"/>
                <w:iCs/>
                <w:sz w:val="24"/>
                <w:szCs w:val="24"/>
                <w:lang w:eastAsia="lv-LV"/>
              </w:rPr>
              <w:t>i</w:t>
            </w:r>
            <w:r w:rsidR="003140A3" w:rsidRPr="00FB1845">
              <w:rPr>
                <w:rFonts w:ascii="Times New Roman" w:eastAsia="Times New Roman" w:hAnsi="Times New Roman" w:cs="Times New Roman"/>
                <w:iCs/>
                <w:sz w:val="24"/>
                <w:szCs w:val="24"/>
                <w:lang w:eastAsia="lv-LV"/>
              </w:rPr>
              <w:t xml:space="preserve">, kas skar </w:t>
            </w:r>
            <w:r w:rsidR="003E1660" w:rsidRPr="00FB1845">
              <w:rPr>
                <w:rFonts w:ascii="Times New Roman" w:eastAsia="Times New Roman" w:hAnsi="Times New Roman" w:cs="Times New Roman"/>
                <w:iCs/>
                <w:sz w:val="24"/>
                <w:szCs w:val="24"/>
                <w:lang w:eastAsia="lv-LV"/>
              </w:rPr>
              <w:t xml:space="preserve">Biroja </w:t>
            </w:r>
            <w:r w:rsidR="005D682E">
              <w:rPr>
                <w:rFonts w:ascii="Times New Roman" w:eastAsia="Times New Roman" w:hAnsi="Times New Roman" w:cs="Times New Roman"/>
                <w:iCs/>
                <w:sz w:val="24"/>
                <w:szCs w:val="24"/>
                <w:lang w:eastAsia="lv-LV"/>
              </w:rPr>
              <w:t xml:space="preserve">kompetenci un </w:t>
            </w:r>
            <w:r w:rsidR="003140A3" w:rsidRPr="00FB1845">
              <w:rPr>
                <w:rFonts w:ascii="Times New Roman" w:eastAsia="Times New Roman" w:hAnsi="Times New Roman" w:cs="Times New Roman"/>
                <w:iCs/>
                <w:sz w:val="24"/>
                <w:szCs w:val="24"/>
                <w:lang w:eastAsia="lv-LV"/>
              </w:rPr>
              <w:t xml:space="preserve">deleģējumu, </w:t>
            </w:r>
            <w:r w:rsidR="003E1660" w:rsidRPr="00FB1845">
              <w:rPr>
                <w:rFonts w:ascii="Times New Roman" w:eastAsia="Times New Roman" w:hAnsi="Times New Roman" w:cs="Times New Roman"/>
                <w:iCs/>
                <w:sz w:val="24"/>
                <w:szCs w:val="24"/>
                <w:lang w:eastAsia="lv-LV"/>
              </w:rPr>
              <w:t xml:space="preserve">dažādu antidopinga pārkāpumu izmeklēšanā un novēršanā iesaistīto </w:t>
            </w:r>
            <w:r w:rsidR="003140A3" w:rsidRPr="00FB1845">
              <w:rPr>
                <w:rFonts w:ascii="Times New Roman" w:eastAsia="Times New Roman" w:hAnsi="Times New Roman" w:cs="Times New Roman"/>
                <w:iCs/>
                <w:sz w:val="24"/>
                <w:szCs w:val="24"/>
                <w:lang w:eastAsia="lv-LV"/>
              </w:rPr>
              <w:t>komisiju deleģējumu</w:t>
            </w:r>
            <w:r w:rsidR="00FB1845">
              <w:rPr>
                <w:rFonts w:ascii="Times New Roman" w:eastAsia="Times New Roman" w:hAnsi="Times New Roman" w:cs="Times New Roman"/>
                <w:iCs/>
                <w:sz w:val="24"/>
                <w:szCs w:val="24"/>
                <w:lang w:eastAsia="lv-LV"/>
              </w:rPr>
              <w:t xml:space="preserve">, </w:t>
            </w:r>
            <w:r w:rsidR="003140A3" w:rsidRPr="00FB1845">
              <w:rPr>
                <w:rFonts w:ascii="Times New Roman" w:eastAsia="Times New Roman" w:hAnsi="Times New Roman" w:cs="Times New Roman"/>
                <w:iCs/>
                <w:sz w:val="24"/>
                <w:szCs w:val="24"/>
                <w:lang w:eastAsia="lv-LV"/>
              </w:rPr>
              <w:t>u.c.</w:t>
            </w:r>
            <w:r w:rsidR="00D24916" w:rsidRPr="00FB1845">
              <w:rPr>
                <w:rFonts w:ascii="Times New Roman" w:eastAsia="Times New Roman" w:hAnsi="Times New Roman" w:cs="Times New Roman"/>
                <w:iCs/>
                <w:sz w:val="24"/>
                <w:szCs w:val="24"/>
                <w:lang w:eastAsia="lv-LV"/>
              </w:rPr>
              <w:t xml:space="preserve"> </w:t>
            </w:r>
            <w:r w:rsidR="003E1660" w:rsidRPr="00FB1845">
              <w:rPr>
                <w:rFonts w:ascii="Times New Roman" w:eastAsia="Times New Roman" w:hAnsi="Times New Roman" w:cs="Times New Roman"/>
                <w:iCs/>
                <w:sz w:val="24"/>
                <w:szCs w:val="24"/>
                <w:lang w:eastAsia="lv-LV"/>
              </w:rPr>
              <w:t>jautājumiem</w:t>
            </w:r>
            <w:r w:rsidR="006F542B" w:rsidRPr="00FB1845">
              <w:rPr>
                <w:rFonts w:ascii="Times New Roman" w:eastAsia="Times New Roman" w:hAnsi="Times New Roman" w:cs="Times New Roman"/>
                <w:iCs/>
                <w:sz w:val="24"/>
                <w:szCs w:val="24"/>
                <w:lang w:eastAsia="lv-LV"/>
              </w:rPr>
              <w:t xml:space="preserve">, kas </w:t>
            </w:r>
            <w:r w:rsidR="005D682E">
              <w:rPr>
                <w:rFonts w:ascii="Times New Roman" w:eastAsia="Times New Roman" w:hAnsi="Times New Roman" w:cs="Times New Roman"/>
                <w:iCs/>
                <w:sz w:val="24"/>
                <w:szCs w:val="24"/>
                <w:lang w:eastAsia="lv-LV"/>
              </w:rPr>
              <w:t xml:space="preserve">izriet no </w:t>
            </w:r>
            <w:r w:rsidR="006F542B" w:rsidRPr="00FB1845">
              <w:rPr>
                <w:rFonts w:ascii="Times New Roman" w:eastAsia="Times New Roman" w:hAnsi="Times New Roman" w:cs="Times New Roman"/>
                <w:iCs/>
                <w:sz w:val="24"/>
                <w:szCs w:val="24"/>
                <w:lang w:eastAsia="lv-LV"/>
              </w:rPr>
              <w:t>2021.gada Kodeks</w:t>
            </w:r>
            <w:r w:rsidR="005D682E">
              <w:rPr>
                <w:rFonts w:ascii="Times New Roman" w:eastAsia="Times New Roman" w:hAnsi="Times New Roman" w:cs="Times New Roman"/>
                <w:iCs/>
                <w:sz w:val="24"/>
                <w:szCs w:val="24"/>
                <w:lang w:eastAsia="lv-LV"/>
              </w:rPr>
              <w:t>ā minētā.</w:t>
            </w:r>
            <w:r w:rsidR="000E2E51">
              <w:rPr>
                <w:rFonts w:ascii="Times New Roman" w:eastAsia="Times New Roman" w:hAnsi="Times New Roman" w:cs="Times New Roman"/>
                <w:iCs/>
                <w:sz w:val="24"/>
                <w:szCs w:val="24"/>
                <w:lang w:eastAsia="lv-LV"/>
              </w:rPr>
              <w:t xml:space="preserve"> Ņemot vērā, ka 2021.gada Kodekss stājās spēkā ar 2021.gada 1.janvāri, Likumprojektā ietvertajiem grozījumiem jāstājas spēkā uzreiz pēc Likumprojekta pieņemšanas Saeimā.</w:t>
            </w:r>
          </w:p>
        </w:tc>
      </w:tr>
    </w:tbl>
    <w:p w14:paraId="51569CB9"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4065BC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C754A1"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0252F9" w14:paraId="59C5447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FC09CE"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A11283C"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C8695D7" w14:textId="77777777" w:rsidR="00EB1946" w:rsidRDefault="00230DD1" w:rsidP="003B28C1">
            <w:pPr>
              <w:spacing w:after="0" w:line="240" w:lineRule="auto"/>
              <w:jc w:val="both"/>
              <w:rPr>
                <w:rFonts w:ascii="Times New Roman" w:hAnsi="Times New Roman" w:cs="Times New Roman"/>
                <w:sz w:val="24"/>
                <w:szCs w:val="24"/>
              </w:rPr>
            </w:pPr>
            <w:r w:rsidRPr="000252F9">
              <w:rPr>
                <w:rFonts w:ascii="Times New Roman" w:hAnsi="Times New Roman" w:cs="Times New Roman"/>
                <w:sz w:val="24"/>
                <w:szCs w:val="24"/>
              </w:rPr>
              <w:t>2021.</w:t>
            </w:r>
            <w:r w:rsidR="003B28C1">
              <w:rPr>
                <w:rFonts w:ascii="Times New Roman" w:hAnsi="Times New Roman" w:cs="Times New Roman"/>
                <w:sz w:val="24"/>
                <w:szCs w:val="24"/>
              </w:rPr>
              <w:t>gada</w:t>
            </w:r>
            <w:r w:rsidRPr="000252F9">
              <w:rPr>
                <w:rFonts w:ascii="Times New Roman" w:hAnsi="Times New Roman" w:cs="Times New Roman"/>
                <w:sz w:val="24"/>
                <w:szCs w:val="24"/>
              </w:rPr>
              <w:t xml:space="preserve"> </w:t>
            </w:r>
            <w:r w:rsidR="006F542B" w:rsidRPr="000252F9">
              <w:rPr>
                <w:rFonts w:ascii="Times New Roman" w:hAnsi="Times New Roman" w:cs="Times New Roman"/>
                <w:sz w:val="24"/>
                <w:szCs w:val="24"/>
              </w:rPr>
              <w:t>K</w:t>
            </w:r>
            <w:r w:rsidR="005F0132" w:rsidRPr="000252F9">
              <w:rPr>
                <w:rFonts w:ascii="Times New Roman" w:hAnsi="Times New Roman" w:cs="Times New Roman"/>
                <w:sz w:val="24"/>
                <w:szCs w:val="24"/>
              </w:rPr>
              <w:t>odekss un Starptautiskie standarti, kas tika pieņemti 2019.gada 7.novembrī un stā</w:t>
            </w:r>
            <w:r w:rsidR="003B28C1">
              <w:rPr>
                <w:rFonts w:ascii="Times New Roman" w:hAnsi="Times New Roman" w:cs="Times New Roman"/>
                <w:sz w:val="24"/>
                <w:szCs w:val="24"/>
              </w:rPr>
              <w:t>jās</w:t>
            </w:r>
            <w:r w:rsidR="005F0132" w:rsidRPr="000252F9">
              <w:rPr>
                <w:rFonts w:ascii="Times New Roman" w:hAnsi="Times New Roman" w:cs="Times New Roman"/>
                <w:sz w:val="24"/>
                <w:szCs w:val="24"/>
              </w:rPr>
              <w:t xml:space="preserve"> spēkā 2021.gada </w:t>
            </w:r>
            <w:r w:rsidR="002A6B8B" w:rsidRPr="000252F9">
              <w:rPr>
                <w:rFonts w:ascii="Times New Roman" w:hAnsi="Times New Roman" w:cs="Times New Roman"/>
                <w:sz w:val="24"/>
                <w:szCs w:val="24"/>
              </w:rPr>
              <w:t>1.janvārī.</w:t>
            </w:r>
          </w:p>
          <w:p w14:paraId="0F415E24" w14:textId="4ED5D29C" w:rsidR="003B28C1" w:rsidRPr="003B28C1" w:rsidRDefault="003B28C1" w:rsidP="003B28C1">
            <w:pPr>
              <w:spacing w:after="0" w:line="240" w:lineRule="auto"/>
              <w:jc w:val="both"/>
              <w:rPr>
                <w:rFonts w:ascii="Times New Roman" w:hAnsi="Times New Roman" w:cs="Times New Roman"/>
                <w:sz w:val="24"/>
                <w:szCs w:val="24"/>
              </w:rPr>
            </w:pPr>
            <w:r w:rsidRPr="00FB1845">
              <w:rPr>
                <w:rFonts w:ascii="Times New Roman" w:eastAsia="Times New Roman" w:hAnsi="Times New Roman" w:cs="Times New Roman"/>
                <w:iCs/>
                <w:sz w:val="24"/>
                <w:szCs w:val="24"/>
                <w:lang w:eastAsia="lv-LV"/>
              </w:rPr>
              <w:t>2020.gada 17.decembr</w:t>
            </w:r>
            <w:r>
              <w:rPr>
                <w:rFonts w:ascii="Times New Roman" w:eastAsia="Times New Roman" w:hAnsi="Times New Roman" w:cs="Times New Roman"/>
                <w:iCs/>
                <w:sz w:val="24"/>
                <w:szCs w:val="24"/>
                <w:lang w:eastAsia="lv-LV"/>
              </w:rPr>
              <w:t xml:space="preserve">a </w:t>
            </w:r>
            <w:r w:rsidRPr="00FB1845">
              <w:rPr>
                <w:rStyle w:val="normaltextrun"/>
                <w:rFonts w:ascii="Times New Roman" w:hAnsi="Times New Roman" w:cs="Times New Roman"/>
                <w:color w:val="000000"/>
                <w:sz w:val="24"/>
                <w:szCs w:val="24"/>
                <w:shd w:val="clear" w:color="auto" w:fill="FFFFFF"/>
              </w:rPr>
              <w:t>Ministru kabinet</w:t>
            </w:r>
            <w:r>
              <w:rPr>
                <w:rStyle w:val="normaltextrun"/>
                <w:rFonts w:ascii="Times New Roman" w:hAnsi="Times New Roman" w:cs="Times New Roman"/>
                <w:color w:val="000000"/>
                <w:sz w:val="24"/>
                <w:szCs w:val="24"/>
                <w:shd w:val="clear" w:color="auto" w:fill="FFFFFF"/>
              </w:rPr>
              <w:t xml:space="preserve">a noteikumi Nr. 799 </w:t>
            </w:r>
            <w:r w:rsidRPr="00FB1845">
              <w:rPr>
                <w:rStyle w:val="normaltextrun"/>
                <w:rFonts w:ascii="Times New Roman" w:hAnsi="Times New Roman" w:cs="Times New Roman"/>
                <w:color w:val="000000"/>
                <w:sz w:val="24"/>
                <w:szCs w:val="24"/>
                <w:shd w:val="clear" w:color="auto" w:fill="FFFFFF"/>
              </w:rPr>
              <w:t xml:space="preserve"> “Par Pasaules Antidopinga aģentūra 2021.gada Pasaules Antidopinga kodeksa pieņemšanu” </w:t>
            </w:r>
            <w:r>
              <w:rPr>
                <w:rStyle w:val="FootnoteReference"/>
                <w:rFonts w:ascii="Times New Roman" w:hAnsi="Times New Roman" w:cs="Times New Roman"/>
                <w:color w:val="000000"/>
                <w:sz w:val="24"/>
                <w:szCs w:val="24"/>
                <w:shd w:val="clear" w:color="auto" w:fill="FFFFFF"/>
              </w:rPr>
              <w:footnoteReference w:id="2"/>
            </w:r>
            <w:r w:rsidRPr="00FB1845">
              <w:rPr>
                <w:rStyle w:val="normaltextrun"/>
                <w:rFonts w:ascii="Times New Roman" w:hAnsi="Times New Roman" w:cs="Times New Roman"/>
                <w:color w:val="000000"/>
                <w:sz w:val="24"/>
                <w:szCs w:val="24"/>
                <w:shd w:val="clear" w:color="auto" w:fill="FFFFFF"/>
              </w:rPr>
              <w:t> (prot. Nr. 84 60. §)</w:t>
            </w:r>
          </w:p>
        </w:tc>
      </w:tr>
      <w:tr w:rsidR="00E5323B" w:rsidRPr="000252F9" w14:paraId="3AE9F8C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E0B50A"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8E2DBA"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Pašreizējā situācija un problēmas, kuru risināšanai </w:t>
            </w:r>
            <w:r w:rsidRPr="000252F9">
              <w:rPr>
                <w:rFonts w:ascii="Times New Roman" w:eastAsia="Times New Roman" w:hAnsi="Times New Roman" w:cs="Times New Roman"/>
                <w:iCs/>
                <w:sz w:val="24"/>
                <w:szCs w:val="24"/>
                <w:lang w:eastAsia="lv-LV"/>
              </w:rPr>
              <w:lastRenderedPageBreak/>
              <w:t>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0CFEE9FB" w14:textId="4750DEA6" w:rsidR="0017096E" w:rsidRPr="00D41BDF" w:rsidRDefault="003B28C1" w:rsidP="0017096E">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lastRenderedPageBreak/>
              <w:t xml:space="preserve">Aģentūra Kodeksu pirmo reizi pieņēma 2003. gadā un tas stājās spēkā 2004. gadā. Līdz šim Kodekss ir grozīts </w:t>
            </w:r>
            <w:r w:rsidRPr="00D41BDF">
              <w:rPr>
                <w:rFonts w:ascii="Times New Roman" w:hAnsi="Times New Roman" w:cs="Times New Roman"/>
                <w:sz w:val="24"/>
                <w:szCs w:val="24"/>
              </w:rPr>
              <w:lastRenderedPageBreak/>
              <w:t>četras reizes - 2009. gada 1. janvārī, 2015. gada 1. janvārī un 2018. gada 1. aprīlī un 2019.gada 1.jūnijā. 2017.gada 16.novembrī tika uzsākts 2015.gada Kodeksa un tā Starptautisko standartu pārskatīšanas process. 2021.gada Kodeksu</w:t>
            </w:r>
            <w:r w:rsidR="009F050D" w:rsidRPr="00D41BDF">
              <w:rPr>
                <w:rFonts w:ascii="Times New Roman" w:hAnsi="Times New Roman" w:cs="Times New Roman"/>
                <w:sz w:val="24"/>
                <w:szCs w:val="24"/>
              </w:rPr>
              <w:t xml:space="preserve"> un Starptautiskos standartus</w:t>
            </w:r>
            <w:r w:rsidRPr="00D41BDF">
              <w:rPr>
                <w:rFonts w:ascii="Times New Roman" w:hAnsi="Times New Roman" w:cs="Times New Roman"/>
                <w:sz w:val="24"/>
                <w:szCs w:val="24"/>
              </w:rPr>
              <w:t xml:space="preserve"> apstiprināja </w:t>
            </w:r>
            <w:r w:rsidR="009F050D" w:rsidRPr="00D41BDF">
              <w:rPr>
                <w:rFonts w:ascii="Times New Roman" w:hAnsi="Times New Roman" w:cs="Times New Roman"/>
                <w:sz w:val="24"/>
                <w:szCs w:val="24"/>
              </w:rPr>
              <w:t>A</w:t>
            </w:r>
            <w:r w:rsidRPr="00D41BDF">
              <w:rPr>
                <w:rFonts w:ascii="Times New Roman" w:hAnsi="Times New Roman" w:cs="Times New Roman"/>
                <w:sz w:val="24"/>
                <w:szCs w:val="24"/>
              </w:rPr>
              <w:t xml:space="preserve">ģentūras valde 2019.gada 7.novembrī </w:t>
            </w:r>
            <w:r w:rsidR="009F050D" w:rsidRPr="00D41BDF">
              <w:rPr>
                <w:rFonts w:ascii="Times New Roman" w:hAnsi="Times New Roman" w:cs="Times New Roman"/>
                <w:sz w:val="24"/>
                <w:szCs w:val="24"/>
              </w:rPr>
              <w:t>A</w:t>
            </w:r>
            <w:r w:rsidRPr="00D41BDF">
              <w:rPr>
                <w:rFonts w:ascii="Times New Roman" w:hAnsi="Times New Roman" w:cs="Times New Roman"/>
                <w:sz w:val="24"/>
                <w:szCs w:val="24"/>
              </w:rPr>
              <w:t>ģentūras organizētajā piektajā pasaules konferencē par dopingu sportā. P</w:t>
            </w:r>
            <w:r w:rsidRPr="00D41BDF">
              <w:rPr>
                <w:rFonts w:ascii="Times New Roman" w:eastAsia="Times New Roman" w:hAnsi="Times New Roman" w:cs="Times New Roman"/>
                <w:sz w:val="24"/>
                <w:szCs w:val="24"/>
              </w:rPr>
              <w:t xml:space="preserve">ārskatītais 2021. gada </w:t>
            </w:r>
            <w:r w:rsidRPr="00D41BDF">
              <w:rPr>
                <w:rFonts w:ascii="Times New Roman" w:hAnsi="Times New Roman" w:cs="Times New Roman"/>
                <w:sz w:val="24"/>
                <w:szCs w:val="24"/>
              </w:rPr>
              <w:t>K</w:t>
            </w:r>
            <w:r w:rsidRPr="00D41BDF">
              <w:rPr>
                <w:rFonts w:ascii="Times New Roman" w:eastAsia="Times New Roman" w:hAnsi="Times New Roman" w:cs="Times New Roman"/>
                <w:sz w:val="24"/>
                <w:szCs w:val="24"/>
              </w:rPr>
              <w:t>odekss stājās spēkā 2021. gada 1. janvārī.</w:t>
            </w:r>
            <w:r w:rsidRPr="00D41BDF">
              <w:rPr>
                <w:rFonts w:ascii="Times New Roman" w:hAnsi="Times New Roman" w:cs="Times New Roman"/>
                <w:sz w:val="24"/>
                <w:szCs w:val="24"/>
              </w:rPr>
              <w:t xml:space="preserve"> </w:t>
            </w:r>
            <w:r w:rsidR="006F542B" w:rsidRPr="00D41BDF">
              <w:rPr>
                <w:rFonts w:ascii="Times New Roman" w:hAnsi="Times New Roman" w:cs="Times New Roman"/>
                <w:sz w:val="24"/>
                <w:szCs w:val="24"/>
              </w:rPr>
              <w:t xml:space="preserve">Viens no Kodeksa ievērošanas uzdevumiem ir nacionālā līmeņa regulējuma pieņemšana, kurš atbilstu Kodeksa prasībām. </w:t>
            </w:r>
            <w:r w:rsidR="0017096E">
              <w:rPr>
                <w:rFonts w:ascii="Times New Roman" w:hAnsi="Times New Roman" w:cs="Times New Roman"/>
                <w:sz w:val="24"/>
                <w:szCs w:val="24"/>
              </w:rPr>
              <w:t xml:space="preserve">Attiecīgi </w:t>
            </w:r>
            <w:r w:rsidR="0017096E" w:rsidRPr="00FB1845">
              <w:rPr>
                <w:rFonts w:ascii="Times New Roman" w:eastAsia="Times New Roman" w:hAnsi="Times New Roman" w:cs="Times New Roman"/>
                <w:iCs/>
                <w:sz w:val="24"/>
                <w:szCs w:val="24"/>
                <w:lang w:eastAsia="lv-LV"/>
              </w:rPr>
              <w:t>2020.gada 17.decembrī</w:t>
            </w:r>
            <w:r w:rsidR="0017096E" w:rsidRPr="00FB1845">
              <w:rPr>
                <w:rStyle w:val="normaltextrun"/>
                <w:rFonts w:ascii="Times New Roman" w:hAnsi="Times New Roman" w:cs="Times New Roman"/>
                <w:color w:val="000000"/>
                <w:sz w:val="24"/>
                <w:szCs w:val="24"/>
                <w:shd w:val="clear" w:color="auto" w:fill="FFFFFF"/>
              </w:rPr>
              <w:t xml:space="preserve"> Ministru kabineta sēdē tika apstiprināt</w:t>
            </w:r>
            <w:r w:rsidR="0017096E">
              <w:rPr>
                <w:rStyle w:val="normaltextrun"/>
                <w:rFonts w:ascii="Times New Roman" w:hAnsi="Times New Roman" w:cs="Times New Roman"/>
                <w:color w:val="000000"/>
                <w:sz w:val="24"/>
                <w:szCs w:val="24"/>
                <w:shd w:val="clear" w:color="auto" w:fill="FFFFFF"/>
              </w:rPr>
              <w:t xml:space="preserve">i </w:t>
            </w:r>
            <w:r w:rsidR="0017096E" w:rsidRPr="00FB1845">
              <w:rPr>
                <w:rStyle w:val="normaltextrun"/>
                <w:rFonts w:ascii="Times New Roman" w:hAnsi="Times New Roman" w:cs="Times New Roman"/>
                <w:color w:val="000000"/>
                <w:sz w:val="24"/>
                <w:szCs w:val="24"/>
                <w:shd w:val="clear" w:color="auto" w:fill="FFFFFF"/>
              </w:rPr>
              <w:t>Ministru kabineta noteikum</w:t>
            </w:r>
            <w:r w:rsidR="0017096E">
              <w:rPr>
                <w:rStyle w:val="normaltextrun"/>
                <w:rFonts w:ascii="Times New Roman" w:hAnsi="Times New Roman" w:cs="Times New Roman"/>
                <w:color w:val="000000"/>
                <w:sz w:val="24"/>
                <w:szCs w:val="24"/>
                <w:shd w:val="clear" w:color="auto" w:fill="FFFFFF"/>
              </w:rPr>
              <w:t xml:space="preserve">i Nr.799 </w:t>
            </w:r>
            <w:r w:rsidR="0017096E" w:rsidRPr="00FB1845">
              <w:rPr>
                <w:rStyle w:val="normaltextrun"/>
                <w:rFonts w:ascii="Times New Roman" w:hAnsi="Times New Roman" w:cs="Times New Roman"/>
                <w:color w:val="000000"/>
                <w:sz w:val="24"/>
                <w:szCs w:val="24"/>
                <w:shd w:val="clear" w:color="auto" w:fill="FFFFFF"/>
              </w:rPr>
              <w:t xml:space="preserve"> “Par Pasaules Antidopinga aģentūra</w:t>
            </w:r>
            <w:r w:rsidR="0017096E">
              <w:rPr>
                <w:rStyle w:val="normaltextrun"/>
                <w:rFonts w:ascii="Times New Roman" w:hAnsi="Times New Roman" w:cs="Times New Roman"/>
                <w:color w:val="000000"/>
                <w:sz w:val="24"/>
                <w:szCs w:val="24"/>
                <w:shd w:val="clear" w:color="auto" w:fill="FFFFFF"/>
              </w:rPr>
              <w:t>s</w:t>
            </w:r>
            <w:r w:rsidR="0017096E" w:rsidRPr="00FB1845">
              <w:rPr>
                <w:rStyle w:val="normaltextrun"/>
                <w:rFonts w:ascii="Times New Roman" w:hAnsi="Times New Roman" w:cs="Times New Roman"/>
                <w:color w:val="000000"/>
                <w:sz w:val="24"/>
                <w:szCs w:val="24"/>
                <w:shd w:val="clear" w:color="auto" w:fill="FFFFFF"/>
              </w:rPr>
              <w:t xml:space="preserve"> 2021.gada Pasaules Antidopinga kodeksa pieņemšanu” </w:t>
            </w:r>
            <w:r w:rsidR="0017096E">
              <w:rPr>
                <w:rStyle w:val="FootnoteReference"/>
                <w:rFonts w:ascii="Times New Roman" w:hAnsi="Times New Roman" w:cs="Times New Roman"/>
                <w:color w:val="000000"/>
                <w:sz w:val="24"/>
                <w:szCs w:val="24"/>
                <w:shd w:val="clear" w:color="auto" w:fill="FFFFFF"/>
              </w:rPr>
              <w:footnoteReference w:id="3"/>
            </w:r>
            <w:r w:rsidR="0017096E" w:rsidRPr="00FB1845">
              <w:rPr>
                <w:rStyle w:val="normaltextrun"/>
                <w:rFonts w:ascii="Times New Roman" w:hAnsi="Times New Roman" w:cs="Times New Roman"/>
                <w:color w:val="000000"/>
                <w:sz w:val="24"/>
                <w:szCs w:val="24"/>
                <w:shd w:val="clear" w:color="auto" w:fill="FFFFFF"/>
              </w:rPr>
              <w:t> (prot. Nr. 84 60. §)</w:t>
            </w:r>
            <w:r w:rsidR="0017096E">
              <w:rPr>
                <w:rStyle w:val="normaltextrun"/>
                <w:rFonts w:ascii="Times New Roman" w:hAnsi="Times New Roman" w:cs="Times New Roman"/>
                <w:color w:val="000000"/>
                <w:sz w:val="24"/>
                <w:szCs w:val="24"/>
                <w:shd w:val="clear" w:color="auto" w:fill="FFFFFF"/>
              </w:rPr>
              <w:t xml:space="preserve">, kas </w:t>
            </w:r>
            <w:r w:rsidR="0017096E" w:rsidRPr="00D46ACD">
              <w:rPr>
                <w:rFonts w:ascii="Times New Roman" w:eastAsia="Times New Roman" w:hAnsi="Times New Roman" w:cs="Times New Roman"/>
                <w:iCs/>
                <w:sz w:val="24"/>
                <w:szCs w:val="24"/>
                <w:lang w:eastAsia="lv-LV"/>
              </w:rPr>
              <w:t>notei</w:t>
            </w:r>
            <w:r w:rsidR="0017096E">
              <w:rPr>
                <w:rFonts w:ascii="Times New Roman" w:eastAsia="Times New Roman" w:hAnsi="Times New Roman" w:cs="Times New Roman"/>
                <w:iCs/>
                <w:sz w:val="24"/>
                <w:szCs w:val="24"/>
                <w:lang w:eastAsia="lv-LV"/>
              </w:rPr>
              <w:t>ca,</w:t>
            </w:r>
            <w:r w:rsidR="0017096E" w:rsidRPr="00D46ACD">
              <w:rPr>
                <w:rFonts w:ascii="Times New Roman" w:eastAsia="Times New Roman" w:hAnsi="Times New Roman" w:cs="Times New Roman"/>
                <w:iCs/>
                <w:sz w:val="24"/>
                <w:szCs w:val="24"/>
                <w:lang w:eastAsia="lv-LV"/>
              </w:rPr>
              <w:t xml:space="preserve"> ka </w:t>
            </w:r>
            <w:r w:rsidR="0017096E">
              <w:rPr>
                <w:rFonts w:ascii="Times New Roman" w:eastAsia="Times New Roman" w:hAnsi="Times New Roman" w:cs="Times New Roman"/>
                <w:iCs/>
                <w:sz w:val="24"/>
                <w:szCs w:val="24"/>
                <w:lang w:eastAsia="lv-LV"/>
              </w:rPr>
              <w:t xml:space="preserve">Latvijā ir pieņemts un apstiprināts </w:t>
            </w:r>
            <w:r w:rsidR="0017096E" w:rsidRPr="00D46ACD">
              <w:rPr>
                <w:rFonts w:ascii="Times New Roman" w:eastAsia="Times New Roman" w:hAnsi="Times New Roman" w:cs="Times New Roman"/>
                <w:iCs/>
                <w:sz w:val="24"/>
                <w:szCs w:val="24"/>
                <w:lang w:eastAsia="lv-LV"/>
              </w:rPr>
              <w:t xml:space="preserve">2021.gada </w:t>
            </w:r>
            <w:r w:rsidR="0017096E">
              <w:rPr>
                <w:rFonts w:ascii="Times New Roman" w:eastAsia="Times New Roman" w:hAnsi="Times New Roman" w:cs="Times New Roman"/>
                <w:iCs/>
                <w:sz w:val="24"/>
                <w:szCs w:val="24"/>
                <w:lang w:eastAsia="lv-LV"/>
              </w:rPr>
              <w:t>K</w:t>
            </w:r>
            <w:r w:rsidR="0017096E" w:rsidRPr="00D46ACD">
              <w:rPr>
                <w:rFonts w:ascii="Times New Roman" w:eastAsia="Times New Roman" w:hAnsi="Times New Roman" w:cs="Times New Roman"/>
                <w:iCs/>
                <w:sz w:val="24"/>
                <w:szCs w:val="24"/>
                <w:lang w:eastAsia="lv-LV"/>
              </w:rPr>
              <w:t>odekss</w:t>
            </w:r>
            <w:r w:rsidR="0017096E">
              <w:rPr>
                <w:rFonts w:ascii="Times New Roman" w:eastAsia="Times New Roman" w:hAnsi="Times New Roman" w:cs="Times New Roman"/>
                <w:iCs/>
                <w:sz w:val="24"/>
                <w:szCs w:val="24"/>
                <w:lang w:eastAsia="lv-LV"/>
              </w:rPr>
              <w:t xml:space="preserve">. 2021.gada Kodeksa pieņemšanu un paredzēto saistību izpildi </w:t>
            </w:r>
            <w:r w:rsidR="0017096E" w:rsidRPr="00D46ACD">
              <w:rPr>
                <w:rFonts w:ascii="Times New Roman" w:eastAsia="Times New Roman" w:hAnsi="Times New Roman" w:cs="Times New Roman"/>
                <w:iCs/>
                <w:sz w:val="24"/>
                <w:szCs w:val="24"/>
                <w:lang w:eastAsia="lv-LV"/>
              </w:rPr>
              <w:t xml:space="preserve">nodrošina </w:t>
            </w:r>
            <w:r w:rsidR="0017096E">
              <w:rPr>
                <w:rFonts w:ascii="Times New Roman" w:eastAsia="Times New Roman" w:hAnsi="Times New Roman" w:cs="Times New Roman"/>
                <w:iCs/>
                <w:sz w:val="24"/>
                <w:szCs w:val="24"/>
                <w:lang w:eastAsia="lv-LV"/>
              </w:rPr>
              <w:t>Birojs.</w:t>
            </w:r>
          </w:p>
          <w:p w14:paraId="6234BC4A" w14:textId="7A074C8E" w:rsidR="000F1F6E" w:rsidRPr="00D41BDF" w:rsidRDefault="00C719AB" w:rsidP="000252F9">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t xml:space="preserve">Saskaņā ar </w:t>
            </w:r>
            <w:r w:rsidR="00206F75" w:rsidRPr="00D41BDF">
              <w:rPr>
                <w:rFonts w:ascii="Times New Roman" w:hAnsi="Times New Roman" w:cs="Times New Roman"/>
                <w:sz w:val="24"/>
                <w:szCs w:val="24"/>
              </w:rPr>
              <w:t xml:space="preserve">2021.gada </w:t>
            </w:r>
            <w:r w:rsidRPr="00D41BDF">
              <w:rPr>
                <w:rFonts w:ascii="Times New Roman" w:hAnsi="Times New Roman" w:cs="Times New Roman"/>
                <w:sz w:val="24"/>
                <w:szCs w:val="24"/>
              </w:rPr>
              <w:t>Kodeks</w:t>
            </w:r>
            <w:r w:rsidR="00206F75" w:rsidRPr="00D41BDF">
              <w:rPr>
                <w:rFonts w:ascii="Times New Roman" w:hAnsi="Times New Roman" w:cs="Times New Roman"/>
                <w:sz w:val="24"/>
                <w:szCs w:val="24"/>
              </w:rPr>
              <w:t>u un tajā veiktajiem papildinājumiem</w:t>
            </w:r>
            <w:r w:rsidRPr="00D41BDF">
              <w:rPr>
                <w:rFonts w:ascii="Times New Roman" w:hAnsi="Times New Roman" w:cs="Times New Roman"/>
                <w:sz w:val="24"/>
                <w:szCs w:val="24"/>
              </w:rPr>
              <w:t xml:space="preserve">, kuri </w:t>
            </w:r>
            <w:r w:rsidR="009B3BE7" w:rsidRPr="00D41BDF">
              <w:rPr>
                <w:rFonts w:ascii="Times New Roman" w:hAnsi="Times New Roman" w:cs="Times New Roman"/>
                <w:sz w:val="24"/>
                <w:szCs w:val="24"/>
              </w:rPr>
              <w:t xml:space="preserve">stājās </w:t>
            </w:r>
            <w:r w:rsidRPr="00D41BDF">
              <w:rPr>
                <w:rFonts w:ascii="Times New Roman" w:hAnsi="Times New Roman" w:cs="Times New Roman"/>
                <w:sz w:val="24"/>
                <w:szCs w:val="24"/>
              </w:rPr>
              <w:t xml:space="preserve">spēkā 2021.gada 1.janvārī ir konstatējamas vairākas izmaiņas, kuras ir nepieciešams </w:t>
            </w:r>
            <w:r w:rsidR="009F050D" w:rsidRPr="00D41BDF">
              <w:rPr>
                <w:rFonts w:ascii="Times New Roman" w:hAnsi="Times New Roman" w:cs="Times New Roman"/>
                <w:sz w:val="24"/>
                <w:szCs w:val="24"/>
              </w:rPr>
              <w:t xml:space="preserve">veikt </w:t>
            </w:r>
            <w:r w:rsidRPr="00D41BDF">
              <w:rPr>
                <w:rFonts w:ascii="Times New Roman" w:hAnsi="Times New Roman" w:cs="Times New Roman"/>
                <w:sz w:val="24"/>
                <w:szCs w:val="24"/>
              </w:rPr>
              <w:t>nacionālajā regulējumā</w:t>
            </w:r>
            <w:r w:rsidR="00206F75" w:rsidRPr="00D41BDF">
              <w:rPr>
                <w:rFonts w:ascii="Times New Roman" w:hAnsi="Times New Roman" w:cs="Times New Roman"/>
                <w:sz w:val="24"/>
                <w:szCs w:val="24"/>
              </w:rPr>
              <w:t>, lai nodrošināt</w:t>
            </w:r>
            <w:r w:rsidR="009F050D" w:rsidRPr="00D41BDF">
              <w:rPr>
                <w:rFonts w:ascii="Times New Roman" w:hAnsi="Times New Roman" w:cs="Times New Roman"/>
                <w:sz w:val="24"/>
                <w:szCs w:val="24"/>
              </w:rPr>
              <w:t>u</w:t>
            </w:r>
            <w:r w:rsidR="00206F75" w:rsidRPr="00D41BDF">
              <w:rPr>
                <w:rFonts w:ascii="Times New Roman" w:hAnsi="Times New Roman" w:cs="Times New Roman"/>
                <w:sz w:val="24"/>
                <w:szCs w:val="24"/>
              </w:rPr>
              <w:t xml:space="preserve"> Latvijas antidopinga normatīvā regulējuma un sistēmas </w:t>
            </w:r>
            <w:r w:rsidR="00D24916" w:rsidRPr="00D41BDF">
              <w:rPr>
                <w:rFonts w:ascii="Times New Roman" w:hAnsi="Times New Roman" w:cs="Times New Roman"/>
                <w:sz w:val="24"/>
                <w:szCs w:val="24"/>
              </w:rPr>
              <w:t>atbilstību</w:t>
            </w:r>
            <w:r w:rsidR="00206F75" w:rsidRPr="00D41BDF">
              <w:rPr>
                <w:rFonts w:ascii="Times New Roman" w:hAnsi="Times New Roman" w:cs="Times New Roman"/>
                <w:sz w:val="24"/>
                <w:szCs w:val="24"/>
              </w:rPr>
              <w:t xml:space="preserve"> </w:t>
            </w:r>
            <w:r w:rsidR="000F1F6E" w:rsidRPr="00D41BDF">
              <w:rPr>
                <w:rFonts w:ascii="Times New Roman" w:hAnsi="Times New Roman" w:cs="Times New Roman"/>
                <w:sz w:val="24"/>
                <w:szCs w:val="24"/>
              </w:rPr>
              <w:t xml:space="preserve">2021.gada </w:t>
            </w:r>
            <w:r w:rsidR="00206F75" w:rsidRPr="00D41BDF">
              <w:rPr>
                <w:rFonts w:ascii="Times New Roman" w:hAnsi="Times New Roman" w:cs="Times New Roman"/>
                <w:sz w:val="24"/>
                <w:szCs w:val="24"/>
              </w:rPr>
              <w:t>Kodeksa prasībām</w:t>
            </w:r>
            <w:r w:rsidR="000F1F6E" w:rsidRPr="00D41BDF">
              <w:rPr>
                <w:rFonts w:ascii="Times New Roman" w:hAnsi="Times New Roman" w:cs="Times New Roman"/>
                <w:sz w:val="24"/>
                <w:szCs w:val="24"/>
              </w:rPr>
              <w:t>. Veicot Kodeksa pārskatīšanu, tika pārskatīti arī Starptautiskie standarti</w:t>
            </w:r>
            <w:r w:rsidR="002A6B8B" w:rsidRPr="00D41BDF">
              <w:rPr>
                <w:rFonts w:ascii="Times New Roman" w:hAnsi="Times New Roman" w:cs="Times New Roman"/>
                <w:sz w:val="24"/>
                <w:szCs w:val="24"/>
              </w:rPr>
              <w:t xml:space="preserve">, kas </w:t>
            </w:r>
            <w:r w:rsidR="009F050D" w:rsidRPr="00D41BDF">
              <w:rPr>
                <w:rFonts w:ascii="Times New Roman" w:hAnsi="Times New Roman" w:cs="Times New Roman"/>
                <w:sz w:val="24"/>
                <w:szCs w:val="24"/>
              </w:rPr>
              <w:t xml:space="preserve">arī </w:t>
            </w:r>
            <w:r w:rsidR="002A6B8B" w:rsidRPr="00D41BDF">
              <w:rPr>
                <w:rFonts w:ascii="Times New Roman" w:hAnsi="Times New Roman" w:cs="Times New Roman"/>
                <w:sz w:val="24"/>
                <w:szCs w:val="24"/>
              </w:rPr>
              <w:t>tik</w:t>
            </w:r>
            <w:r w:rsidR="00F342A2">
              <w:rPr>
                <w:rFonts w:ascii="Times New Roman" w:hAnsi="Times New Roman" w:cs="Times New Roman"/>
                <w:sz w:val="24"/>
                <w:szCs w:val="24"/>
              </w:rPr>
              <w:t>a</w:t>
            </w:r>
            <w:r w:rsidR="002A6B8B" w:rsidRPr="00D41BDF">
              <w:rPr>
                <w:rFonts w:ascii="Times New Roman" w:hAnsi="Times New Roman" w:cs="Times New Roman"/>
                <w:sz w:val="24"/>
                <w:szCs w:val="24"/>
              </w:rPr>
              <w:t xml:space="preserve"> pieņemti 2019.gada 7.novembrī un </w:t>
            </w:r>
            <w:r w:rsidR="009B3BE7" w:rsidRPr="00D41BDF">
              <w:rPr>
                <w:rFonts w:ascii="Times New Roman" w:hAnsi="Times New Roman" w:cs="Times New Roman"/>
                <w:sz w:val="24"/>
                <w:szCs w:val="24"/>
              </w:rPr>
              <w:t xml:space="preserve">stājās </w:t>
            </w:r>
            <w:r w:rsidR="002A6B8B" w:rsidRPr="00D41BDF">
              <w:rPr>
                <w:rFonts w:ascii="Times New Roman" w:hAnsi="Times New Roman" w:cs="Times New Roman"/>
                <w:sz w:val="24"/>
                <w:szCs w:val="24"/>
              </w:rPr>
              <w:t xml:space="preserve">spēkā 2021.gada 1.janvārī. Klāt jau esošajiem </w:t>
            </w:r>
            <w:r w:rsidR="00D24916" w:rsidRPr="00D41BDF">
              <w:rPr>
                <w:rFonts w:ascii="Times New Roman" w:hAnsi="Times New Roman" w:cs="Times New Roman"/>
                <w:sz w:val="24"/>
                <w:szCs w:val="24"/>
              </w:rPr>
              <w:t>Starptautiskajiem</w:t>
            </w:r>
            <w:r w:rsidR="002A6B8B" w:rsidRPr="00D41BDF">
              <w:rPr>
                <w:rFonts w:ascii="Times New Roman" w:hAnsi="Times New Roman" w:cs="Times New Roman"/>
                <w:sz w:val="24"/>
                <w:szCs w:val="24"/>
              </w:rPr>
              <w:t xml:space="preserve"> standartiem- Pārbaužu un izmeklējumu starptautiskais standarts, Terapeitiskās lietošanas atļaujas starptautiskais standarts, Aizliegto vielu un metožu starptautiskais standarts, Parakstītāju starptautiskais kodeksa ievērošanas standarts, Laboratoriju starptautiskais standarts, Starptautiskais privātuma un personas datu aizsardzības standarts, </w:t>
            </w:r>
            <w:r w:rsidR="000F1F6E" w:rsidRPr="00D41BDF">
              <w:rPr>
                <w:rFonts w:ascii="Times New Roman" w:hAnsi="Times New Roman" w:cs="Times New Roman"/>
                <w:sz w:val="24"/>
                <w:szCs w:val="24"/>
              </w:rPr>
              <w:t>2021.gada 1.janvār</w:t>
            </w:r>
            <w:r w:rsidR="002A6B8B" w:rsidRPr="00D41BDF">
              <w:rPr>
                <w:rFonts w:ascii="Times New Roman" w:hAnsi="Times New Roman" w:cs="Times New Roman"/>
                <w:sz w:val="24"/>
                <w:szCs w:val="24"/>
              </w:rPr>
              <w:t>ī</w:t>
            </w:r>
            <w:r w:rsidR="000F1F6E" w:rsidRPr="00D41BDF">
              <w:rPr>
                <w:rFonts w:ascii="Times New Roman" w:hAnsi="Times New Roman" w:cs="Times New Roman"/>
                <w:sz w:val="24"/>
                <w:szCs w:val="24"/>
              </w:rPr>
              <w:t xml:space="preserve"> </w:t>
            </w:r>
            <w:r w:rsidR="009F050D" w:rsidRPr="00D41BDF">
              <w:rPr>
                <w:rFonts w:ascii="Times New Roman" w:hAnsi="Times New Roman" w:cs="Times New Roman"/>
                <w:sz w:val="24"/>
                <w:szCs w:val="24"/>
              </w:rPr>
              <w:t xml:space="preserve">spēkā </w:t>
            </w:r>
            <w:r w:rsidR="009B3BE7" w:rsidRPr="00D41BDF">
              <w:rPr>
                <w:rFonts w:ascii="Times New Roman" w:hAnsi="Times New Roman" w:cs="Times New Roman"/>
                <w:sz w:val="24"/>
                <w:szCs w:val="24"/>
              </w:rPr>
              <w:t xml:space="preserve">stājās </w:t>
            </w:r>
            <w:r w:rsidR="000F1F6E" w:rsidRPr="00D41BDF">
              <w:rPr>
                <w:rFonts w:ascii="Times New Roman" w:hAnsi="Times New Roman" w:cs="Times New Roman"/>
                <w:sz w:val="24"/>
                <w:szCs w:val="24"/>
              </w:rPr>
              <w:t>divi jauni</w:t>
            </w:r>
            <w:r w:rsidR="009B3BE7" w:rsidRPr="00D41BDF">
              <w:rPr>
                <w:rFonts w:ascii="Times New Roman" w:hAnsi="Times New Roman" w:cs="Times New Roman"/>
                <w:sz w:val="24"/>
                <w:szCs w:val="24"/>
              </w:rPr>
              <w:t xml:space="preserve"> </w:t>
            </w:r>
            <w:r w:rsidR="009F050D" w:rsidRPr="00D41BDF">
              <w:rPr>
                <w:rFonts w:ascii="Times New Roman" w:hAnsi="Times New Roman" w:cs="Times New Roman"/>
                <w:sz w:val="24"/>
                <w:szCs w:val="24"/>
              </w:rPr>
              <w:t>S</w:t>
            </w:r>
            <w:r w:rsidR="009B3BE7" w:rsidRPr="00D41BDF">
              <w:rPr>
                <w:rFonts w:ascii="Times New Roman" w:hAnsi="Times New Roman" w:cs="Times New Roman"/>
                <w:sz w:val="24"/>
                <w:szCs w:val="24"/>
              </w:rPr>
              <w:t>tarptautiskie standarti</w:t>
            </w:r>
            <w:r w:rsidR="002A6B8B" w:rsidRPr="00D41BDF">
              <w:rPr>
                <w:rFonts w:ascii="Times New Roman" w:hAnsi="Times New Roman" w:cs="Times New Roman"/>
                <w:sz w:val="24"/>
                <w:szCs w:val="24"/>
              </w:rPr>
              <w:t xml:space="preserve">, </w:t>
            </w:r>
            <w:r w:rsidR="000F1F6E" w:rsidRPr="00D41BDF">
              <w:rPr>
                <w:rFonts w:ascii="Times New Roman" w:hAnsi="Times New Roman" w:cs="Times New Roman"/>
                <w:sz w:val="24"/>
                <w:szCs w:val="24"/>
              </w:rPr>
              <w:t>kas netika iekļauti iepriekšējā 2015.gadā Kodeks</w:t>
            </w:r>
            <w:r w:rsidR="002A6B8B" w:rsidRPr="00D41BDF">
              <w:rPr>
                <w:rFonts w:ascii="Times New Roman" w:hAnsi="Times New Roman" w:cs="Times New Roman"/>
                <w:sz w:val="24"/>
                <w:szCs w:val="24"/>
              </w:rPr>
              <w:t>ā</w:t>
            </w:r>
            <w:r w:rsidR="000F1F6E" w:rsidRPr="00D41BDF">
              <w:rPr>
                <w:rFonts w:ascii="Times New Roman" w:hAnsi="Times New Roman" w:cs="Times New Roman"/>
                <w:sz w:val="24"/>
                <w:szCs w:val="24"/>
              </w:rPr>
              <w:t xml:space="preserve"> – Starptautiskais izglītības standarts</w:t>
            </w:r>
            <w:r w:rsidR="000F1F6E" w:rsidRPr="00D41BDF">
              <w:rPr>
                <w:rStyle w:val="FootnoteReference"/>
                <w:rFonts w:ascii="Times New Roman" w:hAnsi="Times New Roman" w:cs="Times New Roman"/>
                <w:sz w:val="24"/>
                <w:szCs w:val="24"/>
              </w:rPr>
              <w:footnoteReference w:id="4"/>
            </w:r>
            <w:r w:rsidR="000F1F6E" w:rsidRPr="00D41BDF">
              <w:rPr>
                <w:rFonts w:ascii="Times New Roman" w:hAnsi="Times New Roman" w:cs="Times New Roman"/>
                <w:sz w:val="24"/>
                <w:szCs w:val="24"/>
              </w:rPr>
              <w:t xml:space="preserve"> un Starptautiskais rezultātu pārvaldības standarts</w:t>
            </w:r>
            <w:r w:rsidR="00CB1BE0" w:rsidRPr="00D41BDF">
              <w:rPr>
                <w:rStyle w:val="FootnoteReference"/>
                <w:rFonts w:ascii="Times New Roman" w:hAnsi="Times New Roman" w:cs="Times New Roman"/>
                <w:sz w:val="24"/>
                <w:szCs w:val="24"/>
              </w:rPr>
              <w:footnoteReference w:id="5"/>
            </w:r>
            <w:r w:rsidR="002A6B8B" w:rsidRPr="00D41BDF">
              <w:rPr>
                <w:rFonts w:ascii="Times New Roman" w:hAnsi="Times New Roman" w:cs="Times New Roman"/>
                <w:sz w:val="24"/>
                <w:szCs w:val="24"/>
              </w:rPr>
              <w:t>.</w:t>
            </w:r>
          </w:p>
          <w:p w14:paraId="3CB489F4" w14:textId="77777777" w:rsidR="001F49E5" w:rsidRPr="00D41BDF" w:rsidRDefault="00813B9E" w:rsidP="000252F9">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t xml:space="preserve">Šobrīd Sporta likuma </w:t>
            </w:r>
            <w:r w:rsidR="00DC4330" w:rsidRPr="00D41BDF">
              <w:rPr>
                <w:rFonts w:ascii="Times New Roman" w:hAnsi="Times New Roman" w:cs="Times New Roman"/>
                <w:sz w:val="24"/>
                <w:szCs w:val="24"/>
              </w:rPr>
              <w:t>11.</w:t>
            </w:r>
            <w:r w:rsidR="00DC4330" w:rsidRPr="00D41BDF">
              <w:rPr>
                <w:rFonts w:ascii="Times New Roman" w:hAnsi="Times New Roman" w:cs="Times New Roman"/>
                <w:sz w:val="24"/>
                <w:szCs w:val="24"/>
                <w:vertAlign w:val="superscript"/>
              </w:rPr>
              <w:t xml:space="preserve">2 </w:t>
            </w:r>
            <w:r w:rsidR="00DC4330" w:rsidRPr="00D41BDF">
              <w:rPr>
                <w:rFonts w:ascii="Times New Roman" w:hAnsi="Times New Roman" w:cs="Times New Roman"/>
                <w:sz w:val="24"/>
                <w:szCs w:val="24"/>
              </w:rPr>
              <w:t xml:space="preserve">panta pirmās daļas 2.punkts nosaka, ka </w:t>
            </w:r>
            <w:r w:rsidR="0089710B" w:rsidRPr="00D41BDF">
              <w:rPr>
                <w:rFonts w:ascii="Times New Roman" w:hAnsi="Times New Roman" w:cs="Times New Roman"/>
                <w:sz w:val="24"/>
                <w:szCs w:val="24"/>
              </w:rPr>
              <w:t>B</w:t>
            </w:r>
            <w:r w:rsidR="00DC4330" w:rsidRPr="00D41BDF">
              <w:rPr>
                <w:rFonts w:ascii="Times New Roman" w:hAnsi="Times New Roman" w:cs="Times New Roman"/>
                <w:sz w:val="24"/>
                <w:szCs w:val="24"/>
              </w:rPr>
              <w:t>irojs sagatavo un apstiprina ikgadēj</w:t>
            </w:r>
            <w:r w:rsidR="00B87086" w:rsidRPr="00D41BDF">
              <w:rPr>
                <w:rFonts w:ascii="Times New Roman" w:hAnsi="Times New Roman" w:cs="Times New Roman"/>
                <w:sz w:val="24"/>
                <w:szCs w:val="24"/>
              </w:rPr>
              <w:t>o</w:t>
            </w:r>
            <w:r w:rsidR="00DC4330" w:rsidRPr="00D41BDF">
              <w:rPr>
                <w:rFonts w:ascii="Times New Roman" w:hAnsi="Times New Roman" w:cs="Times New Roman"/>
                <w:sz w:val="24"/>
                <w:szCs w:val="24"/>
              </w:rPr>
              <w:t xml:space="preserve"> dopinga kontroļu analīžu plānu un ikgadējos </w:t>
            </w:r>
            <w:r w:rsidR="00DC4330" w:rsidRPr="00D41BDF">
              <w:rPr>
                <w:rFonts w:ascii="Times New Roman" w:hAnsi="Times New Roman" w:cs="Times New Roman"/>
                <w:sz w:val="24"/>
                <w:szCs w:val="24"/>
              </w:rPr>
              <w:lastRenderedPageBreak/>
              <w:t xml:space="preserve">pārbaudāmo sportistu reģistrus. </w:t>
            </w:r>
            <w:r w:rsidR="0089710B" w:rsidRPr="00D41BDF">
              <w:rPr>
                <w:rFonts w:ascii="Times New Roman" w:hAnsi="Times New Roman" w:cs="Times New Roman"/>
                <w:sz w:val="24"/>
                <w:szCs w:val="24"/>
              </w:rPr>
              <w:t>Likumprojekt</w:t>
            </w:r>
            <w:r w:rsidR="00905F22" w:rsidRPr="00D41BDF">
              <w:rPr>
                <w:rFonts w:ascii="Times New Roman" w:hAnsi="Times New Roman" w:cs="Times New Roman"/>
                <w:sz w:val="24"/>
                <w:szCs w:val="24"/>
              </w:rPr>
              <w:t>ā</w:t>
            </w:r>
            <w:r w:rsidR="00074BF3" w:rsidRPr="00D41BDF">
              <w:rPr>
                <w:rFonts w:ascii="Times New Roman" w:hAnsi="Times New Roman" w:cs="Times New Roman"/>
                <w:sz w:val="24"/>
                <w:szCs w:val="24"/>
              </w:rPr>
              <w:t xml:space="preserve"> </w:t>
            </w:r>
            <w:r w:rsidR="00DC4330" w:rsidRPr="00D41BDF">
              <w:rPr>
                <w:rFonts w:ascii="Times New Roman" w:hAnsi="Times New Roman" w:cs="Times New Roman"/>
                <w:sz w:val="24"/>
                <w:szCs w:val="24"/>
              </w:rPr>
              <w:t xml:space="preserve">tiek </w:t>
            </w:r>
            <w:r w:rsidR="00905F22" w:rsidRPr="00D41BDF">
              <w:rPr>
                <w:rFonts w:ascii="Times New Roman" w:hAnsi="Times New Roman" w:cs="Times New Roman"/>
                <w:sz w:val="24"/>
                <w:szCs w:val="24"/>
              </w:rPr>
              <w:t>paredzēts</w:t>
            </w:r>
            <w:r w:rsidR="00074BF3" w:rsidRPr="00D41BDF">
              <w:rPr>
                <w:rFonts w:ascii="Times New Roman" w:hAnsi="Times New Roman" w:cs="Times New Roman"/>
                <w:sz w:val="24"/>
                <w:szCs w:val="24"/>
              </w:rPr>
              <w:t xml:space="preserve"> </w:t>
            </w:r>
            <w:r w:rsidR="008B3247" w:rsidRPr="00D41BDF">
              <w:rPr>
                <w:rFonts w:ascii="Times New Roman" w:hAnsi="Times New Roman" w:cs="Times New Roman"/>
                <w:sz w:val="24"/>
                <w:szCs w:val="24"/>
              </w:rPr>
              <w:t>preci</w:t>
            </w:r>
            <w:r w:rsidR="009F050D" w:rsidRPr="00D41BDF">
              <w:rPr>
                <w:rFonts w:ascii="Times New Roman" w:hAnsi="Times New Roman" w:cs="Times New Roman"/>
                <w:sz w:val="24"/>
                <w:szCs w:val="24"/>
              </w:rPr>
              <w:t>zējums minētajā normā</w:t>
            </w:r>
            <w:r w:rsidR="008B3247" w:rsidRPr="00D41BDF">
              <w:rPr>
                <w:rFonts w:ascii="Times New Roman" w:hAnsi="Times New Roman" w:cs="Times New Roman"/>
                <w:sz w:val="24"/>
                <w:szCs w:val="24"/>
              </w:rPr>
              <w:t xml:space="preserve"> norādot, ka </w:t>
            </w:r>
            <w:r w:rsidR="009F050D" w:rsidRPr="00D41BDF">
              <w:rPr>
                <w:rFonts w:ascii="Times New Roman" w:hAnsi="Times New Roman" w:cs="Times New Roman"/>
                <w:sz w:val="24"/>
                <w:szCs w:val="24"/>
              </w:rPr>
              <w:t xml:space="preserve">Birojs </w:t>
            </w:r>
            <w:r w:rsidR="008B3247" w:rsidRPr="00D41BDF">
              <w:rPr>
                <w:rFonts w:ascii="Times New Roman" w:hAnsi="Times New Roman" w:cs="Times New Roman"/>
                <w:sz w:val="24"/>
                <w:szCs w:val="24"/>
              </w:rPr>
              <w:t xml:space="preserve">var </w:t>
            </w:r>
            <w:r w:rsidR="009F050D" w:rsidRPr="00D41BDF">
              <w:rPr>
                <w:rFonts w:ascii="Times New Roman" w:hAnsi="Times New Roman" w:cs="Times New Roman"/>
                <w:sz w:val="24"/>
                <w:szCs w:val="24"/>
              </w:rPr>
              <w:t xml:space="preserve">arī </w:t>
            </w:r>
            <w:r w:rsidR="008B3247" w:rsidRPr="00D41BDF">
              <w:rPr>
                <w:rFonts w:ascii="Times New Roman" w:hAnsi="Times New Roman" w:cs="Times New Roman"/>
                <w:sz w:val="24"/>
                <w:szCs w:val="24"/>
              </w:rPr>
              <w:t xml:space="preserve">sagatavot citus pārbaudāmo sportistu nacionālos reģistrus, tai skaitā iekļaujot prasības informācijai par sportistu atrašanās vietu. </w:t>
            </w:r>
            <w:r w:rsidR="000F19D3" w:rsidRPr="00D41BDF">
              <w:rPr>
                <w:rFonts w:ascii="Times New Roman" w:hAnsi="Times New Roman" w:cs="Times New Roman"/>
                <w:sz w:val="24"/>
                <w:szCs w:val="24"/>
              </w:rPr>
              <w:t xml:space="preserve">Lai gan šīs tiesības jau tiek noteiktas Starptautiskajā pārbaužu un izmeklējumu standartā, minētais standarts nav tieši piemērojams un būtu nepieciešams </w:t>
            </w:r>
            <w:r w:rsidR="009F050D" w:rsidRPr="00D41BDF">
              <w:rPr>
                <w:rFonts w:ascii="Times New Roman" w:hAnsi="Times New Roman" w:cs="Times New Roman"/>
                <w:sz w:val="24"/>
                <w:szCs w:val="24"/>
              </w:rPr>
              <w:t xml:space="preserve">šādu prasību </w:t>
            </w:r>
            <w:r w:rsidR="000F19D3" w:rsidRPr="00D41BDF">
              <w:rPr>
                <w:rFonts w:ascii="Times New Roman" w:hAnsi="Times New Roman" w:cs="Times New Roman"/>
                <w:sz w:val="24"/>
                <w:szCs w:val="24"/>
              </w:rPr>
              <w:t>ietvert likum</w:t>
            </w:r>
            <w:r w:rsidR="009F050D" w:rsidRPr="00D41BDF">
              <w:rPr>
                <w:rFonts w:ascii="Times New Roman" w:hAnsi="Times New Roman" w:cs="Times New Roman"/>
                <w:sz w:val="24"/>
                <w:szCs w:val="24"/>
              </w:rPr>
              <w:t xml:space="preserve">došanā, jo </w:t>
            </w:r>
            <w:r w:rsidR="000F19D3" w:rsidRPr="00D41BDF">
              <w:rPr>
                <w:rFonts w:ascii="Times New Roman" w:hAnsi="Times New Roman" w:cs="Times New Roman"/>
                <w:sz w:val="24"/>
                <w:szCs w:val="24"/>
              </w:rPr>
              <w:t xml:space="preserve">uz </w:t>
            </w:r>
            <w:r w:rsidR="009F050D" w:rsidRPr="00D41BDF">
              <w:rPr>
                <w:rFonts w:ascii="Times New Roman" w:hAnsi="Times New Roman" w:cs="Times New Roman"/>
                <w:sz w:val="24"/>
                <w:szCs w:val="24"/>
              </w:rPr>
              <w:t>t</w:t>
            </w:r>
            <w:r w:rsidR="000F19D3" w:rsidRPr="00D41BDF">
              <w:rPr>
                <w:rFonts w:ascii="Times New Roman" w:hAnsi="Times New Roman" w:cs="Times New Roman"/>
                <w:sz w:val="24"/>
                <w:szCs w:val="24"/>
              </w:rPr>
              <w:t xml:space="preserve">o </w:t>
            </w:r>
            <w:r w:rsidR="009F050D" w:rsidRPr="00D41BDF">
              <w:rPr>
                <w:rFonts w:ascii="Times New Roman" w:hAnsi="Times New Roman" w:cs="Times New Roman"/>
                <w:sz w:val="24"/>
                <w:szCs w:val="24"/>
              </w:rPr>
              <w:t xml:space="preserve">Birojam ir </w:t>
            </w:r>
            <w:r w:rsidR="000F19D3" w:rsidRPr="00D41BDF">
              <w:rPr>
                <w:rFonts w:ascii="Times New Roman" w:hAnsi="Times New Roman" w:cs="Times New Roman"/>
                <w:sz w:val="24"/>
                <w:szCs w:val="24"/>
              </w:rPr>
              <w:t>norādīj</w:t>
            </w:r>
            <w:r w:rsidR="009F050D" w:rsidRPr="00D41BDF">
              <w:rPr>
                <w:rFonts w:ascii="Times New Roman" w:hAnsi="Times New Roman" w:cs="Times New Roman"/>
                <w:sz w:val="24"/>
                <w:szCs w:val="24"/>
              </w:rPr>
              <w:t>usi</w:t>
            </w:r>
            <w:r w:rsidR="000F19D3" w:rsidRPr="00D41BDF">
              <w:rPr>
                <w:rFonts w:ascii="Times New Roman" w:hAnsi="Times New Roman" w:cs="Times New Roman"/>
                <w:sz w:val="24"/>
                <w:szCs w:val="24"/>
              </w:rPr>
              <w:t xml:space="preserve"> arī </w:t>
            </w:r>
            <w:r w:rsidR="00B87086" w:rsidRPr="00D41BDF">
              <w:rPr>
                <w:rFonts w:ascii="Times New Roman" w:hAnsi="Times New Roman" w:cs="Times New Roman"/>
                <w:sz w:val="24"/>
                <w:szCs w:val="24"/>
              </w:rPr>
              <w:t>Aģentūra</w:t>
            </w:r>
            <w:r w:rsidR="000F19D3" w:rsidRPr="00D41BDF">
              <w:rPr>
                <w:rFonts w:ascii="Times New Roman" w:hAnsi="Times New Roman" w:cs="Times New Roman"/>
                <w:sz w:val="24"/>
                <w:szCs w:val="24"/>
              </w:rPr>
              <w:t xml:space="preserve">. </w:t>
            </w:r>
            <w:r w:rsidR="00F6109E" w:rsidRPr="00D41BDF">
              <w:rPr>
                <w:rFonts w:ascii="Times New Roman" w:hAnsi="Times New Roman" w:cs="Times New Roman"/>
                <w:sz w:val="24"/>
                <w:szCs w:val="24"/>
              </w:rPr>
              <w:t>Lai arī</w:t>
            </w:r>
            <w:r w:rsidR="007C5225" w:rsidRPr="00D41BDF">
              <w:rPr>
                <w:rFonts w:ascii="Times New Roman" w:hAnsi="Times New Roman" w:cs="Times New Roman"/>
                <w:sz w:val="24"/>
                <w:szCs w:val="24"/>
              </w:rPr>
              <w:t xml:space="preserve"> ikgadējam </w:t>
            </w:r>
            <w:r w:rsidR="00F6109E" w:rsidRPr="00D41BDF">
              <w:rPr>
                <w:rFonts w:ascii="Times New Roman" w:hAnsi="Times New Roman" w:cs="Times New Roman"/>
                <w:sz w:val="24"/>
                <w:szCs w:val="24"/>
              </w:rPr>
              <w:t>pārbaudāmo sportistu reģistram ir noteiktas konkrētas prasības (Starptautisk</w:t>
            </w:r>
            <w:r w:rsidR="00905F22" w:rsidRPr="00D41BDF">
              <w:rPr>
                <w:rFonts w:ascii="Times New Roman" w:hAnsi="Times New Roman" w:cs="Times New Roman"/>
                <w:sz w:val="24"/>
                <w:szCs w:val="24"/>
              </w:rPr>
              <w:t>ā</w:t>
            </w:r>
            <w:r w:rsidR="00F6109E" w:rsidRPr="00D41BDF">
              <w:rPr>
                <w:rFonts w:ascii="Times New Roman" w:hAnsi="Times New Roman" w:cs="Times New Roman"/>
                <w:sz w:val="24"/>
                <w:szCs w:val="24"/>
              </w:rPr>
              <w:t xml:space="preserve"> pārbaužu un izmeklējumu standarta 4.8.6.2.punkts), Birojam ir tiesības izveidot arī citus</w:t>
            </w:r>
            <w:r w:rsidR="009F050D" w:rsidRPr="00D41BDF">
              <w:rPr>
                <w:rFonts w:ascii="Times New Roman" w:hAnsi="Times New Roman" w:cs="Times New Roman"/>
                <w:sz w:val="24"/>
                <w:szCs w:val="24"/>
              </w:rPr>
              <w:t xml:space="preserve"> nacionāla līmeņa</w:t>
            </w:r>
            <w:r w:rsidR="00F6109E" w:rsidRPr="00D41BDF">
              <w:rPr>
                <w:rFonts w:ascii="Times New Roman" w:hAnsi="Times New Roman" w:cs="Times New Roman"/>
                <w:sz w:val="24"/>
                <w:szCs w:val="24"/>
              </w:rPr>
              <w:t xml:space="preserve"> reģistrus ar zemākām atrašanās vietu prasībām</w:t>
            </w:r>
            <w:r w:rsidR="001F49E5" w:rsidRPr="00D41BDF">
              <w:rPr>
                <w:rFonts w:ascii="Times New Roman" w:hAnsi="Times New Roman" w:cs="Times New Roman"/>
                <w:sz w:val="24"/>
                <w:szCs w:val="24"/>
              </w:rPr>
              <w:t xml:space="preserve"> </w:t>
            </w:r>
            <w:r w:rsidR="00B87086" w:rsidRPr="00D41BDF">
              <w:rPr>
                <w:rFonts w:ascii="Times New Roman" w:hAnsi="Times New Roman" w:cs="Times New Roman"/>
                <w:sz w:val="24"/>
                <w:szCs w:val="24"/>
              </w:rPr>
              <w:t>(</w:t>
            </w:r>
            <w:r w:rsidR="00F6109E" w:rsidRPr="00D41BDF">
              <w:rPr>
                <w:rFonts w:ascii="Times New Roman" w:hAnsi="Times New Roman" w:cs="Times New Roman"/>
                <w:sz w:val="24"/>
                <w:szCs w:val="24"/>
              </w:rPr>
              <w:t>Starptautisk</w:t>
            </w:r>
            <w:r w:rsidR="00905F22" w:rsidRPr="00D41BDF">
              <w:rPr>
                <w:rFonts w:ascii="Times New Roman" w:hAnsi="Times New Roman" w:cs="Times New Roman"/>
                <w:sz w:val="24"/>
                <w:szCs w:val="24"/>
              </w:rPr>
              <w:t>ā</w:t>
            </w:r>
            <w:r w:rsidR="00F6109E" w:rsidRPr="00D41BDF">
              <w:rPr>
                <w:rFonts w:ascii="Times New Roman" w:hAnsi="Times New Roman" w:cs="Times New Roman"/>
                <w:sz w:val="24"/>
                <w:szCs w:val="24"/>
              </w:rPr>
              <w:t xml:space="preserve"> pārbaužu un izmeklējumu standarta 4.8.11.punkts</w:t>
            </w:r>
            <w:r w:rsidR="00B87086" w:rsidRPr="00D41BDF">
              <w:rPr>
                <w:rFonts w:ascii="Times New Roman" w:hAnsi="Times New Roman" w:cs="Times New Roman"/>
                <w:sz w:val="24"/>
                <w:szCs w:val="24"/>
              </w:rPr>
              <w:t>)</w:t>
            </w:r>
            <w:r w:rsidR="00F6109E" w:rsidRPr="00D41BDF">
              <w:rPr>
                <w:rFonts w:ascii="Times New Roman" w:hAnsi="Times New Roman" w:cs="Times New Roman"/>
                <w:sz w:val="24"/>
                <w:szCs w:val="24"/>
              </w:rPr>
              <w:t>.</w:t>
            </w:r>
            <w:r w:rsidR="00C42C02" w:rsidRPr="00D41BDF">
              <w:rPr>
                <w:rFonts w:ascii="Times New Roman" w:hAnsi="Times New Roman" w:cs="Times New Roman"/>
                <w:sz w:val="24"/>
                <w:szCs w:val="24"/>
              </w:rPr>
              <w:t xml:space="preserve"> </w:t>
            </w:r>
            <w:r w:rsidR="007C5225" w:rsidRPr="00D41BDF">
              <w:rPr>
                <w:rFonts w:ascii="Times New Roman" w:hAnsi="Times New Roman" w:cs="Times New Roman"/>
                <w:sz w:val="24"/>
                <w:szCs w:val="24"/>
              </w:rPr>
              <w:t xml:space="preserve">Veicot grozījumus tiktu </w:t>
            </w:r>
            <w:r w:rsidR="00C42C02" w:rsidRPr="00D41BDF">
              <w:rPr>
                <w:rFonts w:ascii="Times New Roman" w:hAnsi="Times New Roman" w:cs="Times New Roman"/>
                <w:sz w:val="24"/>
                <w:szCs w:val="24"/>
              </w:rPr>
              <w:t>dot</w:t>
            </w:r>
            <w:r w:rsidR="007C5225" w:rsidRPr="00D41BDF">
              <w:rPr>
                <w:rFonts w:ascii="Times New Roman" w:hAnsi="Times New Roman" w:cs="Times New Roman"/>
                <w:sz w:val="24"/>
                <w:szCs w:val="24"/>
              </w:rPr>
              <w:t>s</w:t>
            </w:r>
            <w:r w:rsidR="00C42C02" w:rsidRPr="00D41BDF">
              <w:rPr>
                <w:rFonts w:ascii="Times New Roman" w:hAnsi="Times New Roman" w:cs="Times New Roman"/>
                <w:sz w:val="24"/>
                <w:szCs w:val="24"/>
              </w:rPr>
              <w:t xml:space="preserve"> tieš</w:t>
            </w:r>
            <w:r w:rsidR="007C5225" w:rsidRPr="00D41BDF">
              <w:rPr>
                <w:rFonts w:ascii="Times New Roman" w:hAnsi="Times New Roman" w:cs="Times New Roman"/>
                <w:sz w:val="24"/>
                <w:szCs w:val="24"/>
              </w:rPr>
              <w:t>s</w:t>
            </w:r>
            <w:r w:rsidR="00C42C02" w:rsidRPr="00D41BDF">
              <w:rPr>
                <w:rFonts w:ascii="Times New Roman" w:hAnsi="Times New Roman" w:cs="Times New Roman"/>
                <w:sz w:val="24"/>
                <w:szCs w:val="24"/>
              </w:rPr>
              <w:t xml:space="preserve"> deleģējum</w:t>
            </w:r>
            <w:r w:rsidR="007C5225" w:rsidRPr="00D41BDF">
              <w:rPr>
                <w:rFonts w:ascii="Times New Roman" w:hAnsi="Times New Roman" w:cs="Times New Roman"/>
                <w:sz w:val="24"/>
                <w:szCs w:val="24"/>
              </w:rPr>
              <w:t>s Birojam</w:t>
            </w:r>
            <w:r w:rsidR="00C42C02" w:rsidRPr="00D41BDF">
              <w:rPr>
                <w:rFonts w:ascii="Times New Roman" w:hAnsi="Times New Roman" w:cs="Times New Roman"/>
                <w:sz w:val="24"/>
                <w:szCs w:val="24"/>
              </w:rPr>
              <w:t xml:space="preserve"> </w:t>
            </w:r>
            <w:r w:rsidR="007C5225" w:rsidRPr="00D41BDF">
              <w:rPr>
                <w:rFonts w:ascii="Times New Roman" w:hAnsi="Times New Roman" w:cs="Times New Roman"/>
                <w:sz w:val="24"/>
                <w:szCs w:val="24"/>
              </w:rPr>
              <w:t>izveidot nacionāla līmeņa reģistrus un noteikt</w:t>
            </w:r>
            <w:r w:rsidR="00C42C02" w:rsidRPr="00D41BDF">
              <w:rPr>
                <w:rFonts w:ascii="Times New Roman" w:hAnsi="Times New Roman" w:cs="Times New Roman"/>
                <w:sz w:val="24"/>
                <w:szCs w:val="24"/>
              </w:rPr>
              <w:t xml:space="preserve"> izveidotā reģistra atrašanās vietu prasības, kuras ir nepieciešams sniegt sportistiem, kuri ir iekļauti konkrētajā reģistrā. </w:t>
            </w:r>
            <w:r w:rsidR="001F49E5" w:rsidRPr="00D41BDF">
              <w:rPr>
                <w:rFonts w:ascii="Times New Roman" w:hAnsi="Times New Roman" w:cs="Times New Roman"/>
                <w:sz w:val="24"/>
                <w:szCs w:val="24"/>
              </w:rPr>
              <w:t xml:space="preserve"> </w:t>
            </w:r>
          </w:p>
          <w:p w14:paraId="0AA26E1A" w14:textId="64C1A8E1" w:rsidR="00B6373D" w:rsidRPr="00D41BDF" w:rsidRDefault="009F050D" w:rsidP="000252F9">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t xml:space="preserve">Šobrīd </w:t>
            </w:r>
            <w:r w:rsidR="000F19D3" w:rsidRPr="00D41BDF">
              <w:rPr>
                <w:rFonts w:ascii="Times New Roman" w:hAnsi="Times New Roman" w:cs="Times New Roman"/>
                <w:sz w:val="24"/>
                <w:szCs w:val="24"/>
              </w:rPr>
              <w:t xml:space="preserve">“Sporta likuma” </w:t>
            </w:r>
            <w:r w:rsidR="00813B9E" w:rsidRPr="00D41BDF">
              <w:rPr>
                <w:rFonts w:ascii="Times New Roman" w:hAnsi="Times New Roman" w:cs="Times New Roman"/>
                <w:sz w:val="24"/>
                <w:szCs w:val="24"/>
              </w:rPr>
              <w:t>11.</w:t>
            </w:r>
            <w:r w:rsidR="00813B9E" w:rsidRPr="00D41BDF">
              <w:rPr>
                <w:rFonts w:ascii="Times New Roman" w:hAnsi="Times New Roman" w:cs="Times New Roman"/>
                <w:sz w:val="24"/>
                <w:szCs w:val="24"/>
                <w:vertAlign w:val="superscript"/>
              </w:rPr>
              <w:t>2</w:t>
            </w:r>
            <w:r w:rsidR="007470A9" w:rsidRPr="00D41BDF">
              <w:rPr>
                <w:rFonts w:ascii="Times New Roman" w:hAnsi="Times New Roman" w:cs="Times New Roman"/>
                <w:sz w:val="24"/>
                <w:szCs w:val="24"/>
                <w:vertAlign w:val="superscript"/>
              </w:rPr>
              <w:t xml:space="preserve"> </w:t>
            </w:r>
            <w:r w:rsidR="00813B9E" w:rsidRPr="00D41BDF">
              <w:rPr>
                <w:rFonts w:ascii="Times New Roman" w:hAnsi="Times New Roman" w:cs="Times New Roman"/>
                <w:sz w:val="24"/>
                <w:szCs w:val="24"/>
              </w:rPr>
              <w:t xml:space="preserve">panta pirmās daļas 5.punktā ir noteikts, ka </w:t>
            </w:r>
            <w:r w:rsidR="00FB282A" w:rsidRPr="00D41BDF">
              <w:rPr>
                <w:rFonts w:ascii="Times New Roman" w:hAnsi="Times New Roman" w:cs="Times New Roman"/>
                <w:sz w:val="24"/>
                <w:szCs w:val="24"/>
              </w:rPr>
              <w:t>Biroj</w:t>
            </w:r>
            <w:r w:rsidR="00905F22" w:rsidRPr="00D41BDF">
              <w:rPr>
                <w:rFonts w:ascii="Times New Roman" w:hAnsi="Times New Roman" w:cs="Times New Roman"/>
                <w:sz w:val="24"/>
                <w:szCs w:val="24"/>
              </w:rPr>
              <w:t>s</w:t>
            </w:r>
            <w:r w:rsidR="00FB282A" w:rsidRPr="00D41BDF">
              <w:rPr>
                <w:rFonts w:ascii="Times New Roman" w:hAnsi="Times New Roman" w:cs="Times New Roman"/>
                <w:sz w:val="24"/>
                <w:szCs w:val="24"/>
              </w:rPr>
              <w:t>, ja konstatē antidopinga noteikumu pārkāpumu, ir tiesīgs noteikt sportistam pagaidu aizliegumu piedalīties sporta sacensībās</w:t>
            </w:r>
            <w:r w:rsidR="000F19D3" w:rsidRPr="00D41BDF">
              <w:rPr>
                <w:rFonts w:ascii="Times New Roman" w:hAnsi="Times New Roman" w:cs="Times New Roman"/>
                <w:sz w:val="24"/>
                <w:szCs w:val="24"/>
              </w:rPr>
              <w:t>,</w:t>
            </w:r>
            <w:r w:rsidRPr="00D41BDF">
              <w:rPr>
                <w:rFonts w:ascii="Times New Roman" w:hAnsi="Times New Roman" w:cs="Times New Roman"/>
                <w:sz w:val="24"/>
                <w:szCs w:val="24"/>
              </w:rPr>
              <w:t xml:space="preserve"> tomēr </w:t>
            </w:r>
            <w:r w:rsidR="00335ADC" w:rsidRPr="00D41BDF">
              <w:rPr>
                <w:rFonts w:ascii="Times New Roman" w:hAnsi="Times New Roman" w:cs="Times New Roman"/>
                <w:sz w:val="24"/>
                <w:szCs w:val="24"/>
              </w:rPr>
              <w:t xml:space="preserve">minētais </w:t>
            </w:r>
            <w:r w:rsidR="004469EF" w:rsidRPr="00D41BDF">
              <w:rPr>
                <w:rFonts w:ascii="Times New Roman" w:hAnsi="Times New Roman" w:cs="Times New Roman"/>
                <w:sz w:val="24"/>
                <w:szCs w:val="24"/>
              </w:rPr>
              <w:t>pagaidu aiz</w:t>
            </w:r>
            <w:r w:rsidR="00633F54" w:rsidRPr="00D41BDF">
              <w:rPr>
                <w:rFonts w:ascii="Times New Roman" w:hAnsi="Times New Roman" w:cs="Times New Roman"/>
                <w:sz w:val="24"/>
                <w:szCs w:val="24"/>
              </w:rPr>
              <w:t>l</w:t>
            </w:r>
            <w:r w:rsidR="004469EF" w:rsidRPr="00D41BDF">
              <w:rPr>
                <w:rFonts w:ascii="Times New Roman" w:hAnsi="Times New Roman" w:cs="Times New Roman"/>
                <w:sz w:val="24"/>
                <w:szCs w:val="24"/>
              </w:rPr>
              <w:t xml:space="preserve">iegums ir </w:t>
            </w:r>
            <w:r w:rsidRPr="00D41BDF">
              <w:rPr>
                <w:rFonts w:ascii="Times New Roman" w:hAnsi="Times New Roman" w:cs="Times New Roman"/>
                <w:sz w:val="24"/>
                <w:szCs w:val="24"/>
              </w:rPr>
              <w:t>attiecināms</w:t>
            </w:r>
            <w:r w:rsidR="004469EF" w:rsidRPr="00D41BDF">
              <w:rPr>
                <w:rFonts w:ascii="Times New Roman" w:hAnsi="Times New Roman" w:cs="Times New Roman"/>
                <w:sz w:val="24"/>
                <w:szCs w:val="24"/>
              </w:rPr>
              <w:t xml:space="preserve"> tik</w:t>
            </w:r>
            <w:r w:rsidR="00335ADC" w:rsidRPr="00D41BDF">
              <w:rPr>
                <w:rFonts w:ascii="Times New Roman" w:hAnsi="Times New Roman" w:cs="Times New Roman"/>
                <w:sz w:val="24"/>
                <w:szCs w:val="24"/>
              </w:rPr>
              <w:t>a</w:t>
            </w:r>
            <w:r w:rsidR="004469EF" w:rsidRPr="00D41BDF">
              <w:rPr>
                <w:rFonts w:ascii="Times New Roman" w:hAnsi="Times New Roman" w:cs="Times New Roman"/>
                <w:sz w:val="24"/>
                <w:szCs w:val="24"/>
              </w:rPr>
              <w:t xml:space="preserve">i </w:t>
            </w:r>
            <w:r w:rsidRPr="00D41BDF">
              <w:rPr>
                <w:rFonts w:ascii="Times New Roman" w:hAnsi="Times New Roman" w:cs="Times New Roman"/>
                <w:sz w:val="24"/>
                <w:szCs w:val="24"/>
              </w:rPr>
              <w:t xml:space="preserve">uz </w:t>
            </w:r>
            <w:r w:rsidR="004469EF" w:rsidRPr="00D41BDF">
              <w:rPr>
                <w:rFonts w:ascii="Times New Roman" w:hAnsi="Times New Roman" w:cs="Times New Roman"/>
                <w:sz w:val="24"/>
                <w:szCs w:val="24"/>
              </w:rPr>
              <w:t>sportist</w:t>
            </w:r>
            <w:r w:rsidR="00335ADC" w:rsidRPr="00D41BDF">
              <w:rPr>
                <w:rFonts w:ascii="Times New Roman" w:hAnsi="Times New Roman" w:cs="Times New Roman"/>
                <w:sz w:val="24"/>
                <w:szCs w:val="24"/>
              </w:rPr>
              <w:t>iem</w:t>
            </w:r>
            <w:r w:rsidR="004469EF" w:rsidRPr="00D41BDF">
              <w:rPr>
                <w:rFonts w:ascii="Times New Roman" w:hAnsi="Times New Roman" w:cs="Times New Roman"/>
                <w:sz w:val="24"/>
                <w:szCs w:val="24"/>
              </w:rPr>
              <w:t xml:space="preserve">, </w:t>
            </w:r>
            <w:r w:rsidRPr="00D41BDF">
              <w:rPr>
                <w:rFonts w:ascii="Times New Roman" w:hAnsi="Times New Roman" w:cs="Times New Roman"/>
                <w:sz w:val="24"/>
                <w:szCs w:val="24"/>
              </w:rPr>
              <w:t>bet</w:t>
            </w:r>
            <w:r w:rsidR="004469EF" w:rsidRPr="00D41BDF">
              <w:rPr>
                <w:rFonts w:ascii="Times New Roman" w:hAnsi="Times New Roman" w:cs="Times New Roman"/>
                <w:sz w:val="24"/>
                <w:szCs w:val="24"/>
              </w:rPr>
              <w:t xml:space="preserve"> neattiecas uz sporta darbiniek</w:t>
            </w:r>
            <w:r w:rsidR="00335ADC" w:rsidRPr="00D41BDF">
              <w:rPr>
                <w:rFonts w:ascii="Times New Roman" w:hAnsi="Times New Roman" w:cs="Times New Roman"/>
                <w:sz w:val="24"/>
                <w:szCs w:val="24"/>
              </w:rPr>
              <w:t>iem, tāpat minētais pagaidu aizliegums attiecas tikai uz dalī</w:t>
            </w:r>
            <w:r w:rsidR="00300332" w:rsidRPr="00D41BDF">
              <w:rPr>
                <w:rFonts w:ascii="Times New Roman" w:hAnsi="Times New Roman" w:cs="Times New Roman"/>
                <w:sz w:val="24"/>
                <w:szCs w:val="24"/>
              </w:rPr>
              <w:t>b</w:t>
            </w:r>
            <w:r w:rsidR="00335ADC" w:rsidRPr="00D41BDF">
              <w:rPr>
                <w:rFonts w:ascii="Times New Roman" w:hAnsi="Times New Roman" w:cs="Times New Roman"/>
                <w:sz w:val="24"/>
                <w:szCs w:val="24"/>
              </w:rPr>
              <w:t>u sporta sacensībās, tomēr neattiecas uz citām darbībām</w:t>
            </w:r>
            <w:r w:rsidRPr="00D41BDF">
              <w:rPr>
                <w:rFonts w:ascii="Times New Roman" w:hAnsi="Times New Roman" w:cs="Times New Roman"/>
                <w:sz w:val="24"/>
                <w:szCs w:val="24"/>
              </w:rPr>
              <w:t xml:space="preserve"> sporta jomā</w:t>
            </w:r>
            <w:r w:rsidR="00335ADC" w:rsidRPr="00D41BDF">
              <w:rPr>
                <w:rFonts w:ascii="Times New Roman" w:hAnsi="Times New Roman" w:cs="Times New Roman"/>
                <w:sz w:val="24"/>
                <w:szCs w:val="24"/>
              </w:rPr>
              <w:t>, piemēram treniņu vadīšana vai dalīb</w:t>
            </w:r>
            <w:r w:rsidR="00300332" w:rsidRPr="00D41BDF">
              <w:rPr>
                <w:rFonts w:ascii="Times New Roman" w:hAnsi="Times New Roman" w:cs="Times New Roman"/>
                <w:sz w:val="24"/>
                <w:szCs w:val="24"/>
              </w:rPr>
              <w:t>u</w:t>
            </w:r>
            <w:r w:rsidR="00335ADC" w:rsidRPr="00D41BDF">
              <w:rPr>
                <w:rFonts w:ascii="Times New Roman" w:hAnsi="Times New Roman" w:cs="Times New Roman"/>
                <w:sz w:val="24"/>
                <w:szCs w:val="24"/>
              </w:rPr>
              <w:t xml:space="preserve"> sporta pasākum</w:t>
            </w:r>
            <w:r w:rsidR="00300332" w:rsidRPr="00D41BDF">
              <w:rPr>
                <w:rFonts w:ascii="Times New Roman" w:hAnsi="Times New Roman" w:cs="Times New Roman"/>
                <w:sz w:val="24"/>
                <w:szCs w:val="24"/>
              </w:rPr>
              <w:t>o</w:t>
            </w:r>
            <w:r w:rsidR="00335ADC" w:rsidRPr="00D41BDF">
              <w:rPr>
                <w:rFonts w:ascii="Times New Roman" w:hAnsi="Times New Roman" w:cs="Times New Roman"/>
                <w:sz w:val="24"/>
                <w:szCs w:val="24"/>
              </w:rPr>
              <w:t xml:space="preserve">s. </w:t>
            </w:r>
            <w:r w:rsidR="00A03D54" w:rsidRPr="00D41BDF">
              <w:rPr>
                <w:rFonts w:ascii="Times New Roman" w:hAnsi="Times New Roman" w:cs="Times New Roman"/>
                <w:sz w:val="24"/>
                <w:szCs w:val="24"/>
              </w:rPr>
              <w:t xml:space="preserve">Tāpēc </w:t>
            </w:r>
            <w:r w:rsidR="0017096E">
              <w:rPr>
                <w:rFonts w:ascii="Times New Roman" w:hAnsi="Times New Roman" w:cs="Times New Roman"/>
                <w:sz w:val="24"/>
                <w:szCs w:val="24"/>
              </w:rPr>
              <w:t>L</w:t>
            </w:r>
            <w:r w:rsidR="00A03D54" w:rsidRPr="00D41BDF">
              <w:rPr>
                <w:rFonts w:ascii="Times New Roman" w:hAnsi="Times New Roman" w:cs="Times New Roman"/>
                <w:sz w:val="24"/>
                <w:szCs w:val="24"/>
              </w:rPr>
              <w:t>ikumprojekts paredz grozīt 11.</w:t>
            </w:r>
            <w:r w:rsidR="00A03D54" w:rsidRPr="00D41BDF">
              <w:rPr>
                <w:rFonts w:ascii="Times New Roman" w:hAnsi="Times New Roman" w:cs="Times New Roman"/>
                <w:sz w:val="24"/>
                <w:szCs w:val="24"/>
                <w:vertAlign w:val="superscript"/>
              </w:rPr>
              <w:t>2</w:t>
            </w:r>
            <w:r w:rsidR="009D0282" w:rsidRPr="00D41BDF">
              <w:rPr>
                <w:rFonts w:ascii="Times New Roman" w:hAnsi="Times New Roman" w:cs="Times New Roman"/>
                <w:sz w:val="24"/>
                <w:szCs w:val="24"/>
                <w:vertAlign w:val="superscript"/>
              </w:rPr>
              <w:t xml:space="preserve"> </w:t>
            </w:r>
            <w:r w:rsidR="00A03D54" w:rsidRPr="00D41BDF">
              <w:rPr>
                <w:rFonts w:ascii="Times New Roman" w:hAnsi="Times New Roman" w:cs="Times New Roman"/>
                <w:sz w:val="24"/>
                <w:szCs w:val="24"/>
              </w:rPr>
              <w:t>panta pirmās daļas piekto punktu,</w:t>
            </w:r>
            <w:r w:rsidR="00335ADC" w:rsidRPr="00D41BDF">
              <w:rPr>
                <w:rFonts w:ascii="Times New Roman" w:hAnsi="Times New Roman" w:cs="Times New Roman"/>
                <w:sz w:val="24"/>
                <w:szCs w:val="24"/>
              </w:rPr>
              <w:t xml:space="preserve"> </w:t>
            </w:r>
            <w:r w:rsidR="004757E3" w:rsidRPr="00D41BDF">
              <w:rPr>
                <w:rFonts w:ascii="Times New Roman" w:hAnsi="Times New Roman" w:cs="Times New Roman"/>
                <w:sz w:val="24"/>
                <w:szCs w:val="24"/>
              </w:rPr>
              <w:t>papildinot to</w:t>
            </w:r>
            <w:r w:rsidRPr="00D41BDF">
              <w:rPr>
                <w:rFonts w:ascii="Times New Roman" w:hAnsi="Times New Roman" w:cs="Times New Roman"/>
                <w:sz w:val="24"/>
                <w:szCs w:val="24"/>
              </w:rPr>
              <w:t xml:space="preserve"> un </w:t>
            </w:r>
            <w:r w:rsidR="00335ADC" w:rsidRPr="00D41BDF">
              <w:rPr>
                <w:rFonts w:ascii="Times New Roman" w:hAnsi="Times New Roman" w:cs="Times New Roman"/>
                <w:sz w:val="24"/>
                <w:szCs w:val="24"/>
              </w:rPr>
              <w:t xml:space="preserve">iekļaujot, ka </w:t>
            </w:r>
            <w:r w:rsidR="00F85CC8" w:rsidRPr="00D41BDF">
              <w:rPr>
                <w:rFonts w:ascii="Times New Roman" w:hAnsi="Times New Roman" w:cs="Times New Roman"/>
                <w:sz w:val="24"/>
                <w:szCs w:val="24"/>
              </w:rPr>
              <w:t>pagaidu aizliegums</w:t>
            </w:r>
            <w:r w:rsidR="00335ADC" w:rsidRPr="00D41BDF">
              <w:rPr>
                <w:rFonts w:ascii="Times New Roman" w:hAnsi="Times New Roman" w:cs="Times New Roman"/>
                <w:sz w:val="24"/>
                <w:szCs w:val="24"/>
              </w:rPr>
              <w:t xml:space="preserve"> attiecas arī uz sporta darbiniekiem, kā arī papildinot ar aizliegumu veikt jebkādu darbību</w:t>
            </w:r>
            <w:r w:rsidR="00AC4070" w:rsidRPr="00D41BDF">
              <w:rPr>
                <w:rFonts w:ascii="Times New Roman" w:hAnsi="Times New Roman" w:cs="Times New Roman"/>
                <w:sz w:val="24"/>
                <w:szCs w:val="24"/>
              </w:rPr>
              <w:t xml:space="preserve"> sporta jomā</w:t>
            </w:r>
            <w:r w:rsidR="007C5225" w:rsidRPr="00D41BDF">
              <w:rPr>
                <w:rFonts w:ascii="Times New Roman" w:hAnsi="Times New Roman" w:cs="Times New Roman"/>
                <w:sz w:val="24"/>
                <w:szCs w:val="24"/>
              </w:rPr>
              <w:t xml:space="preserve">, </w:t>
            </w:r>
            <w:r w:rsidR="00335ADC" w:rsidRPr="00D41BDF">
              <w:rPr>
                <w:rFonts w:ascii="Times New Roman" w:hAnsi="Times New Roman" w:cs="Times New Roman"/>
                <w:sz w:val="24"/>
                <w:szCs w:val="24"/>
              </w:rPr>
              <w:t xml:space="preserve">izņemot </w:t>
            </w:r>
            <w:r w:rsidR="00AC4070" w:rsidRPr="00D41BDF">
              <w:rPr>
                <w:rFonts w:ascii="Times New Roman" w:hAnsi="Times New Roman" w:cs="Times New Roman"/>
                <w:sz w:val="24"/>
                <w:szCs w:val="24"/>
              </w:rPr>
              <w:t xml:space="preserve">individuālas fiziskās aktivitātes un </w:t>
            </w:r>
            <w:r w:rsidR="00335ADC" w:rsidRPr="00D41BDF">
              <w:rPr>
                <w:rFonts w:ascii="Times New Roman" w:hAnsi="Times New Roman" w:cs="Times New Roman"/>
                <w:sz w:val="24"/>
                <w:szCs w:val="24"/>
              </w:rPr>
              <w:t xml:space="preserve">dalību Biroja apstiprinātā izglītības vai rehabilitācijas programmā. </w:t>
            </w:r>
          </w:p>
          <w:p w14:paraId="3CE61536" w14:textId="3BF999AD" w:rsidR="00056D1A" w:rsidRPr="00D41BDF" w:rsidRDefault="005F0132" w:rsidP="000252F9">
            <w:pPr>
              <w:spacing w:after="0" w:line="240" w:lineRule="auto"/>
              <w:jc w:val="both"/>
              <w:rPr>
                <w:rFonts w:ascii="Times New Roman" w:hAnsi="Times New Roman" w:cs="Times New Roman"/>
                <w:strike/>
                <w:sz w:val="24"/>
                <w:szCs w:val="24"/>
              </w:rPr>
            </w:pPr>
            <w:r w:rsidRPr="00D41BDF">
              <w:rPr>
                <w:rFonts w:ascii="Times New Roman" w:hAnsi="Times New Roman" w:cs="Times New Roman"/>
                <w:sz w:val="24"/>
                <w:szCs w:val="24"/>
              </w:rPr>
              <w:t>“</w:t>
            </w:r>
            <w:r w:rsidR="00762F7E" w:rsidRPr="00D41BDF">
              <w:rPr>
                <w:rFonts w:ascii="Times New Roman" w:hAnsi="Times New Roman" w:cs="Times New Roman"/>
                <w:sz w:val="24"/>
                <w:szCs w:val="24"/>
              </w:rPr>
              <w:t>Sporta likuma</w:t>
            </w:r>
            <w:r w:rsidRPr="00D41BDF">
              <w:rPr>
                <w:rFonts w:ascii="Times New Roman" w:hAnsi="Times New Roman" w:cs="Times New Roman"/>
                <w:sz w:val="24"/>
                <w:szCs w:val="24"/>
              </w:rPr>
              <w:t>”</w:t>
            </w:r>
            <w:r w:rsidR="00762F7E" w:rsidRPr="00D41BDF">
              <w:rPr>
                <w:rFonts w:ascii="Times New Roman" w:hAnsi="Times New Roman" w:cs="Times New Roman"/>
                <w:sz w:val="24"/>
                <w:szCs w:val="24"/>
              </w:rPr>
              <w:t xml:space="preserve"> 11.</w:t>
            </w:r>
            <w:r w:rsidR="00762F7E" w:rsidRPr="00D41BDF">
              <w:rPr>
                <w:rFonts w:ascii="Times New Roman" w:hAnsi="Times New Roman" w:cs="Times New Roman"/>
                <w:sz w:val="24"/>
                <w:szCs w:val="24"/>
                <w:vertAlign w:val="superscript"/>
              </w:rPr>
              <w:t>2</w:t>
            </w:r>
            <w:r w:rsidR="00E47282" w:rsidRPr="00D41BDF">
              <w:rPr>
                <w:rFonts w:ascii="Times New Roman" w:hAnsi="Times New Roman" w:cs="Times New Roman"/>
                <w:sz w:val="24"/>
                <w:szCs w:val="24"/>
                <w:vertAlign w:val="superscript"/>
              </w:rPr>
              <w:t xml:space="preserve"> </w:t>
            </w:r>
            <w:r w:rsidR="00762F7E" w:rsidRPr="00D41BDF">
              <w:rPr>
                <w:rFonts w:ascii="Times New Roman" w:hAnsi="Times New Roman" w:cs="Times New Roman"/>
                <w:sz w:val="24"/>
                <w:szCs w:val="24"/>
              </w:rPr>
              <w:t>panta 6.punkts nosaka, ka Birojs</w:t>
            </w:r>
            <w:r w:rsidR="00335ADC" w:rsidRPr="00D41BDF">
              <w:rPr>
                <w:rFonts w:ascii="Times New Roman" w:hAnsi="Times New Roman" w:cs="Times New Roman"/>
                <w:sz w:val="24"/>
                <w:szCs w:val="24"/>
              </w:rPr>
              <w:t>,</w:t>
            </w:r>
            <w:r w:rsidR="00762F7E" w:rsidRPr="00D41BDF">
              <w:rPr>
                <w:rFonts w:ascii="Times New Roman" w:hAnsi="Times New Roman" w:cs="Times New Roman"/>
                <w:sz w:val="24"/>
                <w:szCs w:val="24"/>
              </w:rPr>
              <w:t xml:space="preserve"> ja konstatē antidopinga noteikumu pārkāpumu, vēršas Disciplinārajā antidopinga komisijā</w:t>
            </w:r>
            <w:r w:rsidR="008854A5" w:rsidRPr="00D41BDF">
              <w:rPr>
                <w:rFonts w:ascii="Times New Roman" w:hAnsi="Times New Roman" w:cs="Times New Roman"/>
                <w:sz w:val="24"/>
                <w:szCs w:val="24"/>
              </w:rPr>
              <w:t xml:space="preserve">, kas tad lemj par tālāku rīcību un soda sankciju piemērošanu. Tomēr šobrīd </w:t>
            </w:r>
            <w:r w:rsidR="00B6373D" w:rsidRPr="00D41BDF">
              <w:rPr>
                <w:rFonts w:ascii="Times New Roman" w:hAnsi="Times New Roman" w:cs="Times New Roman"/>
                <w:sz w:val="24"/>
                <w:szCs w:val="24"/>
              </w:rPr>
              <w:t>“</w:t>
            </w:r>
            <w:r w:rsidR="008854A5" w:rsidRPr="00D41BDF">
              <w:rPr>
                <w:rFonts w:ascii="Times New Roman" w:hAnsi="Times New Roman" w:cs="Times New Roman"/>
                <w:sz w:val="24"/>
                <w:szCs w:val="24"/>
              </w:rPr>
              <w:t>Sporta likumā</w:t>
            </w:r>
            <w:r w:rsidR="00B6373D" w:rsidRPr="00D41BDF">
              <w:rPr>
                <w:rFonts w:ascii="Times New Roman" w:hAnsi="Times New Roman" w:cs="Times New Roman"/>
                <w:sz w:val="24"/>
                <w:szCs w:val="24"/>
              </w:rPr>
              <w:t>”</w:t>
            </w:r>
            <w:r w:rsidR="008854A5" w:rsidRPr="00D41BDF">
              <w:rPr>
                <w:rFonts w:ascii="Times New Roman" w:hAnsi="Times New Roman" w:cs="Times New Roman"/>
                <w:sz w:val="24"/>
                <w:szCs w:val="24"/>
              </w:rPr>
              <w:t xml:space="preserve"> nav </w:t>
            </w:r>
            <w:r w:rsidR="00E47282" w:rsidRPr="00D41BDF">
              <w:rPr>
                <w:rFonts w:ascii="Times New Roman" w:hAnsi="Times New Roman" w:cs="Times New Roman"/>
                <w:sz w:val="24"/>
                <w:szCs w:val="24"/>
              </w:rPr>
              <w:t>paredzēta</w:t>
            </w:r>
            <w:r w:rsidR="00056D1A" w:rsidRPr="00D41BDF">
              <w:rPr>
                <w:rFonts w:ascii="Times New Roman" w:hAnsi="Times New Roman" w:cs="Times New Roman"/>
                <w:sz w:val="24"/>
                <w:szCs w:val="24"/>
              </w:rPr>
              <w:t>s tiesības</w:t>
            </w:r>
            <w:r w:rsidR="008854A5" w:rsidRPr="00D41BDF">
              <w:rPr>
                <w:rFonts w:ascii="Times New Roman" w:hAnsi="Times New Roman" w:cs="Times New Roman"/>
                <w:sz w:val="24"/>
                <w:szCs w:val="24"/>
              </w:rPr>
              <w:t xml:space="preserve"> Birojam, konst</w:t>
            </w:r>
            <w:r w:rsidR="00633F54" w:rsidRPr="00D41BDF">
              <w:rPr>
                <w:rFonts w:ascii="Times New Roman" w:hAnsi="Times New Roman" w:cs="Times New Roman"/>
                <w:sz w:val="24"/>
                <w:szCs w:val="24"/>
              </w:rPr>
              <w:t>a</w:t>
            </w:r>
            <w:r w:rsidR="008854A5" w:rsidRPr="00D41BDF">
              <w:rPr>
                <w:rFonts w:ascii="Times New Roman" w:hAnsi="Times New Roman" w:cs="Times New Roman"/>
                <w:sz w:val="24"/>
                <w:szCs w:val="24"/>
              </w:rPr>
              <w:t xml:space="preserve">tējot antidopinga noteikumu pārkāpumu,  pieņemt lēmumu slēgt vienošanos </w:t>
            </w:r>
            <w:r w:rsidR="001F49E5" w:rsidRPr="00D41BDF">
              <w:rPr>
                <w:rFonts w:ascii="Times New Roman" w:hAnsi="Times New Roman" w:cs="Times New Roman"/>
                <w:sz w:val="24"/>
                <w:szCs w:val="24"/>
              </w:rPr>
              <w:t xml:space="preserve">par </w:t>
            </w:r>
            <w:r w:rsidR="00AD0411" w:rsidRPr="00D41BDF">
              <w:rPr>
                <w:rFonts w:ascii="Times New Roman" w:hAnsi="Times New Roman" w:cs="Times New Roman"/>
                <w:sz w:val="24"/>
                <w:szCs w:val="24"/>
              </w:rPr>
              <w:t>pārkāpumu atzīšanu</w:t>
            </w:r>
            <w:r w:rsidR="00C233A2" w:rsidRPr="00D41BDF">
              <w:rPr>
                <w:rFonts w:ascii="Times New Roman" w:hAnsi="Times New Roman" w:cs="Times New Roman"/>
                <w:sz w:val="24"/>
                <w:szCs w:val="24"/>
              </w:rPr>
              <w:t xml:space="preserve"> </w:t>
            </w:r>
            <w:r w:rsidR="008854A5" w:rsidRPr="00D41BDF">
              <w:rPr>
                <w:rFonts w:ascii="Times New Roman" w:hAnsi="Times New Roman" w:cs="Times New Roman"/>
                <w:sz w:val="24"/>
                <w:szCs w:val="24"/>
              </w:rPr>
              <w:t>un sankciju pieņemšanu</w:t>
            </w:r>
            <w:r w:rsidR="003514E4" w:rsidRPr="00D41BDF">
              <w:rPr>
                <w:rFonts w:ascii="Times New Roman" w:hAnsi="Times New Roman" w:cs="Times New Roman"/>
                <w:sz w:val="24"/>
                <w:szCs w:val="24"/>
              </w:rPr>
              <w:t>, paredzot iespēju šādos gadījumos nevērsties Disciplinārajā antidopinga komisijā.</w:t>
            </w:r>
            <w:r w:rsidR="008854A5" w:rsidRPr="00D41BDF">
              <w:rPr>
                <w:rFonts w:ascii="Times New Roman" w:hAnsi="Times New Roman" w:cs="Times New Roman"/>
                <w:sz w:val="24"/>
                <w:szCs w:val="24"/>
              </w:rPr>
              <w:t xml:space="preserve"> </w:t>
            </w:r>
            <w:r w:rsidR="00AD0411" w:rsidRPr="00D41BDF">
              <w:rPr>
                <w:rFonts w:ascii="Times New Roman" w:hAnsi="Times New Roman" w:cs="Times New Roman"/>
                <w:sz w:val="24"/>
                <w:szCs w:val="24"/>
              </w:rPr>
              <w:t>Sākot ar 2021.gada 1.janvāri Kodekss paredz iespēju nacionālajām antidopinga organizācijām pieņemt lēmumus bez komisiju iesaistes</w:t>
            </w:r>
            <w:r w:rsidR="0089710B" w:rsidRPr="00D41BDF">
              <w:rPr>
                <w:rFonts w:ascii="Times New Roman" w:hAnsi="Times New Roman" w:cs="Times New Roman"/>
                <w:sz w:val="24"/>
                <w:szCs w:val="24"/>
              </w:rPr>
              <w:t>,</w:t>
            </w:r>
            <w:r w:rsidR="00AD0411" w:rsidRPr="00D41BDF">
              <w:rPr>
                <w:rFonts w:ascii="Times New Roman" w:hAnsi="Times New Roman" w:cs="Times New Roman"/>
                <w:sz w:val="24"/>
                <w:szCs w:val="24"/>
              </w:rPr>
              <w:t xml:space="preserve"> ja </w:t>
            </w:r>
            <w:r w:rsidR="00B51B55" w:rsidRPr="00D41BDF">
              <w:rPr>
                <w:rFonts w:ascii="Times New Roman" w:hAnsi="Times New Roman" w:cs="Times New Roman"/>
                <w:sz w:val="24"/>
                <w:szCs w:val="24"/>
              </w:rPr>
              <w:t xml:space="preserve">sportists vai sporta darbinieks </w:t>
            </w:r>
            <w:r w:rsidR="00AC4070" w:rsidRPr="00D41BDF">
              <w:rPr>
                <w:rFonts w:ascii="Times New Roman" w:hAnsi="Times New Roman" w:cs="Times New Roman"/>
                <w:sz w:val="24"/>
                <w:szCs w:val="24"/>
              </w:rPr>
              <w:t xml:space="preserve">personīgi </w:t>
            </w:r>
            <w:r w:rsidR="00B51B55" w:rsidRPr="00D41BDF">
              <w:rPr>
                <w:rFonts w:ascii="Times New Roman" w:hAnsi="Times New Roman" w:cs="Times New Roman"/>
                <w:sz w:val="24"/>
                <w:szCs w:val="24"/>
              </w:rPr>
              <w:t xml:space="preserve">ir atteicies </w:t>
            </w:r>
            <w:r w:rsidR="00B51B55" w:rsidRPr="00D41BDF">
              <w:rPr>
                <w:rFonts w:ascii="Times New Roman" w:hAnsi="Times New Roman" w:cs="Times New Roman"/>
                <w:sz w:val="24"/>
                <w:szCs w:val="24"/>
              </w:rPr>
              <w:lastRenderedPageBreak/>
              <w:t xml:space="preserve">no lietas izskatīšanas tiesībām, kā arī, ja sportists vai sporta darbinieks neapstrīd Biroja lēmumu </w:t>
            </w:r>
            <w:r w:rsidR="003514E4" w:rsidRPr="00D41BDF">
              <w:rPr>
                <w:rFonts w:ascii="Times New Roman" w:eastAsia="Times New Roman" w:hAnsi="Times New Roman" w:cs="Times New Roman"/>
                <w:sz w:val="24"/>
                <w:szCs w:val="24"/>
                <w:lang w:eastAsia="lv-LV"/>
              </w:rPr>
              <w:t>par antidopinga noteikumu pārkāpuma atzīšanu un sankciju pieņemšanu</w:t>
            </w:r>
            <w:r w:rsidR="00056D1A" w:rsidRPr="00D41BDF">
              <w:rPr>
                <w:rFonts w:ascii="Times New Roman" w:hAnsi="Times New Roman" w:cs="Times New Roman"/>
                <w:sz w:val="24"/>
                <w:szCs w:val="24"/>
              </w:rPr>
              <w:t xml:space="preserve"> un to atzīst arī Aģentūra</w:t>
            </w:r>
            <w:r w:rsidR="007B7348" w:rsidRPr="00D41BDF">
              <w:rPr>
                <w:rFonts w:ascii="Times New Roman" w:hAnsi="Times New Roman" w:cs="Times New Roman"/>
                <w:sz w:val="24"/>
                <w:szCs w:val="24"/>
              </w:rPr>
              <w:t>.</w:t>
            </w:r>
            <w:r w:rsidR="00596730" w:rsidRPr="00D41BDF">
              <w:rPr>
                <w:rFonts w:ascii="Times New Roman" w:hAnsi="Times New Roman" w:cs="Times New Roman"/>
                <w:sz w:val="24"/>
                <w:szCs w:val="24"/>
              </w:rPr>
              <w:t xml:space="preserve"> </w:t>
            </w:r>
            <w:r w:rsidR="00AD0411" w:rsidRPr="00D41BDF">
              <w:rPr>
                <w:rFonts w:ascii="Times New Roman" w:hAnsi="Times New Roman" w:cs="Times New Roman"/>
                <w:sz w:val="24"/>
                <w:szCs w:val="24"/>
              </w:rPr>
              <w:t xml:space="preserve"> Šādi grozījumi </w:t>
            </w:r>
            <w:r w:rsidR="00C425C5" w:rsidRPr="00D41BDF">
              <w:rPr>
                <w:rFonts w:ascii="Times New Roman" w:hAnsi="Times New Roman" w:cs="Times New Roman"/>
                <w:sz w:val="24"/>
                <w:szCs w:val="24"/>
              </w:rPr>
              <w:t xml:space="preserve">2021.gada </w:t>
            </w:r>
            <w:r w:rsidR="00AD0411" w:rsidRPr="00D41BDF">
              <w:rPr>
                <w:rFonts w:ascii="Times New Roman" w:hAnsi="Times New Roman" w:cs="Times New Roman"/>
                <w:sz w:val="24"/>
                <w:szCs w:val="24"/>
              </w:rPr>
              <w:t>Kodeksā tika veikti, lai samazinātu izmaksas, kas rodas no komisiju iesaistes lēmumu pieņemšanā un pēc iespējas censties lietas atrisināt neiesaistot komisijas</w:t>
            </w:r>
            <w:r w:rsidR="004769C8" w:rsidRPr="00D41BDF">
              <w:rPr>
                <w:rFonts w:ascii="Times New Roman" w:hAnsi="Times New Roman" w:cs="Times New Roman"/>
                <w:sz w:val="24"/>
                <w:szCs w:val="24"/>
              </w:rPr>
              <w:t>.</w:t>
            </w:r>
            <w:r w:rsidR="00AD0411" w:rsidRPr="00D41BDF">
              <w:rPr>
                <w:rFonts w:ascii="Times New Roman" w:hAnsi="Times New Roman" w:cs="Times New Roman"/>
                <w:sz w:val="24"/>
                <w:szCs w:val="24"/>
              </w:rPr>
              <w:t xml:space="preserve"> </w:t>
            </w:r>
            <w:r w:rsidR="008854A5" w:rsidRPr="00D41BDF">
              <w:rPr>
                <w:rFonts w:ascii="Times New Roman" w:hAnsi="Times New Roman" w:cs="Times New Roman"/>
                <w:sz w:val="24"/>
                <w:szCs w:val="24"/>
              </w:rPr>
              <w:t xml:space="preserve">Tāpēc, lai nodrošinātu </w:t>
            </w:r>
            <w:r w:rsidR="003C0AC8" w:rsidRPr="00D41BDF">
              <w:rPr>
                <w:rFonts w:ascii="Times New Roman" w:hAnsi="Times New Roman" w:cs="Times New Roman"/>
                <w:sz w:val="24"/>
                <w:szCs w:val="24"/>
              </w:rPr>
              <w:t>K</w:t>
            </w:r>
            <w:r w:rsidR="008854A5" w:rsidRPr="00D41BDF">
              <w:rPr>
                <w:rFonts w:ascii="Times New Roman" w:hAnsi="Times New Roman" w:cs="Times New Roman"/>
                <w:sz w:val="24"/>
                <w:szCs w:val="24"/>
              </w:rPr>
              <w:t xml:space="preserve">odeksā minēto pamata mērķi panākt antidopinga noteikumu pārkāpumu atrisināšanu pirms lietas nodošanas komisijai, </w:t>
            </w:r>
            <w:r w:rsidR="0017096E">
              <w:rPr>
                <w:rFonts w:ascii="Times New Roman" w:hAnsi="Times New Roman" w:cs="Times New Roman"/>
                <w:sz w:val="24"/>
                <w:szCs w:val="24"/>
              </w:rPr>
              <w:t>L</w:t>
            </w:r>
            <w:r w:rsidR="008854A5" w:rsidRPr="00D41BDF">
              <w:rPr>
                <w:rFonts w:ascii="Times New Roman" w:hAnsi="Times New Roman" w:cs="Times New Roman"/>
                <w:sz w:val="24"/>
                <w:szCs w:val="24"/>
              </w:rPr>
              <w:t xml:space="preserve">ikumprojektā paredzēts grozīt </w:t>
            </w:r>
            <w:r w:rsidR="004469EF" w:rsidRPr="00D41BDF">
              <w:rPr>
                <w:rFonts w:ascii="Times New Roman" w:hAnsi="Times New Roman" w:cs="Times New Roman"/>
                <w:sz w:val="24"/>
                <w:szCs w:val="24"/>
              </w:rPr>
              <w:t>11.</w:t>
            </w:r>
            <w:r w:rsidR="004469EF" w:rsidRPr="00D41BDF">
              <w:rPr>
                <w:rFonts w:ascii="Times New Roman" w:hAnsi="Times New Roman" w:cs="Times New Roman"/>
                <w:sz w:val="24"/>
                <w:szCs w:val="24"/>
                <w:vertAlign w:val="superscript"/>
              </w:rPr>
              <w:t>2</w:t>
            </w:r>
            <w:r w:rsidR="004469EF" w:rsidRPr="00D41BDF">
              <w:rPr>
                <w:rFonts w:ascii="Times New Roman" w:hAnsi="Times New Roman" w:cs="Times New Roman"/>
                <w:sz w:val="24"/>
                <w:szCs w:val="24"/>
              </w:rPr>
              <w:t xml:space="preserve"> pant</w:t>
            </w:r>
            <w:r w:rsidR="001D03F0">
              <w:rPr>
                <w:rFonts w:ascii="Times New Roman" w:hAnsi="Times New Roman" w:cs="Times New Roman"/>
                <w:sz w:val="24"/>
                <w:szCs w:val="24"/>
              </w:rPr>
              <w:t>u</w:t>
            </w:r>
            <w:r w:rsidR="004469EF" w:rsidRPr="00D41BDF">
              <w:rPr>
                <w:rFonts w:ascii="Times New Roman" w:hAnsi="Times New Roman" w:cs="Times New Roman"/>
                <w:sz w:val="24"/>
                <w:szCs w:val="24"/>
              </w:rPr>
              <w:t xml:space="preserve"> papildin</w:t>
            </w:r>
            <w:r w:rsidR="001D03F0">
              <w:rPr>
                <w:rFonts w:ascii="Times New Roman" w:hAnsi="Times New Roman" w:cs="Times New Roman"/>
                <w:sz w:val="24"/>
                <w:szCs w:val="24"/>
              </w:rPr>
              <w:t xml:space="preserve">ot </w:t>
            </w:r>
            <w:r w:rsidR="004469EF" w:rsidRPr="00D41BDF">
              <w:rPr>
                <w:rFonts w:ascii="Times New Roman" w:hAnsi="Times New Roman" w:cs="Times New Roman"/>
                <w:sz w:val="24"/>
                <w:szCs w:val="24"/>
              </w:rPr>
              <w:t xml:space="preserve"> ar</w:t>
            </w:r>
            <w:r w:rsidR="001D03F0">
              <w:rPr>
                <w:rFonts w:ascii="Times New Roman" w:hAnsi="Times New Roman" w:cs="Times New Roman"/>
                <w:sz w:val="24"/>
                <w:szCs w:val="24"/>
              </w:rPr>
              <w:t xml:space="preserve"> jaunu daļu</w:t>
            </w:r>
            <w:r w:rsidR="004469EF" w:rsidRPr="00D41BDF">
              <w:rPr>
                <w:rFonts w:ascii="Times New Roman" w:hAnsi="Times New Roman" w:cs="Times New Roman"/>
                <w:sz w:val="24"/>
                <w:szCs w:val="24"/>
              </w:rPr>
              <w:t>, p</w:t>
            </w:r>
            <w:r w:rsidR="008854A5" w:rsidRPr="00D41BDF">
              <w:rPr>
                <w:rFonts w:ascii="Times New Roman" w:hAnsi="Times New Roman" w:cs="Times New Roman"/>
                <w:sz w:val="24"/>
                <w:szCs w:val="24"/>
              </w:rPr>
              <w:t>aredzot Birojam</w:t>
            </w:r>
            <w:r w:rsidR="00056D1A" w:rsidRPr="00D41BDF">
              <w:rPr>
                <w:rFonts w:ascii="Times New Roman" w:hAnsi="Times New Roman" w:cs="Times New Roman"/>
                <w:sz w:val="24"/>
                <w:szCs w:val="24"/>
              </w:rPr>
              <w:t xml:space="preserve"> tiesības</w:t>
            </w:r>
            <w:r w:rsidR="008854A5" w:rsidRPr="00D41BDF">
              <w:rPr>
                <w:rFonts w:ascii="Times New Roman" w:hAnsi="Times New Roman" w:cs="Times New Roman"/>
                <w:sz w:val="24"/>
                <w:szCs w:val="24"/>
              </w:rPr>
              <w:t xml:space="preserve"> </w:t>
            </w:r>
            <w:r w:rsidR="004469EF" w:rsidRPr="00D41BDF">
              <w:rPr>
                <w:rFonts w:ascii="Times New Roman" w:hAnsi="Times New Roman" w:cs="Times New Roman"/>
                <w:sz w:val="24"/>
                <w:szCs w:val="24"/>
              </w:rPr>
              <w:t>g</w:t>
            </w:r>
            <w:r w:rsidR="008854A5" w:rsidRPr="00D41BDF">
              <w:rPr>
                <w:rFonts w:ascii="Times New Roman" w:hAnsi="Times New Roman" w:cs="Times New Roman"/>
                <w:sz w:val="24"/>
                <w:szCs w:val="24"/>
              </w:rPr>
              <w:t>adījumos</w:t>
            </w:r>
            <w:r w:rsidR="004469EF" w:rsidRPr="00D41BDF">
              <w:rPr>
                <w:rFonts w:ascii="Times New Roman" w:hAnsi="Times New Roman" w:cs="Times New Roman"/>
                <w:sz w:val="24"/>
                <w:szCs w:val="24"/>
              </w:rPr>
              <w:t>,</w:t>
            </w:r>
            <w:r w:rsidR="008854A5" w:rsidRPr="00D41BDF">
              <w:rPr>
                <w:rFonts w:ascii="Times New Roman" w:hAnsi="Times New Roman" w:cs="Times New Roman"/>
                <w:sz w:val="24"/>
                <w:szCs w:val="24"/>
              </w:rPr>
              <w:t xml:space="preserve"> kad sportists atzīst antidopinga noteikumu pārkāpum</w:t>
            </w:r>
            <w:r w:rsidR="00AD0411" w:rsidRPr="00D41BDF">
              <w:rPr>
                <w:rFonts w:ascii="Times New Roman" w:hAnsi="Times New Roman" w:cs="Times New Roman"/>
                <w:sz w:val="24"/>
                <w:szCs w:val="24"/>
              </w:rPr>
              <w:t>a izdarīšanu</w:t>
            </w:r>
            <w:r w:rsidR="008854A5" w:rsidRPr="00D41BDF">
              <w:rPr>
                <w:rFonts w:ascii="Times New Roman" w:hAnsi="Times New Roman" w:cs="Times New Roman"/>
                <w:sz w:val="24"/>
                <w:szCs w:val="24"/>
              </w:rPr>
              <w:t xml:space="preserve">, </w:t>
            </w:r>
            <w:r w:rsidR="004469EF" w:rsidRPr="00D41BDF">
              <w:rPr>
                <w:rFonts w:ascii="Times New Roman" w:hAnsi="Times New Roman" w:cs="Times New Roman"/>
                <w:sz w:val="24"/>
                <w:szCs w:val="24"/>
              </w:rPr>
              <w:t xml:space="preserve">kā arī </w:t>
            </w:r>
            <w:r w:rsidR="008854A5" w:rsidRPr="00D41BDF">
              <w:rPr>
                <w:rFonts w:ascii="Times New Roman" w:hAnsi="Times New Roman" w:cs="Times New Roman"/>
                <w:sz w:val="24"/>
                <w:szCs w:val="24"/>
              </w:rPr>
              <w:t xml:space="preserve">piekrīt Biroja </w:t>
            </w:r>
            <w:proofErr w:type="spellStart"/>
            <w:r w:rsidR="008854A5" w:rsidRPr="00D41BDF">
              <w:rPr>
                <w:rFonts w:ascii="Times New Roman" w:hAnsi="Times New Roman" w:cs="Times New Roman"/>
                <w:sz w:val="24"/>
                <w:szCs w:val="24"/>
              </w:rPr>
              <w:t>izvērtējumam</w:t>
            </w:r>
            <w:proofErr w:type="spellEnd"/>
            <w:r w:rsidR="008854A5" w:rsidRPr="00D41BDF">
              <w:rPr>
                <w:rFonts w:ascii="Times New Roman" w:hAnsi="Times New Roman" w:cs="Times New Roman"/>
                <w:sz w:val="24"/>
                <w:szCs w:val="24"/>
              </w:rPr>
              <w:t xml:space="preserve"> un sankcijām, noslēgt vienošanos </w:t>
            </w:r>
            <w:r w:rsidR="00AD0411" w:rsidRPr="00D41BDF">
              <w:rPr>
                <w:rFonts w:ascii="Times New Roman" w:hAnsi="Times New Roman" w:cs="Times New Roman"/>
                <w:sz w:val="24"/>
                <w:szCs w:val="24"/>
              </w:rPr>
              <w:t>par pārkāpumu atzīšanu un sankciju pieņemšanu</w:t>
            </w:r>
            <w:r w:rsidR="008854A5" w:rsidRPr="00D41BDF">
              <w:rPr>
                <w:rFonts w:ascii="Times New Roman" w:hAnsi="Times New Roman" w:cs="Times New Roman"/>
                <w:sz w:val="24"/>
                <w:szCs w:val="24"/>
              </w:rPr>
              <w:t>.</w:t>
            </w:r>
            <w:r w:rsidR="001D03F0">
              <w:rPr>
                <w:rFonts w:ascii="Times New Roman" w:hAnsi="Times New Roman" w:cs="Times New Roman"/>
                <w:sz w:val="24"/>
                <w:szCs w:val="24"/>
              </w:rPr>
              <w:t xml:space="preserve"> Minētā daļa arī </w:t>
            </w:r>
            <w:r w:rsidR="001D03F0" w:rsidRPr="001D03F0">
              <w:rPr>
                <w:rFonts w:ascii="Times New Roman" w:hAnsi="Times New Roman" w:cs="Times New Roman"/>
                <w:sz w:val="24"/>
                <w:szCs w:val="24"/>
              </w:rPr>
              <w:t>paredz noteikt deleģējumu Ministru kabineta, noteikt k</w:t>
            </w:r>
            <w:r w:rsidR="001D03F0" w:rsidRPr="001D03F0">
              <w:rPr>
                <w:rFonts w:ascii="Times New Roman" w:eastAsia="Times New Roman" w:hAnsi="Times New Roman" w:cs="Times New Roman"/>
                <w:sz w:val="24"/>
                <w:szCs w:val="24"/>
                <w:lang w:eastAsia="lv-LV"/>
              </w:rPr>
              <w:t>ārtību kādā Latvijas Antidopinga birojs ir tiesīgs pieņem lēmumu par antidopinga noteikumu pārkāpumu, vienošanās slēgšanu, sankciju piešķiršanu un noteiktajiem termiņiem</w:t>
            </w:r>
            <w:r w:rsidR="001D03F0">
              <w:rPr>
                <w:rFonts w:ascii="Times New Roman" w:eastAsia="Times New Roman" w:hAnsi="Times New Roman" w:cs="Times New Roman"/>
                <w:sz w:val="28"/>
                <w:szCs w:val="28"/>
                <w:lang w:eastAsia="lv-LV"/>
              </w:rPr>
              <w:t xml:space="preserve">. </w:t>
            </w:r>
            <w:r w:rsidR="00037FD7" w:rsidRPr="00D41BDF">
              <w:rPr>
                <w:rFonts w:ascii="Times New Roman" w:hAnsi="Times New Roman" w:cs="Times New Roman"/>
                <w:sz w:val="24"/>
                <w:szCs w:val="24"/>
              </w:rPr>
              <w:t>Vienlaikus</w:t>
            </w:r>
            <w:r w:rsidR="00145303" w:rsidRPr="00D41BDF">
              <w:rPr>
                <w:rFonts w:ascii="Times New Roman" w:hAnsi="Times New Roman" w:cs="Times New Roman"/>
                <w:sz w:val="24"/>
                <w:szCs w:val="24"/>
              </w:rPr>
              <w:t xml:space="preserve"> </w:t>
            </w:r>
            <w:r w:rsidR="0017096E">
              <w:rPr>
                <w:rFonts w:ascii="Times New Roman" w:hAnsi="Times New Roman" w:cs="Times New Roman"/>
                <w:sz w:val="24"/>
                <w:szCs w:val="24"/>
              </w:rPr>
              <w:t>L</w:t>
            </w:r>
            <w:r w:rsidR="00145303" w:rsidRPr="00D41BDF">
              <w:rPr>
                <w:rFonts w:ascii="Times New Roman" w:hAnsi="Times New Roman" w:cs="Times New Roman"/>
                <w:sz w:val="24"/>
                <w:szCs w:val="24"/>
              </w:rPr>
              <w:t xml:space="preserve">ikumprojekts paredz </w:t>
            </w:r>
            <w:r w:rsidR="001D03F0">
              <w:rPr>
                <w:rFonts w:ascii="Times New Roman" w:hAnsi="Times New Roman" w:cs="Times New Roman"/>
                <w:sz w:val="24"/>
                <w:szCs w:val="24"/>
              </w:rPr>
              <w:t xml:space="preserve">papildināt </w:t>
            </w:r>
            <w:r w:rsidR="00037FD7" w:rsidRPr="00D41BDF">
              <w:rPr>
                <w:rFonts w:ascii="Times New Roman" w:hAnsi="Times New Roman" w:cs="Times New Roman"/>
                <w:sz w:val="24"/>
                <w:szCs w:val="24"/>
              </w:rPr>
              <w:t>11.</w:t>
            </w:r>
            <w:r w:rsidR="00037FD7" w:rsidRPr="00D41BDF">
              <w:rPr>
                <w:rFonts w:ascii="Times New Roman" w:hAnsi="Times New Roman" w:cs="Times New Roman"/>
                <w:sz w:val="24"/>
                <w:szCs w:val="24"/>
                <w:vertAlign w:val="superscript"/>
              </w:rPr>
              <w:t>2</w:t>
            </w:r>
            <w:r w:rsidR="00037FD7" w:rsidRPr="00D41BDF">
              <w:rPr>
                <w:rFonts w:ascii="Times New Roman" w:hAnsi="Times New Roman" w:cs="Times New Roman"/>
                <w:sz w:val="24"/>
                <w:szCs w:val="24"/>
              </w:rPr>
              <w:t xml:space="preserve"> panta pirmās daļas </w:t>
            </w:r>
            <w:r w:rsidR="00145303" w:rsidRPr="00D41BDF">
              <w:rPr>
                <w:rFonts w:ascii="Times New Roman" w:hAnsi="Times New Roman" w:cs="Times New Roman"/>
                <w:sz w:val="24"/>
                <w:szCs w:val="24"/>
              </w:rPr>
              <w:t>6</w:t>
            </w:r>
            <w:r w:rsidR="00037FD7" w:rsidRPr="00D41BDF">
              <w:rPr>
                <w:rFonts w:ascii="Times New Roman" w:hAnsi="Times New Roman" w:cs="Times New Roman"/>
                <w:sz w:val="24"/>
                <w:szCs w:val="24"/>
              </w:rPr>
              <w:t>.punkt</w:t>
            </w:r>
            <w:r w:rsidR="00145303" w:rsidRPr="00D41BDF">
              <w:rPr>
                <w:rFonts w:ascii="Times New Roman" w:hAnsi="Times New Roman" w:cs="Times New Roman"/>
                <w:sz w:val="24"/>
                <w:szCs w:val="24"/>
              </w:rPr>
              <w:t>u,</w:t>
            </w:r>
            <w:r w:rsidR="00037FD7" w:rsidRPr="00D41BDF">
              <w:rPr>
                <w:rFonts w:ascii="Times New Roman" w:hAnsi="Times New Roman" w:cs="Times New Roman"/>
                <w:sz w:val="24"/>
                <w:szCs w:val="24"/>
              </w:rPr>
              <w:t xml:space="preserve"> paredzot atsauci </w:t>
            </w:r>
            <w:r w:rsidR="00145303" w:rsidRPr="00D41BDF">
              <w:rPr>
                <w:rFonts w:ascii="Times New Roman" w:hAnsi="Times New Roman" w:cs="Times New Roman"/>
                <w:sz w:val="24"/>
                <w:szCs w:val="24"/>
              </w:rPr>
              <w:t xml:space="preserve">uz </w:t>
            </w:r>
            <w:r w:rsidR="001D03F0">
              <w:rPr>
                <w:rFonts w:ascii="Times New Roman" w:hAnsi="Times New Roman" w:cs="Times New Roman"/>
                <w:sz w:val="24"/>
                <w:szCs w:val="24"/>
              </w:rPr>
              <w:t xml:space="preserve"> </w:t>
            </w:r>
            <w:proofErr w:type="spellStart"/>
            <w:r w:rsidR="001D03F0">
              <w:rPr>
                <w:rFonts w:ascii="Times New Roman" w:hAnsi="Times New Roman" w:cs="Times New Roman"/>
                <w:sz w:val="24"/>
                <w:szCs w:val="24"/>
              </w:rPr>
              <w:t>jaunizveidoto</w:t>
            </w:r>
            <w:proofErr w:type="spellEnd"/>
            <w:r w:rsidR="001D03F0">
              <w:rPr>
                <w:rFonts w:ascii="Times New Roman" w:hAnsi="Times New Roman" w:cs="Times New Roman"/>
                <w:sz w:val="24"/>
                <w:szCs w:val="24"/>
              </w:rPr>
              <w:t xml:space="preserve"> daļu, kas nosaka gadījumus, kuros </w:t>
            </w:r>
            <w:r w:rsidR="00145303" w:rsidRPr="00D41BDF">
              <w:rPr>
                <w:rFonts w:ascii="Times New Roman" w:hAnsi="Times New Roman" w:cs="Times New Roman"/>
                <w:sz w:val="24"/>
                <w:szCs w:val="24"/>
              </w:rPr>
              <w:t xml:space="preserve">Birojam </w:t>
            </w:r>
            <w:r w:rsidR="00037FD7" w:rsidRPr="00D41BDF">
              <w:rPr>
                <w:rFonts w:ascii="Times New Roman" w:hAnsi="Times New Roman" w:cs="Times New Roman"/>
                <w:sz w:val="24"/>
                <w:szCs w:val="24"/>
              </w:rPr>
              <w:t xml:space="preserve"> </w:t>
            </w:r>
            <w:r w:rsidR="00056D1A" w:rsidRPr="00D41BDF">
              <w:rPr>
                <w:rFonts w:ascii="Times New Roman" w:hAnsi="Times New Roman" w:cs="Times New Roman"/>
                <w:sz w:val="24"/>
                <w:szCs w:val="24"/>
              </w:rPr>
              <w:t>pārkāpuma</w:t>
            </w:r>
            <w:r w:rsidR="008854A5" w:rsidRPr="00D41BDF">
              <w:rPr>
                <w:rFonts w:ascii="Times New Roman" w:hAnsi="Times New Roman" w:cs="Times New Roman"/>
                <w:sz w:val="24"/>
                <w:szCs w:val="24"/>
              </w:rPr>
              <w:t xml:space="preserve"> </w:t>
            </w:r>
            <w:r w:rsidR="00145303" w:rsidRPr="00D41BDF">
              <w:rPr>
                <w:rFonts w:ascii="Times New Roman" w:hAnsi="Times New Roman" w:cs="Times New Roman"/>
                <w:sz w:val="24"/>
                <w:szCs w:val="24"/>
              </w:rPr>
              <w:t>konstatēšan</w:t>
            </w:r>
            <w:r w:rsidR="001D03F0">
              <w:rPr>
                <w:rFonts w:ascii="Times New Roman" w:hAnsi="Times New Roman" w:cs="Times New Roman"/>
                <w:sz w:val="24"/>
                <w:szCs w:val="24"/>
              </w:rPr>
              <w:t xml:space="preserve">ā </w:t>
            </w:r>
            <w:r w:rsidR="00145303" w:rsidRPr="00D41BDF">
              <w:rPr>
                <w:rFonts w:ascii="Times New Roman" w:hAnsi="Times New Roman" w:cs="Times New Roman"/>
                <w:sz w:val="24"/>
                <w:szCs w:val="24"/>
              </w:rPr>
              <w:t>nav jāvēršas</w:t>
            </w:r>
            <w:r w:rsidR="008854A5" w:rsidRPr="00D41BDF">
              <w:rPr>
                <w:rFonts w:ascii="Times New Roman" w:hAnsi="Times New Roman" w:cs="Times New Roman"/>
                <w:sz w:val="24"/>
                <w:szCs w:val="24"/>
              </w:rPr>
              <w:t xml:space="preserve"> </w:t>
            </w:r>
            <w:r w:rsidR="004469EF" w:rsidRPr="00D41BDF">
              <w:rPr>
                <w:rFonts w:ascii="Times New Roman" w:hAnsi="Times New Roman" w:cs="Times New Roman"/>
                <w:sz w:val="24"/>
                <w:szCs w:val="24"/>
              </w:rPr>
              <w:t>Disciplinārajā antidopinga komisijā.</w:t>
            </w:r>
            <w:r w:rsidR="004769C8" w:rsidRPr="00D41BDF">
              <w:rPr>
                <w:rFonts w:ascii="Times New Roman" w:hAnsi="Times New Roman" w:cs="Times New Roman"/>
                <w:sz w:val="24"/>
                <w:szCs w:val="24"/>
              </w:rPr>
              <w:t xml:space="preserve"> </w:t>
            </w:r>
            <w:r w:rsidR="00C425C5" w:rsidRPr="00D41BDF">
              <w:rPr>
                <w:rFonts w:ascii="Times New Roman" w:hAnsi="Times New Roman" w:cs="Times New Roman"/>
                <w:sz w:val="24"/>
                <w:szCs w:val="24"/>
              </w:rPr>
              <w:t>S</w:t>
            </w:r>
            <w:r w:rsidR="004769C8" w:rsidRPr="00D41BDF">
              <w:rPr>
                <w:rFonts w:ascii="Times New Roman" w:hAnsi="Times New Roman" w:cs="Times New Roman"/>
                <w:sz w:val="24"/>
                <w:szCs w:val="24"/>
              </w:rPr>
              <w:t>portist</w:t>
            </w:r>
            <w:r w:rsidR="00C425C5" w:rsidRPr="00D41BDF">
              <w:rPr>
                <w:rFonts w:ascii="Times New Roman" w:hAnsi="Times New Roman" w:cs="Times New Roman"/>
                <w:sz w:val="24"/>
                <w:szCs w:val="24"/>
              </w:rPr>
              <w:t xml:space="preserve">am </w:t>
            </w:r>
            <w:r w:rsidR="004769C8" w:rsidRPr="00D41BDF">
              <w:rPr>
                <w:rFonts w:ascii="Times New Roman" w:hAnsi="Times New Roman" w:cs="Times New Roman"/>
                <w:sz w:val="24"/>
                <w:szCs w:val="24"/>
              </w:rPr>
              <w:t>vai sporta darbinie</w:t>
            </w:r>
            <w:r w:rsidR="00C425C5" w:rsidRPr="00D41BDF">
              <w:rPr>
                <w:rFonts w:ascii="Times New Roman" w:hAnsi="Times New Roman" w:cs="Times New Roman"/>
                <w:sz w:val="24"/>
                <w:szCs w:val="24"/>
              </w:rPr>
              <w:t xml:space="preserve">kam noslēdzot ar Biroju minēto vienošanos, </w:t>
            </w:r>
            <w:r w:rsidR="004769C8" w:rsidRPr="00D41BDF">
              <w:rPr>
                <w:rFonts w:ascii="Times New Roman" w:hAnsi="Times New Roman" w:cs="Times New Roman"/>
                <w:sz w:val="24"/>
                <w:szCs w:val="24"/>
              </w:rPr>
              <w:t xml:space="preserve"> vairs netiek paredzētas tiesības uz pārsūdzīb</w:t>
            </w:r>
            <w:r w:rsidR="00C425C5" w:rsidRPr="00D41BDF">
              <w:rPr>
                <w:rFonts w:ascii="Times New Roman" w:hAnsi="Times New Roman" w:cs="Times New Roman"/>
                <w:sz w:val="24"/>
                <w:szCs w:val="24"/>
              </w:rPr>
              <w:t>as iespējām</w:t>
            </w:r>
            <w:r w:rsidR="004769C8" w:rsidRPr="00D41BDF">
              <w:rPr>
                <w:rFonts w:ascii="Times New Roman" w:hAnsi="Times New Roman" w:cs="Times New Roman"/>
                <w:sz w:val="24"/>
                <w:szCs w:val="24"/>
              </w:rPr>
              <w:t xml:space="preserve"> Pārsūdzības komisijā</w:t>
            </w:r>
            <w:r w:rsidR="00C425C5" w:rsidRPr="00D41BDF">
              <w:rPr>
                <w:rFonts w:ascii="Times New Roman" w:hAnsi="Times New Roman" w:cs="Times New Roman"/>
                <w:sz w:val="24"/>
                <w:szCs w:val="24"/>
              </w:rPr>
              <w:t xml:space="preserve">. Savukārt </w:t>
            </w:r>
            <w:r w:rsidR="004769C8" w:rsidRPr="00D41BDF">
              <w:rPr>
                <w:rFonts w:ascii="Times New Roman" w:hAnsi="Times New Roman" w:cs="Times New Roman"/>
                <w:sz w:val="24"/>
                <w:szCs w:val="24"/>
              </w:rPr>
              <w:t>gadījumos</w:t>
            </w:r>
            <w:r w:rsidR="00C425C5" w:rsidRPr="00D41BDF">
              <w:rPr>
                <w:rFonts w:ascii="Times New Roman" w:hAnsi="Times New Roman" w:cs="Times New Roman"/>
                <w:sz w:val="24"/>
                <w:szCs w:val="24"/>
              </w:rPr>
              <w:t>, kad sportists vai sporta darbinieks atsakās</w:t>
            </w:r>
            <w:r w:rsidR="004769C8" w:rsidRPr="00D41BDF">
              <w:rPr>
                <w:rFonts w:ascii="Times New Roman" w:hAnsi="Times New Roman" w:cs="Times New Roman"/>
                <w:sz w:val="24"/>
                <w:szCs w:val="24"/>
              </w:rPr>
              <w:t xml:space="preserve"> no tiesībām uz lietas izskatīšanu </w:t>
            </w:r>
            <w:r w:rsidR="00056D1A" w:rsidRPr="00D41BDF">
              <w:rPr>
                <w:rFonts w:ascii="Times New Roman" w:hAnsi="Times New Roman" w:cs="Times New Roman"/>
                <w:sz w:val="24"/>
                <w:szCs w:val="24"/>
              </w:rPr>
              <w:t>Disciplinārajā antidopinga komisijā,</w:t>
            </w:r>
            <w:r w:rsidR="004769C8" w:rsidRPr="00D41BDF">
              <w:rPr>
                <w:rFonts w:ascii="Times New Roman" w:hAnsi="Times New Roman" w:cs="Times New Roman"/>
                <w:sz w:val="24"/>
                <w:szCs w:val="24"/>
              </w:rPr>
              <w:t xml:space="preserve"> joprojām tiktu</w:t>
            </w:r>
            <w:r w:rsidR="00C425C5" w:rsidRPr="00D41BDF">
              <w:rPr>
                <w:rFonts w:ascii="Times New Roman" w:hAnsi="Times New Roman" w:cs="Times New Roman"/>
                <w:sz w:val="24"/>
                <w:szCs w:val="24"/>
              </w:rPr>
              <w:t xml:space="preserve"> nodrošinātas</w:t>
            </w:r>
            <w:r w:rsidR="004769C8" w:rsidRPr="00D41BDF">
              <w:rPr>
                <w:rFonts w:ascii="Times New Roman" w:hAnsi="Times New Roman" w:cs="Times New Roman"/>
                <w:sz w:val="24"/>
                <w:szCs w:val="24"/>
              </w:rPr>
              <w:t xml:space="preserve"> tiesības sportistam vai sporta darbiniekam iesniegt sūdzību Pārsūdzības komisijā. </w:t>
            </w:r>
            <w:r w:rsidR="004173ED" w:rsidRPr="00D41BDF">
              <w:rPr>
                <w:rFonts w:ascii="Times New Roman" w:hAnsi="Times New Roman" w:cs="Times New Roman"/>
                <w:sz w:val="24"/>
                <w:szCs w:val="24"/>
              </w:rPr>
              <w:t xml:space="preserve">Minētie grozījumi “Sporta likumā” Birojam būtiski samazinātu izmaksas uz komisijas darbu lietās, kurās sportisti vai sporta darbinieki neizrāda nekādu interesi par konstatēto antidopinga noteikumu pārkāpumu, kā arī dotu iespēju Birojam censties panākt vienošanos ar sportistiem vai sporta darbiniekiem par soda sankcijām, neiesaistot komisijas lēmuma pieņemšanā, kas ieekonomētu ne tikai finanšu līdzekļus, bet arī laiku. Ieekonomētos finanšu līdzekļus būtu iespējams novirzīt sabiedrības izglītošanai antidopinga jautājumos. </w:t>
            </w:r>
          </w:p>
          <w:p w14:paraId="27040BF7" w14:textId="64469A93" w:rsidR="00056D1A" w:rsidRPr="00D41BDF" w:rsidRDefault="00EB7370" w:rsidP="00056D1A">
            <w:pPr>
              <w:spacing w:after="0" w:line="240" w:lineRule="auto"/>
              <w:jc w:val="both"/>
              <w:rPr>
                <w:rFonts w:ascii="Times New Roman" w:eastAsia="Times New Roman" w:hAnsi="Times New Roman" w:cs="Times New Roman"/>
                <w:sz w:val="24"/>
                <w:szCs w:val="24"/>
                <w:lang w:eastAsia="lv-LV"/>
              </w:rPr>
            </w:pPr>
            <w:r w:rsidRPr="00D41BDF">
              <w:rPr>
                <w:rFonts w:ascii="Times New Roman" w:hAnsi="Times New Roman" w:cs="Times New Roman"/>
                <w:sz w:val="24"/>
                <w:szCs w:val="24"/>
              </w:rPr>
              <w:t xml:space="preserve">Šobrīd </w:t>
            </w:r>
            <w:r w:rsidR="00D41BDF">
              <w:rPr>
                <w:rFonts w:ascii="Times New Roman" w:hAnsi="Times New Roman" w:cs="Times New Roman"/>
                <w:sz w:val="24"/>
                <w:szCs w:val="24"/>
              </w:rPr>
              <w:t>“</w:t>
            </w:r>
            <w:r w:rsidR="004469EF" w:rsidRPr="00D41BDF">
              <w:rPr>
                <w:rFonts w:ascii="Times New Roman" w:hAnsi="Times New Roman" w:cs="Times New Roman"/>
                <w:sz w:val="24"/>
                <w:szCs w:val="24"/>
              </w:rPr>
              <w:t>Sporta likuma</w:t>
            </w:r>
            <w:r w:rsidR="00D41BDF">
              <w:rPr>
                <w:rFonts w:ascii="Times New Roman" w:hAnsi="Times New Roman" w:cs="Times New Roman"/>
                <w:sz w:val="24"/>
                <w:szCs w:val="24"/>
              </w:rPr>
              <w:t>”</w:t>
            </w:r>
            <w:r w:rsidR="004469EF" w:rsidRPr="00D41BDF">
              <w:rPr>
                <w:rFonts w:ascii="Times New Roman" w:hAnsi="Times New Roman" w:cs="Times New Roman"/>
                <w:sz w:val="24"/>
                <w:szCs w:val="24"/>
              </w:rPr>
              <w:t xml:space="preserve"> 11.</w:t>
            </w:r>
            <w:r w:rsidR="004469EF" w:rsidRPr="00D41BDF">
              <w:rPr>
                <w:rFonts w:ascii="Times New Roman" w:hAnsi="Times New Roman" w:cs="Times New Roman"/>
                <w:sz w:val="24"/>
                <w:szCs w:val="24"/>
                <w:vertAlign w:val="superscript"/>
              </w:rPr>
              <w:t>2</w:t>
            </w:r>
            <w:r w:rsidR="004469EF" w:rsidRPr="00D41BDF">
              <w:rPr>
                <w:rFonts w:ascii="Times New Roman" w:hAnsi="Times New Roman" w:cs="Times New Roman"/>
                <w:sz w:val="24"/>
                <w:szCs w:val="24"/>
              </w:rPr>
              <w:t xml:space="preserve"> panta trešā daļa</w:t>
            </w:r>
            <w:r w:rsidRPr="00D41BDF">
              <w:rPr>
                <w:rFonts w:ascii="Times New Roman" w:hAnsi="Times New Roman" w:cs="Times New Roman"/>
                <w:sz w:val="24"/>
                <w:szCs w:val="24"/>
              </w:rPr>
              <w:t xml:space="preserve"> nosaka sportistam iespējas pārsūdzēt Biroja pieņem</w:t>
            </w:r>
            <w:r w:rsidR="00E47282" w:rsidRPr="00D41BDF">
              <w:rPr>
                <w:rFonts w:ascii="Times New Roman" w:hAnsi="Times New Roman" w:cs="Times New Roman"/>
                <w:sz w:val="24"/>
                <w:szCs w:val="24"/>
              </w:rPr>
              <w:t>t</w:t>
            </w:r>
            <w:r w:rsidRPr="00D41BDF">
              <w:rPr>
                <w:rFonts w:ascii="Times New Roman" w:hAnsi="Times New Roman" w:cs="Times New Roman"/>
                <w:sz w:val="24"/>
                <w:szCs w:val="24"/>
              </w:rPr>
              <w:t xml:space="preserve">os lēmumus </w:t>
            </w:r>
            <w:r w:rsidR="00A74181" w:rsidRPr="00D41BDF">
              <w:rPr>
                <w:rFonts w:ascii="Times New Roman" w:hAnsi="Times New Roman" w:cs="Times New Roman"/>
                <w:sz w:val="24"/>
                <w:szCs w:val="24"/>
              </w:rPr>
              <w:t xml:space="preserve">par pagaidu aizlieguma piešķiršanu, </w:t>
            </w:r>
            <w:r w:rsidRPr="00D41BDF">
              <w:rPr>
                <w:rFonts w:ascii="Times New Roman" w:hAnsi="Times New Roman" w:cs="Times New Roman"/>
                <w:sz w:val="24"/>
                <w:szCs w:val="24"/>
              </w:rPr>
              <w:t xml:space="preserve">tomēr minētā norma neparedz visaptverošu kārtību </w:t>
            </w:r>
            <w:r w:rsidR="00A74181" w:rsidRPr="00D41BDF">
              <w:rPr>
                <w:rFonts w:ascii="Times New Roman" w:hAnsi="Times New Roman" w:cs="Times New Roman"/>
                <w:sz w:val="24"/>
                <w:szCs w:val="24"/>
              </w:rPr>
              <w:t>Biroja lēmuma pār</w:t>
            </w:r>
            <w:r w:rsidRPr="00D41BDF">
              <w:rPr>
                <w:rFonts w:ascii="Times New Roman" w:hAnsi="Times New Roman" w:cs="Times New Roman"/>
                <w:sz w:val="24"/>
                <w:szCs w:val="24"/>
              </w:rPr>
              <w:t xml:space="preserve">sūdzību iesniegšanai </w:t>
            </w:r>
            <w:r w:rsidR="00A74181" w:rsidRPr="00D41BDF">
              <w:rPr>
                <w:rFonts w:ascii="Times New Roman" w:hAnsi="Times New Roman" w:cs="Times New Roman"/>
                <w:sz w:val="24"/>
                <w:szCs w:val="24"/>
              </w:rPr>
              <w:t xml:space="preserve">gan nacionāla, gan </w:t>
            </w:r>
            <w:r w:rsidRPr="00D41BDF">
              <w:rPr>
                <w:rFonts w:ascii="Times New Roman" w:hAnsi="Times New Roman" w:cs="Times New Roman"/>
                <w:sz w:val="24"/>
                <w:szCs w:val="24"/>
              </w:rPr>
              <w:t xml:space="preserve">starptautiska līmeņa sportistiem vai par pārkāpumiem </w:t>
            </w:r>
            <w:r w:rsidRPr="00D41BDF">
              <w:rPr>
                <w:rFonts w:ascii="Times New Roman" w:hAnsi="Times New Roman" w:cs="Times New Roman"/>
                <w:sz w:val="24"/>
                <w:szCs w:val="24"/>
              </w:rPr>
              <w:lastRenderedPageBreak/>
              <w:t>saistībā ar starptautiska līmeņa sacensībām,</w:t>
            </w:r>
            <w:r w:rsidR="00A74181" w:rsidRPr="00D41BDF">
              <w:rPr>
                <w:rFonts w:ascii="Times New Roman" w:hAnsi="Times New Roman" w:cs="Times New Roman"/>
                <w:sz w:val="24"/>
                <w:szCs w:val="24"/>
              </w:rPr>
              <w:t xml:space="preserve"> tāpat neparedz gadījumus, ka pārsūdzību par Biroja lēmumu var iesniegt arī sporta darbinieks</w:t>
            </w:r>
            <w:r w:rsidR="007B3690" w:rsidRPr="00D41BDF">
              <w:rPr>
                <w:rFonts w:ascii="Times New Roman" w:hAnsi="Times New Roman" w:cs="Times New Roman"/>
                <w:sz w:val="24"/>
                <w:szCs w:val="24"/>
              </w:rPr>
              <w:t xml:space="preserve">, kā arī </w:t>
            </w:r>
            <w:r w:rsidR="00C425C5" w:rsidRPr="00D41BDF">
              <w:rPr>
                <w:rFonts w:ascii="Times New Roman" w:hAnsi="Times New Roman" w:cs="Times New Roman"/>
                <w:sz w:val="24"/>
                <w:szCs w:val="24"/>
              </w:rPr>
              <w:t xml:space="preserve">to, </w:t>
            </w:r>
            <w:r w:rsidR="007B3690" w:rsidRPr="00D41BDF">
              <w:rPr>
                <w:rFonts w:ascii="Times New Roman" w:hAnsi="Times New Roman" w:cs="Times New Roman"/>
                <w:sz w:val="24"/>
                <w:szCs w:val="24"/>
              </w:rPr>
              <w:t xml:space="preserve">kad pārsūdzību var iesniegt par </w:t>
            </w:r>
            <w:r w:rsidR="00AC4070" w:rsidRPr="00D41BDF">
              <w:rPr>
                <w:rFonts w:ascii="Times New Roman" w:hAnsi="Times New Roman" w:cs="Times New Roman"/>
                <w:sz w:val="24"/>
                <w:szCs w:val="24"/>
              </w:rPr>
              <w:t>piešķirto</w:t>
            </w:r>
            <w:r w:rsidR="007B3690" w:rsidRPr="00D41BDF">
              <w:rPr>
                <w:rFonts w:ascii="Times New Roman" w:hAnsi="Times New Roman" w:cs="Times New Roman"/>
                <w:sz w:val="24"/>
                <w:szCs w:val="24"/>
              </w:rPr>
              <w:t xml:space="preserve"> </w:t>
            </w:r>
            <w:r w:rsidR="00C425C5" w:rsidRPr="00D41BDF">
              <w:rPr>
                <w:rFonts w:ascii="Times New Roman" w:hAnsi="Times New Roman" w:cs="Times New Roman"/>
                <w:sz w:val="24"/>
                <w:szCs w:val="24"/>
              </w:rPr>
              <w:t xml:space="preserve">pagaidu </w:t>
            </w:r>
            <w:r w:rsidR="007B3690" w:rsidRPr="00D41BDF">
              <w:rPr>
                <w:rFonts w:ascii="Times New Roman" w:hAnsi="Times New Roman" w:cs="Times New Roman"/>
                <w:sz w:val="24"/>
                <w:szCs w:val="24"/>
              </w:rPr>
              <w:t>aizliegumu.</w:t>
            </w:r>
            <w:r w:rsidR="00A74181" w:rsidRPr="00D41BDF">
              <w:rPr>
                <w:rFonts w:ascii="Times New Roman" w:hAnsi="Times New Roman" w:cs="Times New Roman"/>
                <w:sz w:val="24"/>
                <w:szCs w:val="24"/>
              </w:rPr>
              <w:t xml:space="preserve"> </w:t>
            </w:r>
            <w:r w:rsidR="00145303" w:rsidRPr="00D41BDF">
              <w:rPr>
                <w:rFonts w:ascii="Times New Roman" w:hAnsi="Times New Roman" w:cs="Times New Roman"/>
                <w:sz w:val="24"/>
                <w:szCs w:val="24"/>
              </w:rPr>
              <w:t xml:space="preserve">Tāpat šī </w:t>
            </w:r>
            <w:r w:rsidR="004173ED" w:rsidRPr="00D41BDF">
              <w:rPr>
                <w:rFonts w:ascii="Times New Roman" w:hAnsi="Times New Roman" w:cs="Times New Roman"/>
                <w:sz w:val="24"/>
                <w:szCs w:val="24"/>
              </w:rPr>
              <w:t xml:space="preserve">brīža regulējums neregulē pārsūdzības tiesības, kas izriet no Biroja pieņemtā lēmuma pēc sportista vai sporta darbinieka atteikšanās no </w:t>
            </w:r>
            <w:r w:rsidR="00145303" w:rsidRPr="00D41BDF">
              <w:rPr>
                <w:rFonts w:ascii="Times New Roman" w:hAnsi="Times New Roman" w:cs="Times New Roman"/>
                <w:sz w:val="24"/>
                <w:szCs w:val="24"/>
              </w:rPr>
              <w:t xml:space="preserve">antidopinga pārkāpuma </w:t>
            </w:r>
            <w:r w:rsidR="004173ED" w:rsidRPr="00D41BDF">
              <w:rPr>
                <w:rFonts w:ascii="Times New Roman" w:hAnsi="Times New Roman" w:cs="Times New Roman"/>
                <w:sz w:val="24"/>
                <w:szCs w:val="24"/>
              </w:rPr>
              <w:t xml:space="preserve">lietas izskatīšanas. Līdz ar to </w:t>
            </w:r>
            <w:r w:rsidR="0017096E">
              <w:rPr>
                <w:rFonts w:ascii="Times New Roman" w:hAnsi="Times New Roman" w:cs="Times New Roman"/>
                <w:sz w:val="24"/>
                <w:szCs w:val="24"/>
              </w:rPr>
              <w:t>L</w:t>
            </w:r>
            <w:r w:rsidR="007B3690" w:rsidRPr="00D41BDF">
              <w:rPr>
                <w:rFonts w:ascii="Times New Roman" w:hAnsi="Times New Roman" w:cs="Times New Roman"/>
                <w:sz w:val="24"/>
                <w:szCs w:val="24"/>
              </w:rPr>
              <w:t xml:space="preserve">ikumprojekts paredz </w:t>
            </w:r>
            <w:r w:rsidR="004173ED" w:rsidRPr="00D41BDF">
              <w:rPr>
                <w:rFonts w:ascii="Times New Roman" w:hAnsi="Times New Roman" w:cs="Times New Roman"/>
                <w:sz w:val="24"/>
                <w:szCs w:val="24"/>
              </w:rPr>
              <w:t>papildināt 11.</w:t>
            </w:r>
            <w:r w:rsidR="004173ED" w:rsidRPr="00D41BDF">
              <w:rPr>
                <w:rFonts w:ascii="Times New Roman" w:hAnsi="Times New Roman" w:cs="Times New Roman"/>
                <w:sz w:val="24"/>
                <w:szCs w:val="24"/>
                <w:vertAlign w:val="superscript"/>
              </w:rPr>
              <w:t>2</w:t>
            </w:r>
            <w:r w:rsidR="004173ED" w:rsidRPr="00D41BDF">
              <w:rPr>
                <w:rFonts w:ascii="Times New Roman" w:hAnsi="Times New Roman" w:cs="Times New Roman"/>
                <w:sz w:val="24"/>
                <w:szCs w:val="24"/>
              </w:rPr>
              <w:t xml:space="preserve"> panta trešo daļu ar </w:t>
            </w:r>
            <w:r w:rsidR="00C425C5" w:rsidRPr="00D41BDF">
              <w:rPr>
                <w:rFonts w:ascii="Times New Roman" w:hAnsi="Times New Roman" w:cs="Times New Roman"/>
                <w:sz w:val="24"/>
                <w:szCs w:val="24"/>
              </w:rPr>
              <w:t>normu</w:t>
            </w:r>
            <w:r w:rsidR="009A7A49" w:rsidRPr="00D41BDF">
              <w:rPr>
                <w:rFonts w:ascii="Times New Roman" w:hAnsi="Times New Roman" w:cs="Times New Roman"/>
                <w:sz w:val="24"/>
                <w:szCs w:val="24"/>
              </w:rPr>
              <w:t xml:space="preserve">, ka sportists vai </w:t>
            </w:r>
            <w:r w:rsidR="009A7A49" w:rsidRPr="00D41BDF">
              <w:rPr>
                <w:rFonts w:ascii="Times New Roman" w:eastAsia="Times New Roman" w:hAnsi="Times New Roman" w:cs="Times New Roman"/>
                <w:sz w:val="24"/>
                <w:szCs w:val="24"/>
                <w:lang w:eastAsia="lv-LV"/>
              </w:rPr>
              <w:t>sporta darbinieks sūdzību par Biroja lēmumu</w:t>
            </w:r>
            <w:r w:rsidR="009A7A49" w:rsidRPr="00D41BDF">
              <w:rPr>
                <w:rFonts w:ascii="Times New Roman" w:hAnsi="Times New Roman" w:cs="Times New Roman"/>
                <w:sz w:val="24"/>
                <w:szCs w:val="24"/>
              </w:rPr>
              <w:t xml:space="preserve"> piešķirt pagaidu aizliegumu </w:t>
            </w:r>
            <w:r w:rsidR="009A7A49" w:rsidRPr="00D41BDF">
              <w:rPr>
                <w:rFonts w:ascii="Times New Roman" w:eastAsia="Times New Roman" w:hAnsi="Times New Roman" w:cs="Times New Roman"/>
                <w:sz w:val="24"/>
                <w:szCs w:val="24"/>
                <w:lang w:eastAsia="lv-LV"/>
              </w:rPr>
              <w:t>var iesniegt Disciplinārajā antidopinga komisijā ar tiesībām pārsūdzēt pieņemto lēmumu Pārsūdzības komisijā vai starptautiskajā Sporta arbitrāžas tiesā, ja pārkāpums saistīts ar starptautiska līmeņa sportistu vai dalību starptautiska līmeņa sacensībās.</w:t>
            </w:r>
            <w:r w:rsidR="008A09ED" w:rsidRPr="00D41BDF">
              <w:rPr>
                <w:rFonts w:ascii="Times New Roman" w:eastAsia="Times New Roman" w:hAnsi="Times New Roman" w:cs="Times New Roman"/>
                <w:sz w:val="24"/>
                <w:szCs w:val="24"/>
                <w:lang w:eastAsia="lv-LV"/>
              </w:rPr>
              <w:t xml:space="preserve"> Vienlaikus </w:t>
            </w:r>
            <w:r w:rsidR="0017096E">
              <w:rPr>
                <w:rFonts w:ascii="Times New Roman" w:eastAsia="Times New Roman" w:hAnsi="Times New Roman" w:cs="Times New Roman"/>
                <w:sz w:val="24"/>
                <w:szCs w:val="24"/>
                <w:lang w:eastAsia="lv-LV"/>
              </w:rPr>
              <w:t>L</w:t>
            </w:r>
            <w:r w:rsidR="00056D1A" w:rsidRPr="00D41BDF">
              <w:rPr>
                <w:rFonts w:ascii="Times New Roman" w:eastAsia="Times New Roman" w:hAnsi="Times New Roman" w:cs="Times New Roman"/>
                <w:sz w:val="24"/>
                <w:szCs w:val="24"/>
                <w:lang w:eastAsia="lv-LV"/>
              </w:rPr>
              <w:t xml:space="preserve">ikumprojekts paredz papildināt </w:t>
            </w:r>
            <w:r w:rsidR="00D41BDF">
              <w:rPr>
                <w:rFonts w:ascii="Times New Roman" w:eastAsia="Times New Roman" w:hAnsi="Times New Roman" w:cs="Times New Roman"/>
                <w:sz w:val="24"/>
                <w:szCs w:val="24"/>
                <w:lang w:eastAsia="lv-LV"/>
              </w:rPr>
              <w:t>“</w:t>
            </w:r>
            <w:r w:rsidR="00056D1A" w:rsidRPr="00D41BDF">
              <w:rPr>
                <w:rFonts w:ascii="Times New Roman" w:eastAsia="Times New Roman" w:hAnsi="Times New Roman" w:cs="Times New Roman"/>
                <w:sz w:val="24"/>
                <w:szCs w:val="24"/>
                <w:lang w:eastAsia="lv-LV"/>
              </w:rPr>
              <w:t>Sporta likuma</w:t>
            </w:r>
            <w:r w:rsidR="00D41BDF">
              <w:rPr>
                <w:rFonts w:ascii="Times New Roman" w:eastAsia="Times New Roman" w:hAnsi="Times New Roman" w:cs="Times New Roman"/>
                <w:sz w:val="24"/>
                <w:szCs w:val="24"/>
                <w:lang w:eastAsia="lv-LV"/>
              </w:rPr>
              <w:t>”</w:t>
            </w:r>
            <w:r w:rsidR="00056D1A" w:rsidRPr="00D41BDF">
              <w:rPr>
                <w:rFonts w:ascii="Times New Roman" w:eastAsia="Times New Roman" w:hAnsi="Times New Roman" w:cs="Times New Roman"/>
                <w:sz w:val="24"/>
                <w:szCs w:val="24"/>
                <w:lang w:eastAsia="lv-LV"/>
              </w:rPr>
              <w:t xml:space="preserve"> </w:t>
            </w:r>
            <w:r w:rsidR="00056D1A" w:rsidRPr="00D41BDF">
              <w:rPr>
                <w:rFonts w:ascii="Times New Roman" w:hAnsi="Times New Roman" w:cs="Times New Roman"/>
                <w:sz w:val="24"/>
                <w:szCs w:val="24"/>
              </w:rPr>
              <w:t>11.</w:t>
            </w:r>
            <w:r w:rsidR="00056D1A" w:rsidRPr="00D41BDF">
              <w:rPr>
                <w:rFonts w:ascii="Times New Roman" w:hAnsi="Times New Roman" w:cs="Times New Roman"/>
                <w:sz w:val="24"/>
                <w:szCs w:val="24"/>
                <w:vertAlign w:val="superscript"/>
              </w:rPr>
              <w:t>2</w:t>
            </w:r>
            <w:r w:rsidR="00056D1A" w:rsidRPr="00D41BDF">
              <w:rPr>
                <w:rFonts w:ascii="Times New Roman" w:hAnsi="Times New Roman" w:cs="Times New Roman"/>
                <w:sz w:val="24"/>
                <w:szCs w:val="24"/>
              </w:rPr>
              <w:t xml:space="preserve"> pantu ar jaunu ceturto</w:t>
            </w:r>
            <w:r w:rsidR="00145303" w:rsidRPr="00D41BDF">
              <w:rPr>
                <w:rFonts w:ascii="Times New Roman" w:hAnsi="Times New Roman" w:cs="Times New Roman"/>
                <w:sz w:val="24"/>
                <w:szCs w:val="24"/>
              </w:rPr>
              <w:t xml:space="preserve"> daļu</w:t>
            </w:r>
            <w:r w:rsidR="00056D1A" w:rsidRPr="00D41BDF">
              <w:rPr>
                <w:rFonts w:ascii="Times New Roman" w:hAnsi="Times New Roman" w:cs="Times New Roman"/>
                <w:sz w:val="24"/>
                <w:szCs w:val="24"/>
              </w:rPr>
              <w:t>,</w:t>
            </w:r>
            <w:r w:rsidR="00056D1A" w:rsidRPr="00D41BDF">
              <w:rPr>
                <w:rFonts w:ascii="Times New Roman" w:eastAsia="Times New Roman" w:hAnsi="Times New Roman" w:cs="Times New Roman"/>
                <w:sz w:val="24"/>
                <w:szCs w:val="24"/>
                <w:lang w:eastAsia="lv-LV"/>
              </w:rPr>
              <w:t xml:space="preserve"> paredzot pārsūdzības iespējas par </w:t>
            </w:r>
            <w:r w:rsidR="00145303" w:rsidRPr="00D41BDF">
              <w:rPr>
                <w:rFonts w:ascii="Times New Roman" w:eastAsia="Times New Roman" w:hAnsi="Times New Roman" w:cs="Times New Roman"/>
                <w:sz w:val="24"/>
                <w:szCs w:val="24"/>
                <w:lang w:eastAsia="lv-LV"/>
              </w:rPr>
              <w:t>B</w:t>
            </w:r>
            <w:r w:rsidR="00056D1A" w:rsidRPr="00D41BDF">
              <w:rPr>
                <w:rFonts w:ascii="Times New Roman" w:eastAsia="Times New Roman" w:hAnsi="Times New Roman" w:cs="Times New Roman"/>
                <w:sz w:val="24"/>
                <w:szCs w:val="24"/>
                <w:lang w:eastAsia="lv-LV"/>
              </w:rPr>
              <w:t>iroja pieņemtajiem lēmumiem</w:t>
            </w:r>
            <w:r w:rsidR="00145303" w:rsidRPr="00D41BDF">
              <w:rPr>
                <w:rFonts w:ascii="Times New Roman" w:eastAsia="Times New Roman" w:hAnsi="Times New Roman" w:cs="Times New Roman"/>
                <w:sz w:val="24"/>
                <w:szCs w:val="24"/>
                <w:lang w:eastAsia="lv-LV"/>
              </w:rPr>
              <w:t>, kad</w:t>
            </w:r>
            <w:r w:rsidR="00056D1A" w:rsidRPr="00D41BDF">
              <w:rPr>
                <w:rFonts w:ascii="Times New Roman" w:eastAsia="Times New Roman" w:hAnsi="Times New Roman" w:cs="Times New Roman"/>
                <w:sz w:val="24"/>
                <w:szCs w:val="24"/>
                <w:lang w:eastAsia="lv-LV"/>
              </w:rPr>
              <w:t xml:space="preserve"> sportists vai sporta darbinieks personīgi ir atteicies no lietas izskatīšanas tiesībām vai neapstrīd </w:t>
            </w:r>
            <w:r w:rsidR="00145303" w:rsidRPr="00D41BDF">
              <w:rPr>
                <w:rFonts w:ascii="Times New Roman" w:eastAsia="Times New Roman" w:hAnsi="Times New Roman" w:cs="Times New Roman"/>
                <w:sz w:val="24"/>
                <w:szCs w:val="24"/>
                <w:lang w:eastAsia="lv-LV"/>
              </w:rPr>
              <w:t>B</w:t>
            </w:r>
            <w:r w:rsidR="00056D1A" w:rsidRPr="00D41BDF">
              <w:rPr>
                <w:rFonts w:ascii="Times New Roman" w:eastAsia="Times New Roman" w:hAnsi="Times New Roman" w:cs="Times New Roman"/>
                <w:sz w:val="24"/>
                <w:szCs w:val="24"/>
                <w:lang w:eastAsia="lv-LV"/>
              </w:rPr>
              <w:t>iroja lēmumu par antidopinga noteikumu pārkāpumu tam īpaši noteiktā termiņā, nosakot, ka tie ir pārsūdzami Pārsūdzības komisijā vai starptautiskajā Sporta arbitrāžas tiesā, ja lēmums ir pieņemts par starptautiska līmeņa sportistu, vai ir saistīts ar starptautiska līmeņa sacensībām.</w:t>
            </w:r>
          </w:p>
          <w:p w14:paraId="6AF0F3B2" w14:textId="36395CF1" w:rsidR="00D41BDF" w:rsidRPr="00D41BDF" w:rsidRDefault="00D41BDF" w:rsidP="00D41BDF">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w:t>
            </w:r>
            <w:r w:rsidR="00355A73" w:rsidRPr="00D41BDF">
              <w:rPr>
                <w:rFonts w:ascii="Times New Roman" w:hAnsi="Times New Roman" w:cs="Times New Roman"/>
                <w:sz w:val="24"/>
                <w:szCs w:val="24"/>
              </w:rPr>
              <w:t>Sporta likuma</w:t>
            </w:r>
            <w:r>
              <w:rPr>
                <w:rFonts w:ascii="Times New Roman" w:hAnsi="Times New Roman" w:cs="Times New Roman"/>
                <w:sz w:val="24"/>
                <w:szCs w:val="24"/>
              </w:rPr>
              <w:t>”</w:t>
            </w:r>
            <w:r w:rsidR="00355A73" w:rsidRPr="00D41BDF">
              <w:rPr>
                <w:rFonts w:ascii="Times New Roman" w:hAnsi="Times New Roman" w:cs="Times New Roman"/>
                <w:sz w:val="24"/>
                <w:szCs w:val="24"/>
              </w:rPr>
              <w:t xml:space="preserve"> 11.</w:t>
            </w:r>
            <w:r w:rsidR="00355A73" w:rsidRPr="00D41BDF">
              <w:rPr>
                <w:rFonts w:ascii="Times New Roman" w:hAnsi="Times New Roman" w:cs="Times New Roman"/>
                <w:sz w:val="24"/>
                <w:szCs w:val="24"/>
                <w:vertAlign w:val="superscript"/>
              </w:rPr>
              <w:t>3</w:t>
            </w:r>
            <w:r w:rsidR="00355A73" w:rsidRPr="00D41BDF">
              <w:rPr>
                <w:rFonts w:ascii="Times New Roman" w:hAnsi="Times New Roman" w:cs="Times New Roman"/>
                <w:sz w:val="24"/>
                <w:szCs w:val="24"/>
              </w:rPr>
              <w:t xml:space="preserve"> panta pirmā daļ</w:t>
            </w:r>
            <w:r w:rsidR="00145303" w:rsidRPr="00D41BDF">
              <w:rPr>
                <w:rFonts w:ascii="Times New Roman" w:hAnsi="Times New Roman" w:cs="Times New Roman"/>
                <w:sz w:val="24"/>
                <w:szCs w:val="24"/>
              </w:rPr>
              <w:t xml:space="preserve">a </w:t>
            </w:r>
            <w:r w:rsidR="00355A73" w:rsidRPr="00D41BDF">
              <w:rPr>
                <w:rFonts w:ascii="Times New Roman" w:hAnsi="Times New Roman" w:cs="Times New Roman"/>
                <w:sz w:val="24"/>
                <w:szCs w:val="24"/>
              </w:rPr>
              <w:t>nosaka regulējumu Disciplinārajai antidoping</w:t>
            </w:r>
            <w:r w:rsidR="00E47282" w:rsidRPr="00D41BDF">
              <w:rPr>
                <w:rFonts w:ascii="Times New Roman" w:hAnsi="Times New Roman" w:cs="Times New Roman"/>
                <w:sz w:val="24"/>
                <w:szCs w:val="24"/>
              </w:rPr>
              <w:t>a</w:t>
            </w:r>
            <w:r w:rsidR="00355A73" w:rsidRPr="00D41BDF">
              <w:rPr>
                <w:rFonts w:ascii="Times New Roman" w:hAnsi="Times New Roman" w:cs="Times New Roman"/>
                <w:sz w:val="24"/>
                <w:szCs w:val="24"/>
              </w:rPr>
              <w:t xml:space="preserve"> komisijai, paredzot izskatīt un pieņemt lēmumus par antidopinga noteikumu pārkāpumiem, tomēr minētā norma neparedz  Disciplinārajai antidopinga komisijai izskatīt arī sūdzības par Biroja piešķirto pagaidu aizliegumu, ko paredz </w:t>
            </w:r>
            <w:r w:rsidR="000252F9" w:rsidRPr="00D41BDF">
              <w:rPr>
                <w:rFonts w:ascii="Times New Roman" w:hAnsi="Times New Roman" w:cs="Times New Roman"/>
                <w:sz w:val="24"/>
                <w:szCs w:val="24"/>
              </w:rPr>
              <w:t xml:space="preserve">2021.gada </w:t>
            </w:r>
            <w:r w:rsidR="003C0AC8" w:rsidRPr="00D41BDF">
              <w:rPr>
                <w:rFonts w:ascii="Times New Roman" w:hAnsi="Times New Roman" w:cs="Times New Roman"/>
                <w:sz w:val="24"/>
                <w:szCs w:val="24"/>
              </w:rPr>
              <w:t>K</w:t>
            </w:r>
            <w:r w:rsidR="00355A73" w:rsidRPr="00D41BDF">
              <w:rPr>
                <w:rFonts w:ascii="Times New Roman" w:hAnsi="Times New Roman" w:cs="Times New Roman"/>
                <w:sz w:val="24"/>
                <w:szCs w:val="24"/>
              </w:rPr>
              <w:t>odeksa 7.</w:t>
            </w:r>
            <w:r w:rsidR="00E92427" w:rsidRPr="00D41BDF">
              <w:rPr>
                <w:rFonts w:ascii="Times New Roman" w:hAnsi="Times New Roman" w:cs="Times New Roman"/>
                <w:sz w:val="24"/>
                <w:szCs w:val="24"/>
              </w:rPr>
              <w:t xml:space="preserve">panta </w:t>
            </w:r>
            <w:r w:rsidR="00355A73" w:rsidRPr="00D41BDF">
              <w:rPr>
                <w:rFonts w:ascii="Times New Roman" w:hAnsi="Times New Roman" w:cs="Times New Roman"/>
                <w:sz w:val="24"/>
                <w:szCs w:val="24"/>
              </w:rPr>
              <w:t>4.</w:t>
            </w:r>
            <w:r w:rsidR="00E92427" w:rsidRPr="00D41BDF">
              <w:rPr>
                <w:rFonts w:ascii="Times New Roman" w:hAnsi="Times New Roman" w:cs="Times New Roman"/>
                <w:sz w:val="24"/>
                <w:szCs w:val="24"/>
              </w:rPr>
              <w:t>apakšpunkts</w:t>
            </w:r>
            <w:r w:rsidR="00355A73" w:rsidRPr="00D41BDF">
              <w:rPr>
                <w:rFonts w:ascii="Times New Roman" w:hAnsi="Times New Roman" w:cs="Times New Roman"/>
                <w:sz w:val="24"/>
                <w:szCs w:val="24"/>
              </w:rPr>
              <w:t>.</w:t>
            </w:r>
            <w:r w:rsidR="009F1AFF" w:rsidRPr="00D41BDF">
              <w:rPr>
                <w:rFonts w:ascii="Times New Roman" w:hAnsi="Times New Roman" w:cs="Times New Roman"/>
                <w:sz w:val="24"/>
                <w:szCs w:val="24"/>
              </w:rPr>
              <w:t xml:space="preserve"> </w:t>
            </w:r>
            <w:r w:rsidR="00145303" w:rsidRPr="00D41BDF">
              <w:rPr>
                <w:rFonts w:ascii="Times New Roman" w:hAnsi="Times New Roman" w:cs="Times New Roman"/>
                <w:sz w:val="24"/>
                <w:szCs w:val="24"/>
              </w:rPr>
              <w:t>V</w:t>
            </w:r>
            <w:r w:rsidR="009A7A49" w:rsidRPr="00D41BDF">
              <w:rPr>
                <w:rFonts w:ascii="Times New Roman" w:hAnsi="Times New Roman" w:cs="Times New Roman"/>
                <w:sz w:val="24"/>
                <w:szCs w:val="24"/>
              </w:rPr>
              <w:t>ienlaikus Sporta likuma 11.</w:t>
            </w:r>
            <w:r w:rsidR="009A7A49" w:rsidRPr="00D41BDF">
              <w:rPr>
                <w:rFonts w:ascii="Times New Roman" w:hAnsi="Times New Roman" w:cs="Times New Roman"/>
                <w:sz w:val="24"/>
                <w:szCs w:val="24"/>
                <w:vertAlign w:val="superscript"/>
              </w:rPr>
              <w:t>3</w:t>
            </w:r>
            <w:r w:rsidR="009A7A49" w:rsidRPr="00D41BDF">
              <w:rPr>
                <w:rFonts w:ascii="Times New Roman" w:hAnsi="Times New Roman" w:cs="Times New Roman"/>
                <w:sz w:val="24"/>
                <w:szCs w:val="24"/>
              </w:rPr>
              <w:t xml:space="preserve"> panta </w:t>
            </w:r>
            <w:r w:rsidR="00A63DC6" w:rsidRPr="00D41BDF">
              <w:rPr>
                <w:rFonts w:ascii="Times New Roman" w:hAnsi="Times New Roman" w:cs="Times New Roman"/>
                <w:sz w:val="24"/>
                <w:szCs w:val="24"/>
              </w:rPr>
              <w:t>pi</w:t>
            </w:r>
            <w:r w:rsidR="009A7A49" w:rsidRPr="00D41BDF">
              <w:rPr>
                <w:rFonts w:ascii="Times New Roman" w:hAnsi="Times New Roman" w:cs="Times New Roman"/>
                <w:sz w:val="24"/>
                <w:szCs w:val="24"/>
              </w:rPr>
              <w:t>rm</w:t>
            </w:r>
            <w:r w:rsidR="00056D1A" w:rsidRPr="00D41BDF">
              <w:rPr>
                <w:rFonts w:ascii="Times New Roman" w:hAnsi="Times New Roman" w:cs="Times New Roman"/>
                <w:sz w:val="24"/>
                <w:szCs w:val="24"/>
              </w:rPr>
              <w:t>ā</w:t>
            </w:r>
            <w:r w:rsidR="00A63DC6" w:rsidRPr="00D41BDF">
              <w:rPr>
                <w:rFonts w:ascii="Times New Roman" w:hAnsi="Times New Roman" w:cs="Times New Roman"/>
                <w:sz w:val="24"/>
                <w:szCs w:val="24"/>
              </w:rPr>
              <w:t xml:space="preserve"> daļ</w:t>
            </w:r>
            <w:r w:rsidR="00056D1A" w:rsidRPr="00D41BDF">
              <w:rPr>
                <w:rFonts w:ascii="Times New Roman" w:hAnsi="Times New Roman" w:cs="Times New Roman"/>
                <w:sz w:val="24"/>
                <w:szCs w:val="24"/>
              </w:rPr>
              <w:t>a</w:t>
            </w:r>
            <w:r w:rsidR="00A63DC6" w:rsidRPr="00D41BDF">
              <w:rPr>
                <w:rFonts w:ascii="Times New Roman" w:hAnsi="Times New Roman" w:cs="Times New Roman"/>
                <w:sz w:val="24"/>
                <w:szCs w:val="24"/>
              </w:rPr>
              <w:t xml:space="preserve"> </w:t>
            </w:r>
            <w:r w:rsidR="009A7A49" w:rsidRPr="00D41BDF">
              <w:rPr>
                <w:rFonts w:ascii="Times New Roman" w:hAnsi="Times New Roman" w:cs="Times New Roman"/>
                <w:sz w:val="24"/>
                <w:szCs w:val="24"/>
              </w:rPr>
              <w:t>nosak</w:t>
            </w:r>
            <w:r w:rsidR="00056D1A" w:rsidRPr="00D41BDF">
              <w:rPr>
                <w:rFonts w:ascii="Times New Roman" w:hAnsi="Times New Roman" w:cs="Times New Roman"/>
                <w:sz w:val="24"/>
                <w:szCs w:val="24"/>
              </w:rPr>
              <w:t>a</w:t>
            </w:r>
            <w:r w:rsidR="009A7A49" w:rsidRPr="00D41BDF">
              <w:rPr>
                <w:rFonts w:ascii="Times New Roman" w:hAnsi="Times New Roman" w:cs="Times New Roman"/>
                <w:sz w:val="24"/>
                <w:szCs w:val="24"/>
              </w:rPr>
              <w:t xml:space="preserve">, ka </w:t>
            </w:r>
            <w:r w:rsidR="009F1AFF" w:rsidRPr="00D41BDF">
              <w:rPr>
                <w:rFonts w:ascii="Times New Roman" w:hAnsi="Times New Roman" w:cs="Times New Roman"/>
                <w:sz w:val="24"/>
                <w:szCs w:val="24"/>
              </w:rPr>
              <w:t>Birojs vēršas Disciplinārajā antidopinga komisijā, ja ir konstatēts iespējams antidopinga noteikumu pārkāpums</w:t>
            </w:r>
            <w:r w:rsidR="00056D1A" w:rsidRPr="00D41BDF">
              <w:rPr>
                <w:rFonts w:ascii="Times New Roman" w:hAnsi="Times New Roman" w:cs="Times New Roman"/>
                <w:sz w:val="24"/>
                <w:szCs w:val="24"/>
              </w:rPr>
              <w:t>. T</w:t>
            </w:r>
            <w:r w:rsidR="009F1AFF" w:rsidRPr="00D41BDF">
              <w:rPr>
                <w:rFonts w:ascii="Times New Roman" w:hAnsi="Times New Roman" w:cs="Times New Roman"/>
                <w:sz w:val="24"/>
                <w:szCs w:val="24"/>
              </w:rPr>
              <w:t xml:space="preserve">omēr </w:t>
            </w:r>
            <w:r w:rsidR="00056D1A" w:rsidRPr="00D41BDF">
              <w:rPr>
                <w:rFonts w:ascii="Times New Roman" w:hAnsi="Times New Roman" w:cs="Times New Roman"/>
                <w:sz w:val="24"/>
                <w:szCs w:val="24"/>
              </w:rPr>
              <w:t xml:space="preserve">šobrīd likums </w:t>
            </w:r>
            <w:r w:rsidR="009F1AFF" w:rsidRPr="00D41BDF">
              <w:rPr>
                <w:rFonts w:ascii="Times New Roman" w:hAnsi="Times New Roman" w:cs="Times New Roman"/>
                <w:sz w:val="24"/>
                <w:szCs w:val="24"/>
              </w:rPr>
              <w:t>neparedz  kārtību,  ka Birojs vēršas Disciplinārajā antidopinga komisijā tikai tādos gadījumos, ja sportists nav atteicies no lietas izskatīšanas sēdē</w:t>
            </w:r>
            <w:r>
              <w:rPr>
                <w:rFonts w:ascii="Times New Roman" w:hAnsi="Times New Roman" w:cs="Times New Roman"/>
                <w:sz w:val="24"/>
                <w:szCs w:val="24"/>
              </w:rPr>
              <w:t xml:space="preserve">. Kā arī šobrīd netiek paredzēti gadījumi, kuros </w:t>
            </w:r>
            <w:r w:rsidRPr="00D41BDF">
              <w:rPr>
                <w:rFonts w:ascii="Times New Roman" w:hAnsi="Times New Roman" w:cs="Times New Roman"/>
                <w:sz w:val="24"/>
                <w:szCs w:val="24"/>
              </w:rPr>
              <w:t>Birojs nevēršas Disciplinārajā antidopinga komisijā, bet lēmumu</w:t>
            </w:r>
            <w:r>
              <w:rPr>
                <w:rFonts w:ascii="Times New Roman" w:hAnsi="Times New Roman" w:cs="Times New Roman"/>
                <w:sz w:val="24"/>
                <w:szCs w:val="24"/>
              </w:rPr>
              <w:t xml:space="preserve"> par antidopinga pārkāpumu pieņem pats. </w:t>
            </w:r>
            <w:r w:rsidR="009A7A49" w:rsidRPr="00D41BDF">
              <w:rPr>
                <w:rFonts w:ascii="Times New Roman" w:hAnsi="Times New Roman" w:cs="Times New Roman"/>
                <w:sz w:val="24"/>
                <w:szCs w:val="24"/>
              </w:rPr>
              <w:t xml:space="preserve">Tāpēc </w:t>
            </w:r>
            <w:r w:rsidR="0017096E">
              <w:rPr>
                <w:rFonts w:ascii="Times New Roman" w:hAnsi="Times New Roman" w:cs="Times New Roman"/>
                <w:sz w:val="24"/>
                <w:szCs w:val="24"/>
              </w:rPr>
              <w:t>L</w:t>
            </w:r>
            <w:r w:rsidR="009A7A49" w:rsidRPr="00D41BDF">
              <w:rPr>
                <w:rFonts w:ascii="Times New Roman" w:hAnsi="Times New Roman" w:cs="Times New Roman"/>
                <w:sz w:val="24"/>
                <w:szCs w:val="24"/>
              </w:rPr>
              <w:t>ikumprojekts paredz veikt grozījumus 11.</w:t>
            </w:r>
            <w:r w:rsidR="009A7A49" w:rsidRPr="00D41BDF">
              <w:rPr>
                <w:rFonts w:ascii="Times New Roman" w:hAnsi="Times New Roman" w:cs="Times New Roman"/>
                <w:sz w:val="24"/>
                <w:szCs w:val="24"/>
                <w:vertAlign w:val="superscript"/>
              </w:rPr>
              <w:t>3</w:t>
            </w:r>
            <w:r w:rsidR="009A7A49" w:rsidRPr="00D41BDF">
              <w:rPr>
                <w:rFonts w:ascii="Times New Roman" w:hAnsi="Times New Roman" w:cs="Times New Roman"/>
                <w:sz w:val="24"/>
                <w:szCs w:val="24"/>
              </w:rPr>
              <w:t xml:space="preserve"> panta pirmajā daļā, nosakot, ka Disciplinārā antidopinga komisija </w:t>
            </w:r>
            <w:r w:rsidR="009A7A49" w:rsidRPr="00D41BDF">
              <w:rPr>
                <w:rFonts w:ascii="Times New Roman" w:eastAsia="Times New Roman" w:hAnsi="Times New Roman" w:cs="Times New Roman"/>
                <w:iCs/>
                <w:sz w:val="24"/>
                <w:szCs w:val="24"/>
                <w:lang w:eastAsia="lv-LV"/>
              </w:rPr>
              <w:t>izskata pagaidu aizlieguma piešķiršanas pamatotību pēc sportista vai sporta darbinieka sūdzības iesniegšanas</w:t>
            </w:r>
            <w:r w:rsidR="00145303" w:rsidRPr="00D41BDF">
              <w:rPr>
                <w:rFonts w:ascii="Times New Roman" w:eastAsia="Times New Roman" w:hAnsi="Times New Roman" w:cs="Times New Roman"/>
                <w:iCs/>
                <w:sz w:val="24"/>
                <w:szCs w:val="24"/>
                <w:lang w:eastAsia="lv-LV"/>
              </w:rPr>
              <w:t xml:space="preserve">, kā arī </w:t>
            </w:r>
            <w:r w:rsidR="00145303" w:rsidRPr="00D41BDF">
              <w:rPr>
                <w:rFonts w:ascii="Times New Roman" w:eastAsia="Times New Roman" w:hAnsi="Times New Roman" w:cs="Times New Roman"/>
                <w:sz w:val="24"/>
                <w:szCs w:val="24"/>
                <w:lang w:eastAsia="lv-LV"/>
              </w:rPr>
              <w:t xml:space="preserve">izskata antidopinga noteikumu pārkāpumus, izņemot </w:t>
            </w:r>
            <w:r w:rsidR="00145303" w:rsidRPr="00D41BDF">
              <w:rPr>
                <w:rFonts w:ascii="Times New Roman" w:eastAsia="Times New Roman" w:hAnsi="Times New Roman" w:cs="Times New Roman"/>
                <w:sz w:val="24"/>
                <w:szCs w:val="24"/>
                <w:lang w:eastAsia="lv-LV"/>
              </w:rPr>
              <w:lastRenderedPageBreak/>
              <w:t>gadījumus, k</w:t>
            </w:r>
            <w:r w:rsidRPr="00D41BDF">
              <w:rPr>
                <w:rFonts w:ascii="Times New Roman" w:eastAsia="Times New Roman" w:hAnsi="Times New Roman" w:cs="Times New Roman"/>
                <w:sz w:val="24"/>
                <w:szCs w:val="24"/>
                <w:lang w:eastAsia="lv-LV"/>
              </w:rPr>
              <w:t xml:space="preserve">ad </w:t>
            </w:r>
            <w:r w:rsidRPr="00D41BDF">
              <w:rPr>
                <w:rFonts w:ascii="Times New Roman" w:hAnsi="Times New Roman" w:cs="Times New Roman"/>
                <w:sz w:val="24"/>
                <w:szCs w:val="24"/>
              </w:rPr>
              <w:t>Birojs  ir tiesīgs pieņemt lēmumu par antidopinga noteikumu pārkāpumu,  slēgt vienošanos par pārkāpumu atzīšanu un sankciju pieņemšanu.</w:t>
            </w:r>
            <w:r>
              <w:rPr>
                <w:rFonts w:ascii="Times New Roman" w:hAnsi="Times New Roman" w:cs="Times New Roman"/>
                <w:sz w:val="24"/>
                <w:szCs w:val="24"/>
              </w:rPr>
              <w:t xml:space="preserve"> Vienlaikus </w:t>
            </w:r>
            <w:r w:rsidR="0017096E">
              <w:rPr>
                <w:rFonts w:ascii="Times New Roman" w:hAnsi="Times New Roman" w:cs="Times New Roman"/>
                <w:sz w:val="24"/>
                <w:szCs w:val="24"/>
              </w:rPr>
              <w:t>L</w:t>
            </w:r>
            <w:r>
              <w:rPr>
                <w:rFonts w:ascii="Times New Roman" w:hAnsi="Times New Roman" w:cs="Times New Roman"/>
                <w:sz w:val="24"/>
                <w:szCs w:val="24"/>
              </w:rPr>
              <w:t xml:space="preserve">ikumprojekts paredz papildināt “Sporta likuma” </w:t>
            </w:r>
            <w:r w:rsidR="00CF7B81" w:rsidRPr="00D41BDF">
              <w:rPr>
                <w:rFonts w:ascii="Times New Roman" w:hAnsi="Times New Roman" w:cs="Times New Roman"/>
                <w:sz w:val="24"/>
                <w:szCs w:val="24"/>
              </w:rPr>
              <w:t>11.</w:t>
            </w:r>
            <w:r w:rsidR="00CF7B81" w:rsidRPr="00D41BDF">
              <w:rPr>
                <w:rFonts w:ascii="Times New Roman" w:hAnsi="Times New Roman" w:cs="Times New Roman"/>
                <w:sz w:val="24"/>
                <w:szCs w:val="24"/>
                <w:vertAlign w:val="superscript"/>
              </w:rPr>
              <w:t>3</w:t>
            </w:r>
            <w:r w:rsidR="00CF7B81" w:rsidRPr="00D41BDF">
              <w:rPr>
                <w:rFonts w:ascii="Times New Roman" w:hAnsi="Times New Roman" w:cs="Times New Roman"/>
                <w:sz w:val="24"/>
                <w:szCs w:val="24"/>
              </w:rPr>
              <w:t xml:space="preserve"> pantu ar jaunu </w:t>
            </w:r>
            <w:r w:rsidR="009A7A49" w:rsidRPr="00D41BDF">
              <w:rPr>
                <w:rFonts w:ascii="Times New Roman" w:hAnsi="Times New Roman" w:cs="Times New Roman"/>
                <w:sz w:val="24"/>
                <w:szCs w:val="24"/>
              </w:rPr>
              <w:t xml:space="preserve">ceturto </w:t>
            </w:r>
            <w:r w:rsidR="00CF7B81" w:rsidRPr="00D41BDF">
              <w:rPr>
                <w:rFonts w:ascii="Times New Roman" w:hAnsi="Times New Roman" w:cs="Times New Roman"/>
                <w:sz w:val="24"/>
                <w:szCs w:val="24"/>
              </w:rPr>
              <w:t xml:space="preserve">daļu, </w:t>
            </w:r>
            <w:r>
              <w:rPr>
                <w:rFonts w:ascii="Times New Roman" w:hAnsi="Times New Roman" w:cs="Times New Roman"/>
                <w:sz w:val="24"/>
                <w:szCs w:val="24"/>
              </w:rPr>
              <w:t>paredzot</w:t>
            </w:r>
            <w:r w:rsidR="00D67637">
              <w:rPr>
                <w:rFonts w:ascii="Times New Roman" w:hAnsi="Times New Roman" w:cs="Times New Roman"/>
                <w:sz w:val="24"/>
                <w:szCs w:val="24"/>
              </w:rPr>
              <w:t>,</w:t>
            </w:r>
            <w:r>
              <w:rPr>
                <w:rFonts w:ascii="Times New Roman" w:hAnsi="Times New Roman" w:cs="Times New Roman"/>
                <w:sz w:val="24"/>
                <w:szCs w:val="24"/>
              </w:rPr>
              <w:t xml:space="preserve"> ka Birojs </w:t>
            </w:r>
            <w:r w:rsidRPr="00D41BDF">
              <w:rPr>
                <w:rFonts w:ascii="Times New Roman" w:eastAsia="Times New Roman" w:hAnsi="Times New Roman" w:cs="Times New Roman"/>
                <w:sz w:val="24"/>
                <w:szCs w:val="24"/>
                <w:lang w:eastAsia="lv-LV"/>
              </w:rPr>
              <w:t>nevēršas Disciplinārajā antidopinga komisijā gadījumos, ja tiek noslēgta vienošanās par antidopinga noteikumu pārkāpuma atzīšanu un sankciju pieņemšanu, ja sportists vai sporta darbinieks  personīgi ir atteicies no lietas izskatīšanas tiesībām, kā arī</w:t>
            </w:r>
            <w:r w:rsidR="00D67637">
              <w:rPr>
                <w:rFonts w:ascii="Times New Roman" w:eastAsia="Times New Roman" w:hAnsi="Times New Roman" w:cs="Times New Roman"/>
                <w:sz w:val="24"/>
                <w:szCs w:val="24"/>
                <w:lang w:eastAsia="lv-LV"/>
              </w:rPr>
              <w:t>,</w:t>
            </w:r>
            <w:r w:rsidRPr="00D41BDF">
              <w:rPr>
                <w:rFonts w:ascii="Times New Roman" w:eastAsia="Times New Roman" w:hAnsi="Times New Roman" w:cs="Times New Roman"/>
                <w:sz w:val="24"/>
                <w:szCs w:val="24"/>
                <w:lang w:eastAsia="lv-LV"/>
              </w:rPr>
              <w:t xml:space="preserve"> ja sportists vai sporta darbinieks neapstrīd Biroja lēmumu par antidopinga noteikumu pārkāpumu tam īpaši noteiktā termiņā atbilstoši Nacionālajiem antidopinga noteikumiem.</w:t>
            </w:r>
          </w:p>
          <w:p w14:paraId="7334FCD1" w14:textId="36998602" w:rsidR="008E6001" w:rsidRPr="00D41BDF" w:rsidRDefault="0084109A" w:rsidP="000252F9">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t>“</w:t>
            </w:r>
            <w:r w:rsidR="004358E9" w:rsidRPr="00D41BDF">
              <w:rPr>
                <w:rFonts w:ascii="Times New Roman" w:hAnsi="Times New Roman" w:cs="Times New Roman"/>
                <w:sz w:val="24"/>
                <w:szCs w:val="24"/>
              </w:rPr>
              <w:t>Sporta likuma</w:t>
            </w:r>
            <w:r w:rsidRPr="00D41BDF">
              <w:rPr>
                <w:rFonts w:ascii="Times New Roman" w:hAnsi="Times New Roman" w:cs="Times New Roman"/>
                <w:sz w:val="24"/>
                <w:szCs w:val="24"/>
              </w:rPr>
              <w:t>”</w:t>
            </w:r>
            <w:r w:rsidR="004358E9" w:rsidRPr="00D41BDF">
              <w:rPr>
                <w:rFonts w:ascii="Times New Roman" w:hAnsi="Times New Roman" w:cs="Times New Roman"/>
                <w:sz w:val="24"/>
                <w:szCs w:val="24"/>
              </w:rPr>
              <w:t xml:space="preserve"> 11.</w:t>
            </w:r>
            <w:r w:rsidR="004358E9" w:rsidRPr="00D41BDF">
              <w:rPr>
                <w:rFonts w:ascii="Times New Roman" w:hAnsi="Times New Roman" w:cs="Times New Roman"/>
                <w:sz w:val="24"/>
                <w:szCs w:val="24"/>
                <w:vertAlign w:val="superscript"/>
              </w:rPr>
              <w:t>4</w:t>
            </w:r>
            <w:r w:rsidR="004358E9" w:rsidRPr="00D41BDF">
              <w:rPr>
                <w:rFonts w:ascii="Times New Roman" w:hAnsi="Times New Roman" w:cs="Times New Roman"/>
                <w:sz w:val="24"/>
                <w:szCs w:val="24"/>
              </w:rPr>
              <w:t xml:space="preserve"> panta otrā daļa paredz kārtību</w:t>
            </w:r>
            <w:r w:rsidR="00D41BDF">
              <w:rPr>
                <w:rFonts w:ascii="Times New Roman" w:hAnsi="Times New Roman" w:cs="Times New Roman"/>
                <w:sz w:val="24"/>
                <w:szCs w:val="24"/>
              </w:rPr>
              <w:t>,</w:t>
            </w:r>
            <w:r w:rsidR="004358E9" w:rsidRPr="00D41BDF">
              <w:rPr>
                <w:rFonts w:ascii="Times New Roman" w:hAnsi="Times New Roman" w:cs="Times New Roman"/>
                <w:sz w:val="24"/>
                <w:szCs w:val="24"/>
              </w:rPr>
              <w:t xml:space="preserve"> kād</w:t>
            </w:r>
            <w:r w:rsidR="00D41BDF">
              <w:rPr>
                <w:rFonts w:ascii="Times New Roman" w:hAnsi="Times New Roman" w:cs="Times New Roman"/>
                <w:sz w:val="24"/>
                <w:szCs w:val="24"/>
              </w:rPr>
              <w:t>ā</w:t>
            </w:r>
            <w:r w:rsidR="004358E9" w:rsidRPr="00D41BDF">
              <w:rPr>
                <w:rFonts w:ascii="Times New Roman" w:hAnsi="Times New Roman" w:cs="Times New Roman"/>
                <w:sz w:val="24"/>
                <w:szCs w:val="24"/>
              </w:rPr>
              <w:t xml:space="preserve"> Terapeitiskās lietošanas izņēmumu komisij</w:t>
            </w:r>
            <w:r w:rsidR="00D41BDF">
              <w:rPr>
                <w:rFonts w:ascii="Times New Roman" w:hAnsi="Times New Roman" w:cs="Times New Roman"/>
                <w:sz w:val="24"/>
                <w:szCs w:val="24"/>
              </w:rPr>
              <w:t xml:space="preserve">ā </w:t>
            </w:r>
            <w:r w:rsidR="00D41BDF" w:rsidRPr="00D41BDF">
              <w:rPr>
                <w:rFonts w:ascii="Times New Roman" w:hAnsi="Times New Roman" w:cs="Times New Roman"/>
                <w:sz w:val="24"/>
                <w:szCs w:val="24"/>
              </w:rPr>
              <w:t>ir iesniedzama terapeitiskās lietošanas atļauja</w:t>
            </w:r>
            <w:r w:rsidR="004358E9" w:rsidRPr="00D41BDF">
              <w:rPr>
                <w:rFonts w:ascii="Times New Roman" w:hAnsi="Times New Roman" w:cs="Times New Roman"/>
                <w:sz w:val="24"/>
                <w:szCs w:val="24"/>
              </w:rPr>
              <w:t>. Šobrīd panta daļa paredz vēršanos pēc terapeitiskās lietošanas atļaujas tikai gadījumos, ja sportistam ir nepieciešams lietot aizliegtās vielas, bet netiek noteikts, ka arī par aizliegtu metožu pielietošanu ir iespējams vērsties Terapeitiskās lietošanas izņēmumu komisijā</w:t>
            </w:r>
            <w:r w:rsidRPr="00D41BDF">
              <w:rPr>
                <w:rFonts w:ascii="Times New Roman" w:hAnsi="Times New Roman" w:cs="Times New Roman"/>
                <w:sz w:val="24"/>
                <w:szCs w:val="24"/>
              </w:rPr>
              <w:t>,</w:t>
            </w:r>
            <w:r w:rsidR="004358E9" w:rsidRPr="00D41BDF">
              <w:rPr>
                <w:rFonts w:ascii="Times New Roman" w:hAnsi="Times New Roman" w:cs="Times New Roman"/>
                <w:sz w:val="24"/>
                <w:szCs w:val="24"/>
              </w:rPr>
              <w:t xml:space="preserve"> lai saņemtu terapeitiskās lietošanas atļauju. </w:t>
            </w:r>
            <w:r w:rsidR="00893274" w:rsidRPr="00D41BDF">
              <w:rPr>
                <w:rFonts w:ascii="Times New Roman" w:hAnsi="Times New Roman" w:cs="Times New Roman"/>
                <w:sz w:val="24"/>
                <w:szCs w:val="24"/>
              </w:rPr>
              <w:t>“Sporta likuma” 11.</w:t>
            </w:r>
            <w:r w:rsidR="00893274" w:rsidRPr="00D41BDF">
              <w:rPr>
                <w:rFonts w:ascii="Times New Roman" w:hAnsi="Times New Roman" w:cs="Times New Roman"/>
                <w:sz w:val="24"/>
                <w:szCs w:val="24"/>
                <w:vertAlign w:val="superscript"/>
              </w:rPr>
              <w:t>4</w:t>
            </w:r>
            <w:r w:rsidR="001F49E5" w:rsidRPr="00D41BDF">
              <w:rPr>
                <w:rFonts w:ascii="Times New Roman" w:hAnsi="Times New Roman" w:cs="Times New Roman"/>
                <w:sz w:val="24"/>
                <w:szCs w:val="24"/>
                <w:vertAlign w:val="superscript"/>
              </w:rPr>
              <w:t xml:space="preserve"> </w:t>
            </w:r>
            <w:r w:rsidR="00893274" w:rsidRPr="00D41BDF">
              <w:rPr>
                <w:rFonts w:ascii="Times New Roman" w:hAnsi="Times New Roman" w:cs="Times New Roman"/>
                <w:sz w:val="24"/>
                <w:szCs w:val="24"/>
              </w:rPr>
              <w:t xml:space="preserve">panta otrajā daļā nav norādes, ka pieteikumus terapeitiskās lietošanas atļaujas izsniegšanai var iesniegt tikai sportisti, kuri nav starptautiska līmeņa sportisti. </w:t>
            </w:r>
            <w:r w:rsidR="004358E9" w:rsidRPr="00D41BDF">
              <w:rPr>
                <w:rFonts w:ascii="Times New Roman" w:hAnsi="Times New Roman" w:cs="Times New Roman"/>
                <w:sz w:val="24"/>
                <w:szCs w:val="24"/>
              </w:rPr>
              <w:t>Līdz ar to</w:t>
            </w:r>
            <w:r w:rsidR="009F6151" w:rsidRPr="00D41BDF">
              <w:rPr>
                <w:rFonts w:ascii="Times New Roman" w:hAnsi="Times New Roman" w:cs="Times New Roman"/>
                <w:sz w:val="24"/>
                <w:szCs w:val="24"/>
              </w:rPr>
              <w:t>,</w:t>
            </w:r>
            <w:r w:rsidR="004358E9" w:rsidRPr="00D41BDF">
              <w:rPr>
                <w:rFonts w:ascii="Times New Roman" w:hAnsi="Times New Roman" w:cs="Times New Roman"/>
                <w:sz w:val="24"/>
                <w:szCs w:val="24"/>
              </w:rPr>
              <w:t xml:space="preserve"> būtu nepieciešams papildināt, norādot, ka</w:t>
            </w:r>
            <w:r w:rsidR="00D67637">
              <w:rPr>
                <w:rFonts w:ascii="Times New Roman" w:hAnsi="Times New Roman" w:cs="Times New Roman"/>
                <w:sz w:val="24"/>
                <w:szCs w:val="24"/>
              </w:rPr>
              <w:t>,</w:t>
            </w:r>
            <w:r w:rsidR="008E6001" w:rsidRPr="00D41BDF">
              <w:rPr>
                <w:rFonts w:ascii="Times New Roman" w:hAnsi="Times New Roman" w:cs="Times New Roman"/>
                <w:sz w:val="24"/>
                <w:szCs w:val="24"/>
              </w:rPr>
              <w:t xml:space="preserve"> pamatojoties uz medicīniskām indikācijām, nepieciešams lietot zāles, kuru sastāvā ir </w:t>
            </w:r>
            <w:r w:rsidR="00893274" w:rsidRPr="00D41BDF">
              <w:rPr>
                <w:rFonts w:ascii="Times New Roman" w:hAnsi="Times New Roman" w:cs="Times New Roman"/>
                <w:sz w:val="24"/>
                <w:szCs w:val="24"/>
              </w:rPr>
              <w:t xml:space="preserve">aizliegtas </w:t>
            </w:r>
            <w:r w:rsidR="008E6001" w:rsidRPr="00D41BDF">
              <w:rPr>
                <w:rFonts w:ascii="Times New Roman" w:hAnsi="Times New Roman" w:cs="Times New Roman"/>
                <w:sz w:val="24"/>
                <w:szCs w:val="24"/>
              </w:rPr>
              <w:t xml:space="preserve">vielas vai pielietot </w:t>
            </w:r>
            <w:r w:rsidR="00893274" w:rsidRPr="00D41BDF">
              <w:rPr>
                <w:rFonts w:ascii="Times New Roman" w:hAnsi="Times New Roman" w:cs="Times New Roman"/>
                <w:sz w:val="24"/>
                <w:szCs w:val="24"/>
              </w:rPr>
              <w:t xml:space="preserve">aizliegtas </w:t>
            </w:r>
            <w:r w:rsidR="008E6001" w:rsidRPr="00D41BDF">
              <w:rPr>
                <w:rFonts w:ascii="Times New Roman" w:hAnsi="Times New Roman" w:cs="Times New Roman"/>
                <w:sz w:val="24"/>
                <w:szCs w:val="24"/>
              </w:rPr>
              <w:t>metodes, kas iekļautas 2005. gada 19. oktobra Starptautiskās konvencijas pret dopingu sportā 1. pielikumā. Grozījums ir nepieciešams, lai nacionālajā regulējumā tiktu ietvertas tiesības iesniegt pieteikumu arī gadījumos, kad nepieciešams lietot aizliegtu metodi</w:t>
            </w:r>
            <w:r w:rsidR="00EB1D6F">
              <w:rPr>
                <w:rFonts w:ascii="Times New Roman" w:hAnsi="Times New Roman" w:cs="Times New Roman"/>
                <w:sz w:val="24"/>
                <w:szCs w:val="24"/>
              </w:rPr>
              <w:t xml:space="preserve"> atbilstoši </w:t>
            </w:r>
            <w:r w:rsidR="00EB1D6F" w:rsidRPr="00D41BDF">
              <w:rPr>
                <w:rFonts w:ascii="Times New Roman" w:hAnsi="Times New Roman" w:cs="Times New Roman"/>
                <w:sz w:val="24"/>
                <w:szCs w:val="24"/>
              </w:rPr>
              <w:t>Aizliegto vielu un metožu starptautiska</w:t>
            </w:r>
            <w:r w:rsidR="00EB1D6F">
              <w:rPr>
                <w:rFonts w:ascii="Times New Roman" w:hAnsi="Times New Roman" w:cs="Times New Roman"/>
                <w:sz w:val="24"/>
                <w:szCs w:val="24"/>
              </w:rPr>
              <w:t>jam</w:t>
            </w:r>
            <w:r w:rsidR="00EB1D6F" w:rsidRPr="00D41BDF">
              <w:rPr>
                <w:rFonts w:ascii="Times New Roman" w:hAnsi="Times New Roman" w:cs="Times New Roman"/>
                <w:sz w:val="24"/>
                <w:szCs w:val="24"/>
              </w:rPr>
              <w:t xml:space="preserve"> standart</w:t>
            </w:r>
            <w:r w:rsidR="00EB1D6F">
              <w:rPr>
                <w:rFonts w:ascii="Times New Roman" w:hAnsi="Times New Roman" w:cs="Times New Roman"/>
                <w:sz w:val="24"/>
                <w:szCs w:val="24"/>
              </w:rPr>
              <w:t>am.</w:t>
            </w:r>
          </w:p>
          <w:p w14:paraId="3DAC756F" w14:textId="135E938A" w:rsidR="0051372E" w:rsidRPr="00D41BDF" w:rsidRDefault="00893274" w:rsidP="000252F9">
            <w:pPr>
              <w:spacing w:after="0" w:line="240" w:lineRule="auto"/>
              <w:jc w:val="both"/>
              <w:rPr>
                <w:rFonts w:ascii="Times New Roman" w:hAnsi="Times New Roman" w:cs="Times New Roman"/>
                <w:sz w:val="24"/>
                <w:szCs w:val="24"/>
              </w:rPr>
            </w:pPr>
            <w:r w:rsidRPr="00D41BDF" w:rsidDel="00893274">
              <w:rPr>
                <w:rFonts w:ascii="Times New Roman" w:hAnsi="Times New Roman" w:cs="Times New Roman"/>
                <w:sz w:val="24"/>
                <w:szCs w:val="24"/>
              </w:rPr>
              <w:t xml:space="preserve"> </w:t>
            </w:r>
            <w:r w:rsidR="003B5066" w:rsidRPr="00D41BDF">
              <w:rPr>
                <w:rFonts w:ascii="Times New Roman" w:hAnsi="Times New Roman" w:cs="Times New Roman"/>
                <w:sz w:val="24"/>
                <w:szCs w:val="24"/>
              </w:rPr>
              <w:t>“</w:t>
            </w:r>
            <w:r w:rsidR="008F3832" w:rsidRPr="00D41BDF">
              <w:rPr>
                <w:rFonts w:ascii="Times New Roman" w:hAnsi="Times New Roman" w:cs="Times New Roman"/>
                <w:sz w:val="24"/>
                <w:szCs w:val="24"/>
              </w:rPr>
              <w:t>Sporta likuma</w:t>
            </w:r>
            <w:r w:rsidR="003B5066" w:rsidRPr="00D41BDF">
              <w:rPr>
                <w:rFonts w:ascii="Times New Roman" w:hAnsi="Times New Roman" w:cs="Times New Roman"/>
                <w:sz w:val="24"/>
                <w:szCs w:val="24"/>
              </w:rPr>
              <w:t>”</w:t>
            </w:r>
            <w:r w:rsidR="008F3832" w:rsidRPr="00D41BDF">
              <w:rPr>
                <w:rFonts w:ascii="Times New Roman" w:hAnsi="Times New Roman" w:cs="Times New Roman"/>
                <w:sz w:val="24"/>
                <w:szCs w:val="24"/>
              </w:rPr>
              <w:t xml:space="preserve"> 11.</w:t>
            </w:r>
            <w:r w:rsidR="008F3832" w:rsidRPr="00D41BDF">
              <w:rPr>
                <w:rFonts w:ascii="Times New Roman" w:hAnsi="Times New Roman" w:cs="Times New Roman"/>
                <w:sz w:val="24"/>
                <w:szCs w:val="24"/>
                <w:vertAlign w:val="superscript"/>
              </w:rPr>
              <w:t>4</w:t>
            </w:r>
            <w:r w:rsidR="008F3832" w:rsidRPr="00D41BDF">
              <w:rPr>
                <w:rFonts w:ascii="Times New Roman" w:hAnsi="Times New Roman" w:cs="Times New Roman"/>
                <w:sz w:val="24"/>
                <w:szCs w:val="24"/>
              </w:rPr>
              <w:t xml:space="preserve"> pant</w:t>
            </w:r>
            <w:r w:rsidR="00300332" w:rsidRPr="00D41BDF">
              <w:rPr>
                <w:rFonts w:ascii="Times New Roman" w:hAnsi="Times New Roman" w:cs="Times New Roman"/>
                <w:sz w:val="24"/>
                <w:szCs w:val="24"/>
              </w:rPr>
              <w:t>a ceturtā daļa</w:t>
            </w:r>
            <w:r w:rsidR="008F3832" w:rsidRPr="00D41BDF">
              <w:rPr>
                <w:rFonts w:ascii="Times New Roman" w:hAnsi="Times New Roman" w:cs="Times New Roman"/>
                <w:sz w:val="24"/>
                <w:szCs w:val="24"/>
              </w:rPr>
              <w:t xml:space="preserve"> paredz</w:t>
            </w:r>
            <w:r w:rsidR="00300332" w:rsidRPr="00D41BDF">
              <w:rPr>
                <w:rFonts w:ascii="Times New Roman" w:hAnsi="Times New Roman" w:cs="Times New Roman"/>
                <w:sz w:val="24"/>
                <w:szCs w:val="24"/>
              </w:rPr>
              <w:t xml:space="preserve"> kārtību, kādā pārsūdzami Terapeitiskās lietošanas izņēmumu komisijas lēmumi, nosakot</w:t>
            </w:r>
            <w:r w:rsidR="00B310A7" w:rsidRPr="00D41BDF">
              <w:rPr>
                <w:rFonts w:ascii="Times New Roman" w:hAnsi="Times New Roman" w:cs="Times New Roman"/>
                <w:sz w:val="24"/>
                <w:szCs w:val="24"/>
              </w:rPr>
              <w:t>,</w:t>
            </w:r>
            <w:r w:rsidR="00300332" w:rsidRPr="00D41BDF">
              <w:rPr>
                <w:rFonts w:ascii="Times New Roman" w:hAnsi="Times New Roman" w:cs="Times New Roman"/>
                <w:sz w:val="24"/>
                <w:szCs w:val="24"/>
              </w:rPr>
              <w:t xml:space="preserve"> ka sportists vai sporta darbinieks sūdzību var iesniegt Pārsūdzības komisijā vai </w:t>
            </w:r>
            <w:r w:rsidR="003C0AC8" w:rsidRPr="00D41BDF">
              <w:rPr>
                <w:rFonts w:ascii="Times New Roman" w:hAnsi="Times New Roman" w:cs="Times New Roman"/>
                <w:sz w:val="24"/>
                <w:szCs w:val="24"/>
              </w:rPr>
              <w:t>Aģentūrā</w:t>
            </w:r>
            <w:r w:rsidR="00300332" w:rsidRPr="00D41BDF">
              <w:rPr>
                <w:rFonts w:ascii="Times New Roman" w:hAnsi="Times New Roman" w:cs="Times New Roman"/>
                <w:sz w:val="24"/>
                <w:szCs w:val="24"/>
              </w:rPr>
              <w:t xml:space="preserve">. Lai izpildītu </w:t>
            </w:r>
            <w:r w:rsidR="00696C74" w:rsidRPr="00D41BDF">
              <w:rPr>
                <w:rFonts w:ascii="Times New Roman" w:hAnsi="Times New Roman" w:cs="Times New Roman"/>
                <w:sz w:val="24"/>
                <w:szCs w:val="24"/>
              </w:rPr>
              <w:t xml:space="preserve">2021.gada </w:t>
            </w:r>
            <w:r w:rsidR="003C0AC8" w:rsidRPr="00D41BDF">
              <w:rPr>
                <w:rFonts w:ascii="Times New Roman" w:hAnsi="Times New Roman" w:cs="Times New Roman"/>
                <w:sz w:val="24"/>
                <w:szCs w:val="24"/>
              </w:rPr>
              <w:t>K</w:t>
            </w:r>
            <w:r w:rsidR="00300332" w:rsidRPr="00D41BDF">
              <w:rPr>
                <w:rFonts w:ascii="Times New Roman" w:hAnsi="Times New Roman" w:cs="Times New Roman"/>
                <w:sz w:val="24"/>
                <w:szCs w:val="24"/>
              </w:rPr>
              <w:t>odeksa 4.4</w:t>
            </w:r>
            <w:r w:rsidR="009E4152" w:rsidRPr="00D41BDF">
              <w:rPr>
                <w:rFonts w:ascii="Times New Roman" w:hAnsi="Times New Roman" w:cs="Times New Roman"/>
                <w:sz w:val="24"/>
                <w:szCs w:val="24"/>
              </w:rPr>
              <w:t>.</w:t>
            </w:r>
            <w:r w:rsidR="00300332" w:rsidRPr="00D41BDF">
              <w:rPr>
                <w:rFonts w:ascii="Times New Roman" w:hAnsi="Times New Roman" w:cs="Times New Roman"/>
                <w:sz w:val="24"/>
                <w:szCs w:val="24"/>
              </w:rPr>
              <w:t xml:space="preserve"> un 13.</w:t>
            </w:r>
            <w:r w:rsidR="00E92427" w:rsidRPr="00D41BDF">
              <w:rPr>
                <w:rFonts w:ascii="Times New Roman" w:hAnsi="Times New Roman" w:cs="Times New Roman"/>
                <w:sz w:val="24"/>
                <w:szCs w:val="24"/>
              </w:rPr>
              <w:t xml:space="preserve">panta </w:t>
            </w:r>
            <w:r w:rsidR="00300332" w:rsidRPr="00D41BDF">
              <w:rPr>
                <w:rFonts w:ascii="Times New Roman" w:hAnsi="Times New Roman" w:cs="Times New Roman"/>
                <w:sz w:val="24"/>
                <w:szCs w:val="24"/>
              </w:rPr>
              <w:t>4.</w:t>
            </w:r>
            <w:r w:rsidR="00E92427" w:rsidRPr="00D41BDF">
              <w:rPr>
                <w:rFonts w:ascii="Times New Roman" w:hAnsi="Times New Roman" w:cs="Times New Roman"/>
                <w:sz w:val="24"/>
                <w:szCs w:val="24"/>
              </w:rPr>
              <w:t>punktā</w:t>
            </w:r>
            <w:r w:rsidR="00300332" w:rsidRPr="00D41BDF">
              <w:rPr>
                <w:rFonts w:ascii="Times New Roman" w:hAnsi="Times New Roman" w:cs="Times New Roman"/>
                <w:sz w:val="24"/>
                <w:szCs w:val="24"/>
              </w:rPr>
              <w:t xml:space="preserve"> noteikto, nepieciešams veikt grozījumus 11.</w:t>
            </w:r>
            <w:r w:rsidR="00300332" w:rsidRPr="00D41BDF">
              <w:rPr>
                <w:rFonts w:ascii="Times New Roman" w:hAnsi="Times New Roman" w:cs="Times New Roman"/>
                <w:sz w:val="24"/>
                <w:szCs w:val="24"/>
                <w:vertAlign w:val="superscript"/>
              </w:rPr>
              <w:t>4</w:t>
            </w:r>
            <w:r w:rsidR="00300332" w:rsidRPr="00D41BDF">
              <w:rPr>
                <w:rFonts w:ascii="Times New Roman" w:hAnsi="Times New Roman" w:cs="Times New Roman"/>
                <w:sz w:val="24"/>
                <w:szCs w:val="24"/>
              </w:rPr>
              <w:t xml:space="preserve"> panta ceturtajā daļā, lai izslēgtu</w:t>
            </w:r>
            <w:r w:rsidR="003C0AC8" w:rsidRPr="00D41BDF">
              <w:rPr>
                <w:rFonts w:ascii="Times New Roman" w:hAnsi="Times New Roman" w:cs="Times New Roman"/>
                <w:sz w:val="24"/>
                <w:szCs w:val="24"/>
              </w:rPr>
              <w:t xml:space="preserve"> Aģentūru kā vienu no iestādēm, kurā ir pārsūdzami Terapeitiskās lietošanas izņēmumu komisijas lēmumi</w:t>
            </w:r>
            <w:r w:rsidR="00B74C8F" w:rsidRPr="00D41BDF">
              <w:rPr>
                <w:rFonts w:ascii="Times New Roman" w:hAnsi="Times New Roman" w:cs="Times New Roman"/>
                <w:sz w:val="24"/>
                <w:szCs w:val="24"/>
              </w:rPr>
              <w:t>, kā arī sporta darbinieka tiesības pārsūdzēt Terapeitiskās lietošanas izņēmumu komisijas lēmumus</w:t>
            </w:r>
            <w:r w:rsidR="003C0AC8" w:rsidRPr="00D41BDF">
              <w:rPr>
                <w:rFonts w:ascii="Times New Roman" w:hAnsi="Times New Roman" w:cs="Times New Roman"/>
                <w:sz w:val="24"/>
                <w:szCs w:val="24"/>
              </w:rPr>
              <w:t xml:space="preserve">. Savukārt, lai nodrošinātu </w:t>
            </w:r>
            <w:r w:rsidR="00696C74" w:rsidRPr="00D41BDF">
              <w:rPr>
                <w:rFonts w:ascii="Times New Roman" w:hAnsi="Times New Roman" w:cs="Times New Roman"/>
                <w:sz w:val="24"/>
                <w:szCs w:val="24"/>
              </w:rPr>
              <w:t xml:space="preserve">2021.gada </w:t>
            </w:r>
            <w:r w:rsidR="003C0AC8" w:rsidRPr="00D41BDF">
              <w:rPr>
                <w:rFonts w:ascii="Times New Roman" w:hAnsi="Times New Roman" w:cs="Times New Roman"/>
                <w:sz w:val="24"/>
                <w:szCs w:val="24"/>
              </w:rPr>
              <w:t>Kodeksa 4.</w:t>
            </w:r>
            <w:r w:rsidR="00E92427" w:rsidRPr="00D41BDF">
              <w:rPr>
                <w:rFonts w:ascii="Times New Roman" w:hAnsi="Times New Roman" w:cs="Times New Roman"/>
                <w:sz w:val="24"/>
                <w:szCs w:val="24"/>
              </w:rPr>
              <w:t xml:space="preserve">panta </w:t>
            </w:r>
            <w:r w:rsidR="003C0AC8" w:rsidRPr="00D41BDF">
              <w:rPr>
                <w:rFonts w:ascii="Times New Roman" w:hAnsi="Times New Roman" w:cs="Times New Roman"/>
                <w:sz w:val="24"/>
                <w:szCs w:val="24"/>
              </w:rPr>
              <w:t>4.</w:t>
            </w:r>
            <w:r w:rsidR="00E92427" w:rsidRPr="00D41BDF">
              <w:rPr>
                <w:rFonts w:ascii="Times New Roman" w:hAnsi="Times New Roman" w:cs="Times New Roman"/>
                <w:sz w:val="24"/>
                <w:szCs w:val="24"/>
              </w:rPr>
              <w:t>punkta</w:t>
            </w:r>
            <w:r w:rsidR="003C0AC8" w:rsidRPr="00D41BDF">
              <w:rPr>
                <w:rFonts w:ascii="Times New Roman" w:hAnsi="Times New Roman" w:cs="Times New Roman"/>
                <w:sz w:val="24"/>
                <w:szCs w:val="24"/>
              </w:rPr>
              <w:t xml:space="preserve"> un </w:t>
            </w:r>
            <w:r w:rsidR="003C0AC8" w:rsidRPr="00D41BDF">
              <w:rPr>
                <w:rFonts w:ascii="Times New Roman" w:hAnsi="Times New Roman" w:cs="Times New Roman"/>
                <w:sz w:val="24"/>
                <w:szCs w:val="24"/>
              </w:rPr>
              <w:lastRenderedPageBreak/>
              <w:t>13.</w:t>
            </w:r>
            <w:r w:rsidR="00E92427" w:rsidRPr="00D41BDF">
              <w:rPr>
                <w:rFonts w:ascii="Times New Roman" w:hAnsi="Times New Roman" w:cs="Times New Roman"/>
                <w:sz w:val="24"/>
                <w:szCs w:val="24"/>
              </w:rPr>
              <w:t xml:space="preserve">panta </w:t>
            </w:r>
            <w:r w:rsidR="003C0AC8" w:rsidRPr="00D41BDF">
              <w:rPr>
                <w:rFonts w:ascii="Times New Roman" w:hAnsi="Times New Roman" w:cs="Times New Roman"/>
                <w:sz w:val="24"/>
                <w:szCs w:val="24"/>
              </w:rPr>
              <w:t>4.</w:t>
            </w:r>
            <w:r w:rsidR="00E92427" w:rsidRPr="00D41BDF">
              <w:rPr>
                <w:rFonts w:ascii="Times New Roman" w:hAnsi="Times New Roman" w:cs="Times New Roman"/>
                <w:sz w:val="24"/>
                <w:szCs w:val="24"/>
              </w:rPr>
              <w:t>punktā</w:t>
            </w:r>
            <w:r w:rsidR="003C0AC8" w:rsidRPr="00D41BDF">
              <w:rPr>
                <w:rFonts w:ascii="Times New Roman" w:hAnsi="Times New Roman" w:cs="Times New Roman"/>
                <w:sz w:val="24"/>
                <w:szCs w:val="24"/>
              </w:rPr>
              <w:t xml:space="preserve"> iekļautās normas, nosakot gadījumus, kā tiek pārskatīti vai pārsūdzēti nacionālā un starptautiskā līmenī pieņemti lēmumi saistībā ar terapeitiskās lietošanas izņēmum</w:t>
            </w:r>
            <w:r w:rsidR="008A4514" w:rsidRPr="00D41BDF">
              <w:rPr>
                <w:rFonts w:ascii="Times New Roman" w:hAnsi="Times New Roman" w:cs="Times New Roman"/>
                <w:sz w:val="24"/>
                <w:szCs w:val="24"/>
              </w:rPr>
              <w:t>u atļaujas piešķiršanu vai atteikumu</w:t>
            </w:r>
            <w:r w:rsidR="009D46B4" w:rsidRPr="00D41BDF">
              <w:rPr>
                <w:rFonts w:ascii="Times New Roman" w:hAnsi="Times New Roman" w:cs="Times New Roman"/>
                <w:sz w:val="24"/>
                <w:szCs w:val="24"/>
              </w:rPr>
              <w:t xml:space="preserve"> lēmumiem</w:t>
            </w:r>
            <w:r w:rsidR="003C0AC8" w:rsidRPr="00D41BDF">
              <w:rPr>
                <w:rFonts w:ascii="Times New Roman" w:hAnsi="Times New Roman" w:cs="Times New Roman"/>
                <w:sz w:val="24"/>
                <w:szCs w:val="24"/>
              </w:rPr>
              <w:t xml:space="preserve">, </w:t>
            </w:r>
            <w:r w:rsidR="0024393D">
              <w:rPr>
                <w:rFonts w:ascii="Times New Roman" w:hAnsi="Times New Roman" w:cs="Times New Roman"/>
                <w:sz w:val="24"/>
                <w:szCs w:val="24"/>
              </w:rPr>
              <w:t>L</w:t>
            </w:r>
            <w:r w:rsidR="003C0AC8" w:rsidRPr="00D41BDF">
              <w:rPr>
                <w:rFonts w:ascii="Times New Roman" w:hAnsi="Times New Roman" w:cs="Times New Roman"/>
                <w:sz w:val="24"/>
                <w:szCs w:val="24"/>
              </w:rPr>
              <w:t>ikumprojek</w:t>
            </w:r>
            <w:r w:rsidR="008A4514" w:rsidRPr="00D41BDF">
              <w:rPr>
                <w:rFonts w:ascii="Times New Roman" w:hAnsi="Times New Roman" w:cs="Times New Roman"/>
                <w:sz w:val="24"/>
                <w:szCs w:val="24"/>
              </w:rPr>
              <w:t>ts paredz papildināt 11.</w:t>
            </w:r>
            <w:r w:rsidR="008A4514" w:rsidRPr="00D41BDF">
              <w:rPr>
                <w:rFonts w:ascii="Times New Roman" w:hAnsi="Times New Roman" w:cs="Times New Roman"/>
                <w:sz w:val="24"/>
                <w:szCs w:val="24"/>
                <w:vertAlign w:val="superscript"/>
              </w:rPr>
              <w:t>4</w:t>
            </w:r>
            <w:r w:rsidR="008A4514" w:rsidRPr="00D41BDF">
              <w:rPr>
                <w:rFonts w:ascii="Times New Roman" w:hAnsi="Times New Roman" w:cs="Times New Roman"/>
                <w:sz w:val="24"/>
                <w:szCs w:val="24"/>
              </w:rPr>
              <w:t xml:space="preserve"> pantu ar diviem jauniem punktiem, kas nosaka, ka s</w:t>
            </w:r>
            <w:r w:rsidR="008F3832" w:rsidRPr="00D41BDF">
              <w:rPr>
                <w:rFonts w:ascii="Times New Roman" w:hAnsi="Times New Roman" w:cs="Times New Roman"/>
                <w:sz w:val="24"/>
                <w:szCs w:val="24"/>
              </w:rPr>
              <w:t xml:space="preserve">portists vai </w:t>
            </w:r>
            <w:r w:rsidR="008A4514" w:rsidRPr="00D41BDF">
              <w:rPr>
                <w:rFonts w:ascii="Times New Roman" w:hAnsi="Times New Roman" w:cs="Times New Roman"/>
                <w:sz w:val="24"/>
                <w:szCs w:val="24"/>
              </w:rPr>
              <w:t xml:space="preserve">Birojs </w:t>
            </w:r>
            <w:r w:rsidR="008F3832" w:rsidRPr="00D41BDF">
              <w:rPr>
                <w:rFonts w:ascii="Times New Roman" w:hAnsi="Times New Roman" w:cs="Times New Roman"/>
                <w:sz w:val="24"/>
                <w:szCs w:val="24"/>
              </w:rPr>
              <w:t>var</w:t>
            </w:r>
            <w:r w:rsidR="008A4514" w:rsidRPr="00D41BDF">
              <w:rPr>
                <w:rFonts w:ascii="Times New Roman" w:hAnsi="Times New Roman" w:cs="Times New Roman"/>
                <w:sz w:val="24"/>
                <w:szCs w:val="24"/>
              </w:rPr>
              <w:t>ēs</w:t>
            </w:r>
            <w:r w:rsidR="008F3832" w:rsidRPr="00D41BDF">
              <w:rPr>
                <w:rFonts w:ascii="Times New Roman" w:hAnsi="Times New Roman" w:cs="Times New Roman"/>
                <w:sz w:val="24"/>
                <w:szCs w:val="24"/>
              </w:rPr>
              <w:t xml:space="preserve"> lūgt </w:t>
            </w:r>
            <w:r w:rsidR="008A4514" w:rsidRPr="00D41BDF">
              <w:rPr>
                <w:rFonts w:ascii="Times New Roman" w:hAnsi="Times New Roman" w:cs="Times New Roman"/>
                <w:sz w:val="24"/>
                <w:szCs w:val="24"/>
              </w:rPr>
              <w:t xml:space="preserve">Aģentūrai pārskatīt </w:t>
            </w:r>
            <w:r w:rsidR="008F3832" w:rsidRPr="00D41BDF">
              <w:rPr>
                <w:rFonts w:ascii="Times New Roman" w:hAnsi="Times New Roman" w:cs="Times New Roman"/>
                <w:sz w:val="24"/>
                <w:szCs w:val="24"/>
              </w:rPr>
              <w:t xml:space="preserve">Terapeitiskās lietošanas izņēmumu komisijas lēmumu neatzīt </w:t>
            </w:r>
            <w:r w:rsidR="009D46B4" w:rsidRPr="00D41BDF">
              <w:rPr>
                <w:rFonts w:ascii="Times New Roman" w:hAnsi="Times New Roman" w:cs="Times New Roman"/>
                <w:sz w:val="24"/>
                <w:szCs w:val="24"/>
              </w:rPr>
              <w:t xml:space="preserve">Starptautiskās federācijas </w:t>
            </w:r>
            <w:r w:rsidR="008F3832" w:rsidRPr="00D41BDF">
              <w:rPr>
                <w:rFonts w:ascii="Times New Roman" w:hAnsi="Times New Roman" w:cs="Times New Roman"/>
                <w:sz w:val="24"/>
                <w:szCs w:val="24"/>
              </w:rPr>
              <w:t>Terapeitiskās lietošanas izņēmumu komisijas piešķirtu terapeitiskās lietošanas atļauju</w:t>
            </w:r>
            <w:r w:rsidR="00EB1D6F">
              <w:rPr>
                <w:rFonts w:ascii="Times New Roman" w:hAnsi="Times New Roman" w:cs="Times New Roman"/>
                <w:sz w:val="24"/>
                <w:szCs w:val="24"/>
              </w:rPr>
              <w:t>.</w:t>
            </w:r>
            <w:r w:rsidR="008A4514" w:rsidRPr="00D41BDF">
              <w:rPr>
                <w:rFonts w:ascii="Times New Roman" w:hAnsi="Times New Roman" w:cs="Times New Roman"/>
                <w:sz w:val="24"/>
                <w:szCs w:val="24"/>
              </w:rPr>
              <w:t xml:space="preserve"> </w:t>
            </w:r>
            <w:r w:rsidR="00EB1D6F">
              <w:rPr>
                <w:rFonts w:ascii="Times New Roman" w:hAnsi="Times New Roman" w:cs="Times New Roman"/>
                <w:sz w:val="24"/>
                <w:szCs w:val="24"/>
              </w:rPr>
              <w:t>S</w:t>
            </w:r>
            <w:r w:rsidR="009D46B4" w:rsidRPr="00D41BDF">
              <w:rPr>
                <w:rFonts w:ascii="Times New Roman" w:hAnsi="Times New Roman" w:cs="Times New Roman"/>
                <w:sz w:val="24"/>
                <w:szCs w:val="24"/>
              </w:rPr>
              <w:t xml:space="preserve">avukārt </w:t>
            </w:r>
            <w:r w:rsidR="008A4514" w:rsidRPr="00D41BDF">
              <w:rPr>
                <w:rFonts w:ascii="Times New Roman" w:hAnsi="Times New Roman" w:cs="Times New Roman"/>
                <w:sz w:val="24"/>
                <w:szCs w:val="24"/>
              </w:rPr>
              <w:t>s</w:t>
            </w:r>
            <w:r w:rsidR="008F3832" w:rsidRPr="00D41BDF">
              <w:rPr>
                <w:rFonts w:ascii="Times New Roman" w:hAnsi="Times New Roman" w:cs="Times New Roman"/>
                <w:sz w:val="24"/>
                <w:szCs w:val="24"/>
              </w:rPr>
              <w:t xml:space="preserve">ūdzību par </w:t>
            </w:r>
            <w:r w:rsidR="008A4514" w:rsidRPr="00D41BDF">
              <w:rPr>
                <w:rFonts w:ascii="Times New Roman" w:hAnsi="Times New Roman" w:cs="Times New Roman"/>
                <w:sz w:val="24"/>
                <w:szCs w:val="24"/>
              </w:rPr>
              <w:t>A</w:t>
            </w:r>
            <w:r w:rsidR="008F3832" w:rsidRPr="00D41BDF">
              <w:rPr>
                <w:rFonts w:ascii="Times New Roman" w:hAnsi="Times New Roman" w:cs="Times New Roman"/>
                <w:sz w:val="24"/>
                <w:szCs w:val="24"/>
              </w:rPr>
              <w:t xml:space="preserve">ģentūras lēmumu atcelt Terapeitiskās lietošanas izņēmumu komisijas piešķirtu terapeitiskās lietošanas atļauju, sportists vai </w:t>
            </w:r>
            <w:r w:rsidR="008A4514" w:rsidRPr="00D41BDF">
              <w:rPr>
                <w:rFonts w:ascii="Times New Roman" w:hAnsi="Times New Roman" w:cs="Times New Roman"/>
                <w:sz w:val="24"/>
                <w:szCs w:val="24"/>
              </w:rPr>
              <w:t>B</w:t>
            </w:r>
            <w:r w:rsidR="008F3832" w:rsidRPr="00D41BDF">
              <w:rPr>
                <w:rFonts w:ascii="Times New Roman" w:hAnsi="Times New Roman" w:cs="Times New Roman"/>
                <w:sz w:val="24"/>
                <w:szCs w:val="24"/>
              </w:rPr>
              <w:t>irojs var</w:t>
            </w:r>
            <w:r w:rsidR="008A4514" w:rsidRPr="00D41BDF">
              <w:rPr>
                <w:rFonts w:ascii="Times New Roman" w:hAnsi="Times New Roman" w:cs="Times New Roman"/>
                <w:sz w:val="24"/>
                <w:szCs w:val="24"/>
              </w:rPr>
              <w:t>ēs</w:t>
            </w:r>
            <w:r w:rsidR="008F3832" w:rsidRPr="00D41BDF">
              <w:rPr>
                <w:rFonts w:ascii="Times New Roman" w:hAnsi="Times New Roman" w:cs="Times New Roman"/>
                <w:sz w:val="24"/>
                <w:szCs w:val="24"/>
              </w:rPr>
              <w:t xml:space="preserve"> iesniegt </w:t>
            </w:r>
            <w:r w:rsidR="00EB1D6F">
              <w:rPr>
                <w:rFonts w:ascii="Times New Roman" w:hAnsi="Times New Roman" w:cs="Times New Roman"/>
                <w:sz w:val="24"/>
                <w:szCs w:val="24"/>
              </w:rPr>
              <w:t xml:space="preserve">starptautiskajā </w:t>
            </w:r>
            <w:r w:rsidR="008F3832" w:rsidRPr="00D41BDF">
              <w:rPr>
                <w:rFonts w:ascii="Times New Roman" w:hAnsi="Times New Roman" w:cs="Times New Roman"/>
                <w:sz w:val="24"/>
                <w:szCs w:val="24"/>
              </w:rPr>
              <w:t>Sporta arbitrāžas tiesā</w:t>
            </w:r>
            <w:r w:rsidR="008A4514" w:rsidRPr="00D41BDF">
              <w:rPr>
                <w:rFonts w:ascii="Times New Roman" w:hAnsi="Times New Roman" w:cs="Times New Roman"/>
                <w:sz w:val="24"/>
                <w:szCs w:val="24"/>
              </w:rPr>
              <w:t xml:space="preserve">. </w:t>
            </w:r>
            <w:r w:rsidR="00B74C8F" w:rsidRPr="00D41BDF">
              <w:rPr>
                <w:rFonts w:ascii="Times New Roman" w:hAnsi="Times New Roman" w:cs="Times New Roman"/>
                <w:sz w:val="24"/>
                <w:szCs w:val="24"/>
              </w:rPr>
              <w:t xml:space="preserve">Grozījumi ir nepieciešami, lai skaidri tiktu </w:t>
            </w:r>
            <w:r w:rsidR="00D67637" w:rsidRPr="00D41BDF">
              <w:rPr>
                <w:rFonts w:ascii="Times New Roman" w:hAnsi="Times New Roman" w:cs="Times New Roman"/>
                <w:sz w:val="24"/>
                <w:szCs w:val="24"/>
              </w:rPr>
              <w:t>noteikt</w:t>
            </w:r>
            <w:r w:rsidR="00D67637">
              <w:rPr>
                <w:rFonts w:ascii="Times New Roman" w:hAnsi="Times New Roman" w:cs="Times New Roman"/>
                <w:sz w:val="24"/>
                <w:szCs w:val="24"/>
              </w:rPr>
              <w:t>a</w:t>
            </w:r>
            <w:r w:rsidR="00D67637" w:rsidRPr="00D41BDF">
              <w:rPr>
                <w:rFonts w:ascii="Times New Roman" w:hAnsi="Times New Roman" w:cs="Times New Roman"/>
                <w:sz w:val="24"/>
                <w:szCs w:val="24"/>
              </w:rPr>
              <w:t xml:space="preserve"> </w:t>
            </w:r>
            <w:r w:rsidR="00B74C8F" w:rsidRPr="00D41BDF">
              <w:rPr>
                <w:rFonts w:ascii="Times New Roman" w:hAnsi="Times New Roman" w:cs="Times New Roman"/>
                <w:sz w:val="24"/>
                <w:szCs w:val="24"/>
              </w:rPr>
              <w:t>nacionālajā līmenī sūdzību iesniegšanas kārtība saistībā ar terapeitisko lietošanas atļauju piešķiršanas vai nepiešķiršanas lēmumiem</w:t>
            </w:r>
            <w:r w:rsidR="00B34708" w:rsidRPr="00D41BDF">
              <w:rPr>
                <w:rFonts w:ascii="Times New Roman" w:hAnsi="Times New Roman" w:cs="Times New Roman"/>
                <w:sz w:val="24"/>
                <w:szCs w:val="24"/>
              </w:rPr>
              <w:t>,</w:t>
            </w:r>
            <w:r w:rsidR="0024393D">
              <w:rPr>
                <w:rFonts w:ascii="Times New Roman" w:hAnsi="Times New Roman" w:cs="Times New Roman"/>
                <w:sz w:val="24"/>
                <w:szCs w:val="24"/>
              </w:rPr>
              <w:t xml:space="preserve"> kā arī</w:t>
            </w:r>
            <w:r w:rsidR="00B34708" w:rsidRPr="00D41BDF">
              <w:rPr>
                <w:rFonts w:ascii="Times New Roman" w:hAnsi="Times New Roman" w:cs="Times New Roman"/>
                <w:sz w:val="24"/>
                <w:szCs w:val="24"/>
              </w:rPr>
              <w:t xml:space="preserve"> lai nacionālajā regulējumā būtu tieši noteiktas sportista tiesības vērsties pēc pieņemto lēmumu pārskatīšanas.</w:t>
            </w:r>
          </w:p>
          <w:p w14:paraId="07BD4B20" w14:textId="2363CCF4" w:rsidR="00E92427" w:rsidRPr="00D41BDF" w:rsidRDefault="0051372E" w:rsidP="000252F9">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t>“Sporta likuma” 11.</w:t>
            </w:r>
            <w:r w:rsidRPr="00D41BDF">
              <w:rPr>
                <w:rFonts w:ascii="Times New Roman" w:hAnsi="Times New Roman" w:cs="Times New Roman"/>
                <w:sz w:val="24"/>
                <w:szCs w:val="24"/>
                <w:vertAlign w:val="superscript"/>
              </w:rPr>
              <w:t>5</w:t>
            </w:r>
            <w:r w:rsidRPr="00D41BDF">
              <w:rPr>
                <w:rFonts w:ascii="Times New Roman" w:hAnsi="Times New Roman" w:cs="Times New Roman"/>
                <w:sz w:val="24"/>
                <w:szCs w:val="24"/>
              </w:rPr>
              <w:t xml:space="preserve"> panta pirmajā daļā tiek paredzēts veikt grozījumus, pievienojot norādi, ka Pārsūdzības komisija izskata sūdzības, izņemot gadījumus, kas saistīti ar starptautiska līmeņa sportistiem vai </w:t>
            </w:r>
            <w:r w:rsidR="00E63FFC" w:rsidRPr="00D41BDF">
              <w:rPr>
                <w:rFonts w:ascii="Times New Roman" w:hAnsi="Times New Roman" w:cs="Times New Roman"/>
                <w:sz w:val="24"/>
                <w:szCs w:val="24"/>
              </w:rPr>
              <w:t>gadījum</w:t>
            </w:r>
            <w:r w:rsidR="00E63FFC">
              <w:rPr>
                <w:rFonts w:ascii="Times New Roman" w:hAnsi="Times New Roman" w:cs="Times New Roman"/>
                <w:sz w:val="24"/>
                <w:szCs w:val="24"/>
              </w:rPr>
              <w:t>u</w:t>
            </w:r>
            <w:r w:rsidR="00E63FFC" w:rsidRPr="00D41BDF">
              <w:rPr>
                <w:rFonts w:ascii="Times New Roman" w:hAnsi="Times New Roman" w:cs="Times New Roman"/>
                <w:sz w:val="24"/>
                <w:szCs w:val="24"/>
              </w:rPr>
              <w:t>s</w:t>
            </w:r>
            <w:r w:rsidRPr="00D41BDF">
              <w:rPr>
                <w:rFonts w:ascii="Times New Roman" w:hAnsi="Times New Roman" w:cs="Times New Roman"/>
                <w:sz w:val="24"/>
                <w:szCs w:val="24"/>
              </w:rPr>
              <w:t xml:space="preserve">, kas izriet no starptautiska līmeņa sacensībām. Grozījumi ir nepieciešami, jo, saskaņā ar </w:t>
            </w:r>
            <w:r w:rsidR="00EB1D6F">
              <w:rPr>
                <w:rFonts w:ascii="Times New Roman" w:hAnsi="Times New Roman" w:cs="Times New Roman"/>
                <w:sz w:val="24"/>
                <w:szCs w:val="24"/>
              </w:rPr>
              <w:t xml:space="preserve">2021.gada </w:t>
            </w:r>
            <w:r w:rsidRPr="00D41BDF">
              <w:rPr>
                <w:rFonts w:ascii="Times New Roman" w:hAnsi="Times New Roman" w:cs="Times New Roman"/>
                <w:sz w:val="24"/>
                <w:szCs w:val="24"/>
              </w:rPr>
              <w:t xml:space="preserve">Kodeksu sportisti, kuri ir atzīti par starptautiska līmeņa sportistiem vai pārkāpumi, kuri ir saistīti ar starptautiska līmeņa sacensībām ir pārsūdzami </w:t>
            </w:r>
            <w:r w:rsidR="00CF7B81" w:rsidRPr="00D41BDF">
              <w:rPr>
                <w:rFonts w:ascii="Times New Roman" w:hAnsi="Times New Roman" w:cs="Times New Roman"/>
                <w:sz w:val="24"/>
                <w:szCs w:val="24"/>
              </w:rPr>
              <w:t>starptautiskajā Sporta arbitrāžas</w:t>
            </w:r>
            <w:r w:rsidRPr="00D41BDF">
              <w:rPr>
                <w:rFonts w:ascii="Times New Roman" w:hAnsi="Times New Roman" w:cs="Times New Roman"/>
                <w:sz w:val="24"/>
                <w:szCs w:val="24"/>
              </w:rPr>
              <w:t xml:space="preserve"> tiesā nevis</w:t>
            </w:r>
            <w:r w:rsidR="00310079">
              <w:rPr>
                <w:rFonts w:ascii="Times New Roman" w:hAnsi="Times New Roman" w:cs="Times New Roman"/>
                <w:sz w:val="24"/>
                <w:szCs w:val="24"/>
              </w:rPr>
              <w:t xml:space="preserve"> </w:t>
            </w:r>
            <w:r w:rsidRPr="00D41BDF">
              <w:rPr>
                <w:rFonts w:ascii="Times New Roman" w:hAnsi="Times New Roman" w:cs="Times New Roman"/>
                <w:sz w:val="24"/>
                <w:szCs w:val="24"/>
              </w:rPr>
              <w:t>Pārsūdzības komisijā.</w:t>
            </w:r>
            <w:r w:rsidR="00EB1D6F">
              <w:rPr>
                <w:rFonts w:ascii="Times New Roman" w:hAnsi="Times New Roman" w:cs="Times New Roman"/>
                <w:sz w:val="24"/>
                <w:szCs w:val="24"/>
              </w:rPr>
              <w:t xml:space="preserve"> </w:t>
            </w:r>
            <w:r w:rsidR="00310079" w:rsidRPr="00D41BDF">
              <w:rPr>
                <w:rFonts w:ascii="Times New Roman" w:hAnsi="Times New Roman" w:cs="Times New Roman"/>
                <w:sz w:val="24"/>
                <w:szCs w:val="24"/>
              </w:rPr>
              <w:t>Ņemot vērā 2021.gada Kodeksa  13. pant</w:t>
            </w:r>
            <w:r w:rsidR="00310079">
              <w:rPr>
                <w:rFonts w:ascii="Times New Roman" w:hAnsi="Times New Roman" w:cs="Times New Roman"/>
                <w:sz w:val="24"/>
                <w:szCs w:val="24"/>
              </w:rPr>
              <w:t xml:space="preserve">ā </w:t>
            </w:r>
            <w:r w:rsidR="00310079" w:rsidRPr="00D41BDF">
              <w:rPr>
                <w:rFonts w:ascii="Times New Roman" w:hAnsi="Times New Roman" w:cs="Times New Roman"/>
                <w:sz w:val="24"/>
                <w:szCs w:val="24"/>
              </w:rPr>
              <w:t>noteikto, ka ir nepieciešams iekļaut visas puses, kurām ir tiesības iesniegt pārsūdzību par pieņemto lēmumu nacionālajā līmenī</w:t>
            </w:r>
            <w:r w:rsidR="00E63FFC">
              <w:rPr>
                <w:rFonts w:ascii="Times New Roman" w:hAnsi="Times New Roman" w:cs="Times New Roman"/>
                <w:sz w:val="24"/>
                <w:szCs w:val="24"/>
              </w:rPr>
              <w:t>,</w:t>
            </w:r>
            <w:r w:rsidR="00310079">
              <w:rPr>
                <w:rFonts w:ascii="Times New Roman" w:hAnsi="Times New Roman" w:cs="Times New Roman"/>
                <w:sz w:val="24"/>
                <w:szCs w:val="24"/>
              </w:rPr>
              <w:t xml:space="preserve"> </w:t>
            </w:r>
            <w:r w:rsidR="0024393D">
              <w:rPr>
                <w:rFonts w:ascii="Times New Roman" w:hAnsi="Times New Roman" w:cs="Times New Roman"/>
                <w:sz w:val="24"/>
                <w:szCs w:val="24"/>
              </w:rPr>
              <w:t>L</w:t>
            </w:r>
            <w:r w:rsidR="00EB1D6F">
              <w:rPr>
                <w:rFonts w:ascii="Times New Roman" w:hAnsi="Times New Roman" w:cs="Times New Roman"/>
                <w:sz w:val="24"/>
                <w:szCs w:val="24"/>
              </w:rPr>
              <w:t xml:space="preserve">ikumprojekts paredz </w:t>
            </w:r>
            <w:r w:rsidR="00310079">
              <w:rPr>
                <w:rFonts w:ascii="Times New Roman" w:hAnsi="Times New Roman" w:cs="Times New Roman"/>
                <w:sz w:val="24"/>
                <w:szCs w:val="24"/>
              </w:rPr>
              <w:t xml:space="preserve">veikt arī grozījumus </w:t>
            </w:r>
            <w:r w:rsidR="003B5066" w:rsidRPr="00D41BDF">
              <w:rPr>
                <w:rFonts w:ascii="Times New Roman" w:hAnsi="Times New Roman" w:cs="Times New Roman"/>
                <w:sz w:val="24"/>
                <w:szCs w:val="24"/>
              </w:rPr>
              <w:t>“</w:t>
            </w:r>
            <w:r w:rsidR="00FE66EC" w:rsidRPr="00D41BDF">
              <w:rPr>
                <w:rFonts w:ascii="Times New Roman" w:hAnsi="Times New Roman" w:cs="Times New Roman"/>
                <w:sz w:val="24"/>
                <w:szCs w:val="24"/>
              </w:rPr>
              <w:t>Sporta likuma</w:t>
            </w:r>
            <w:r w:rsidR="003B5066" w:rsidRPr="00D41BDF">
              <w:rPr>
                <w:rFonts w:ascii="Times New Roman" w:hAnsi="Times New Roman" w:cs="Times New Roman"/>
                <w:sz w:val="24"/>
                <w:szCs w:val="24"/>
              </w:rPr>
              <w:t>”</w:t>
            </w:r>
            <w:r w:rsidR="00FE66EC" w:rsidRPr="00D41BDF">
              <w:rPr>
                <w:rFonts w:ascii="Times New Roman" w:hAnsi="Times New Roman" w:cs="Times New Roman"/>
                <w:sz w:val="24"/>
                <w:szCs w:val="24"/>
              </w:rPr>
              <w:t xml:space="preserve"> 11.</w:t>
            </w:r>
            <w:r w:rsidR="00FE66EC" w:rsidRPr="00D41BDF">
              <w:rPr>
                <w:rFonts w:ascii="Times New Roman" w:hAnsi="Times New Roman" w:cs="Times New Roman"/>
                <w:sz w:val="24"/>
                <w:szCs w:val="24"/>
                <w:vertAlign w:val="superscript"/>
              </w:rPr>
              <w:t>5</w:t>
            </w:r>
            <w:r w:rsidR="00FE66EC" w:rsidRPr="00D41BDF">
              <w:rPr>
                <w:rFonts w:ascii="Times New Roman" w:hAnsi="Times New Roman" w:cs="Times New Roman"/>
                <w:sz w:val="24"/>
                <w:szCs w:val="24"/>
              </w:rPr>
              <w:t xml:space="preserve"> panta pirm</w:t>
            </w:r>
            <w:r w:rsidR="00310079">
              <w:rPr>
                <w:rFonts w:ascii="Times New Roman" w:hAnsi="Times New Roman" w:cs="Times New Roman"/>
                <w:sz w:val="24"/>
                <w:szCs w:val="24"/>
              </w:rPr>
              <w:t xml:space="preserve">ajā daļā iekļautajos punktos (1.-3.punkti) un papildinot pirmo daļu ar  sešiem jauniem punktiem (4. -10.punkti), uzskaitot visas puses, kuras var iesniegt sūdzību un visus lēmumu veidus, par kuriem ir iespējams iesniegt sūdzību Pārsūdzības komisijā. </w:t>
            </w:r>
          </w:p>
          <w:p w14:paraId="7CB8A80D" w14:textId="207320FC" w:rsidR="00E92427" w:rsidRPr="00D41BDF" w:rsidRDefault="00310079" w:rsidP="000252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Likumprojekts papildina arī </w:t>
            </w:r>
            <w:r w:rsidR="00E92427" w:rsidRPr="00D41BDF">
              <w:rPr>
                <w:rFonts w:ascii="Times New Roman" w:hAnsi="Times New Roman" w:cs="Times New Roman"/>
                <w:sz w:val="24"/>
                <w:szCs w:val="24"/>
              </w:rPr>
              <w:t>“Sporta likuma” 11.</w:t>
            </w:r>
            <w:r w:rsidR="00E92427" w:rsidRPr="00D41BDF">
              <w:rPr>
                <w:rFonts w:ascii="Times New Roman" w:hAnsi="Times New Roman" w:cs="Times New Roman"/>
                <w:sz w:val="24"/>
                <w:szCs w:val="24"/>
                <w:vertAlign w:val="superscript"/>
              </w:rPr>
              <w:t>5</w:t>
            </w:r>
            <w:r w:rsidR="00E92427" w:rsidRPr="00D41BDF">
              <w:rPr>
                <w:rFonts w:ascii="Times New Roman" w:hAnsi="Times New Roman" w:cs="Times New Roman"/>
                <w:sz w:val="24"/>
                <w:szCs w:val="24"/>
              </w:rPr>
              <w:t xml:space="preserve"> pant</w:t>
            </w:r>
            <w:r>
              <w:rPr>
                <w:rFonts w:ascii="Times New Roman" w:hAnsi="Times New Roman" w:cs="Times New Roman"/>
                <w:sz w:val="24"/>
                <w:szCs w:val="24"/>
              </w:rPr>
              <w:t xml:space="preserve">u ar jaunu viens prim viens </w:t>
            </w:r>
            <w:r w:rsidR="00E92427" w:rsidRPr="00D41BDF">
              <w:rPr>
                <w:rFonts w:ascii="Times New Roman" w:hAnsi="Times New Roman" w:cs="Times New Roman"/>
                <w:sz w:val="24"/>
                <w:szCs w:val="24"/>
              </w:rPr>
              <w:t>daļu</w:t>
            </w:r>
            <w:r>
              <w:rPr>
                <w:rFonts w:ascii="Times New Roman" w:hAnsi="Times New Roman" w:cs="Times New Roman"/>
                <w:sz w:val="24"/>
                <w:szCs w:val="24"/>
              </w:rPr>
              <w:t>,</w:t>
            </w:r>
            <w:r w:rsidR="00E92427" w:rsidRPr="00D41BDF">
              <w:rPr>
                <w:rFonts w:ascii="Times New Roman" w:hAnsi="Times New Roman" w:cs="Times New Roman"/>
                <w:sz w:val="24"/>
                <w:szCs w:val="24"/>
              </w:rPr>
              <w:t xml:space="preserve"> nosakot </w:t>
            </w:r>
            <w:r w:rsidR="009A68C7" w:rsidRPr="00D41BDF">
              <w:rPr>
                <w:rFonts w:ascii="Times New Roman" w:hAnsi="Times New Roman" w:cs="Times New Roman"/>
                <w:sz w:val="24"/>
                <w:szCs w:val="24"/>
              </w:rPr>
              <w:t>sūdzības, kuras ir iesniedzamas starptautiskajā Sporta arbitrāžas tiesā</w:t>
            </w:r>
            <w:r w:rsidR="00E92427" w:rsidRPr="00D41BDF">
              <w:rPr>
                <w:rFonts w:ascii="Times New Roman" w:hAnsi="Times New Roman" w:cs="Times New Roman"/>
                <w:sz w:val="24"/>
                <w:szCs w:val="24"/>
              </w:rPr>
              <w:t xml:space="preserve">. Kodeksa </w:t>
            </w:r>
            <w:r w:rsidR="009A68C7" w:rsidRPr="00D41BDF">
              <w:rPr>
                <w:rFonts w:ascii="Times New Roman" w:hAnsi="Times New Roman" w:cs="Times New Roman"/>
                <w:sz w:val="24"/>
                <w:szCs w:val="24"/>
              </w:rPr>
              <w:t>7.panta 1.punkts, kā arī 7.panta 1.punkta 5.apakšpunkts nosaka lēmumus, kuri ir pārsūdzami starptautiskajā Sporta arbitrāžas tiesā</w:t>
            </w:r>
            <w:r w:rsidR="00E63FFC">
              <w:rPr>
                <w:rFonts w:ascii="Times New Roman" w:hAnsi="Times New Roman" w:cs="Times New Roman"/>
                <w:sz w:val="24"/>
                <w:szCs w:val="24"/>
              </w:rPr>
              <w:t>,</w:t>
            </w:r>
            <w:r w:rsidR="009A68C7" w:rsidRPr="00D41BDF">
              <w:rPr>
                <w:rFonts w:ascii="Times New Roman" w:hAnsi="Times New Roman" w:cs="Times New Roman"/>
                <w:sz w:val="24"/>
                <w:szCs w:val="24"/>
              </w:rPr>
              <w:t xml:space="preserve"> nevis Pārsūdzības komisijā.</w:t>
            </w:r>
            <w:r>
              <w:rPr>
                <w:rFonts w:ascii="Times New Roman" w:hAnsi="Times New Roman" w:cs="Times New Roman"/>
                <w:sz w:val="24"/>
                <w:szCs w:val="24"/>
              </w:rPr>
              <w:t xml:space="preserve"> Savukārt</w:t>
            </w:r>
            <w:r w:rsidR="009A68C7" w:rsidRPr="00D41BDF">
              <w:rPr>
                <w:rFonts w:ascii="Times New Roman" w:hAnsi="Times New Roman" w:cs="Times New Roman"/>
                <w:sz w:val="24"/>
                <w:szCs w:val="24"/>
              </w:rPr>
              <w:t xml:space="preserve"> Kodeksa 13.panta 2.punkta 3.1.apakšpunkts nosaka gadījum</w:t>
            </w:r>
            <w:r>
              <w:rPr>
                <w:rFonts w:ascii="Times New Roman" w:hAnsi="Times New Roman" w:cs="Times New Roman"/>
                <w:sz w:val="24"/>
                <w:szCs w:val="24"/>
              </w:rPr>
              <w:t>us, kādos</w:t>
            </w:r>
            <w:r w:rsidR="009A68C7" w:rsidRPr="00D41BDF">
              <w:rPr>
                <w:rFonts w:ascii="Times New Roman" w:hAnsi="Times New Roman" w:cs="Times New Roman"/>
                <w:sz w:val="24"/>
                <w:szCs w:val="24"/>
              </w:rPr>
              <w:t xml:space="preserve"> </w:t>
            </w:r>
            <w:r w:rsidR="009A68C7" w:rsidRPr="00D41BDF">
              <w:rPr>
                <w:rFonts w:ascii="Times New Roman" w:hAnsi="Times New Roman" w:cs="Times New Roman"/>
                <w:sz w:val="24"/>
                <w:szCs w:val="24"/>
              </w:rPr>
              <w:lastRenderedPageBreak/>
              <w:t>sūdzības ir iesniedzamas starptautiskajā Sporta arbitrāžas tiesā.</w:t>
            </w:r>
          </w:p>
          <w:p w14:paraId="443016AB" w14:textId="7BC51A2B" w:rsidR="00EB56C0" w:rsidRPr="00D41BDF" w:rsidRDefault="00726E4C" w:rsidP="000252F9">
            <w:pPr>
              <w:spacing w:after="0" w:line="240" w:lineRule="auto"/>
              <w:jc w:val="both"/>
              <w:rPr>
                <w:rFonts w:ascii="Times New Roman" w:hAnsi="Times New Roman" w:cs="Times New Roman"/>
                <w:sz w:val="24"/>
                <w:szCs w:val="24"/>
              </w:rPr>
            </w:pPr>
            <w:r w:rsidRPr="00D41BDF">
              <w:rPr>
                <w:rFonts w:ascii="Times New Roman" w:hAnsi="Times New Roman" w:cs="Times New Roman"/>
                <w:sz w:val="24"/>
                <w:szCs w:val="24"/>
              </w:rPr>
              <w:t xml:space="preserve"> </w:t>
            </w:r>
            <w:r w:rsidR="003B5066" w:rsidRPr="00D41BDF">
              <w:rPr>
                <w:rFonts w:ascii="Times New Roman" w:hAnsi="Times New Roman" w:cs="Times New Roman"/>
                <w:sz w:val="24"/>
                <w:szCs w:val="24"/>
              </w:rPr>
              <w:t>“</w:t>
            </w:r>
            <w:r w:rsidRPr="00D41BDF">
              <w:rPr>
                <w:rFonts w:ascii="Times New Roman" w:hAnsi="Times New Roman" w:cs="Times New Roman"/>
                <w:sz w:val="24"/>
                <w:szCs w:val="24"/>
              </w:rPr>
              <w:t>Sporta likuma</w:t>
            </w:r>
            <w:r w:rsidR="003B5066" w:rsidRPr="00D41BDF">
              <w:rPr>
                <w:rFonts w:ascii="Times New Roman" w:hAnsi="Times New Roman" w:cs="Times New Roman"/>
                <w:sz w:val="24"/>
                <w:szCs w:val="24"/>
              </w:rPr>
              <w:t>”</w:t>
            </w:r>
            <w:r w:rsidRPr="00D41BDF">
              <w:rPr>
                <w:rFonts w:ascii="Times New Roman" w:hAnsi="Times New Roman" w:cs="Times New Roman"/>
                <w:sz w:val="24"/>
                <w:szCs w:val="24"/>
              </w:rPr>
              <w:t xml:space="preserve"> 13.panta septītā daļa nosaka, ka </w:t>
            </w:r>
            <w:r w:rsidRPr="00D41BDF">
              <w:rPr>
                <w:rFonts w:ascii="Times New Roman" w:eastAsia="Times New Roman" w:hAnsi="Times New Roman" w:cs="Times New Roman"/>
                <w:sz w:val="24"/>
                <w:szCs w:val="24"/>
                <w:lang w:eastAsia="lv-LV"/>
              </w:rPr>
              <w:t>institūcija, kura piešķīrusi finanšu līdzekļus, var pieņem</w:t>
            </w:r>
            <w:r w:rsidR="00E87CF8" w:rsidRPr="00D41BDF">
              <w:rPr>
                <w:rFonts w:ascii="Times New Roman" w:eastAsia="Times New Roman" w:hAnsi="Times New Roman" w:cs="Times New Roman"/>
                <w:sz w:val="24"/>
                <w:szCs w:val="24"/>
                <w:lang w:eastAsia="lv-LV"/>
              </w:rPr>
              <w:t>t</w:t>
            </w:r>
            <w:r w:rsidRPr="00D41BDF">
              <w:rPr>
                <w:rFonts w:ascii="Times New Roman" w:eastAsia="Times New Roman" w:hAnsi="Times New Roman" w:cs="Times New Roman"/>
                <w:sz w:val="24"/>
                <w:szCs w:val="24"/>
                <w:lang w:eastAsia="lv-LV"/>
              </w:rPr>
              <w:t xml:space="preserve"> lēmumu par attiecīgajam sportistam, sporta organizācijai vai sporta darbiniekam piešķirto finanšu līdzekļu izmaksas pārtraukšanu un citu līgumā paredzēto sankciju piemērošanu</w:t>
            </w:r>
            <w:r w:rsidR="00EB56C0" w:rsidRPr="00D41BDF">
              <w:rPr>
                <w:rFonts w:ascii="Times New Roman" w:eastAsia="Times New Roman" w:hAnsi="Times New Roman" w:cs="Times New Roman"/>
                <w:sz w:val="24"/>
                <w:szCs w:val="24"/>
                <w:lang w:eastAsia="lv-LV"/>
              </w:rPr>
              <w:t xml:space="preserve">, ja netiek </w:t>
            </w:r>
            <w:r w:rsidR="00E63FFC" w:rsidRPr="00D41BDF">
              <w:rPr>
                <w:rFonts w:ascii="Times New Roman" w:eastAsia="Times New Roman" w:hAnsi="Times New Roman" w:cs="Times New Roman"/>
                <w:sz w:val="24"/>
                <w:szCs w:val="24"/>
                <w:lang w:eastAsia="lv-LV"/>
              </w:rPr>
              <w:t>pildīt</w:t>
            </w:r>
            <w:r w:rsidR="00E63FFC">
              <w:rPr>
                <w:rFonts w:ascii="Times New Roman" w:eastAsia="Times New Roman" w:hAnsi="Times New Roman" w:cs="Times New Roman"/>
                <w:sz w:val="24"/>
                <w:szCs w:val="24"/>
                <w:lang w:eastAsia="lv-LV"/>
              </w:rPr>
              <w:t>i</w:t>
            </w:r>
            <w:r w:rsidR="00E63FFC" w:rsidRPr="00D41BDF">
              <w:rPr>
                <w:rFonts w:ascii="Times New Roman" w:eastAsia="Times New Roman" w:hAnsi="Times New Roman" w:cs="Times New Roman"/>
                <w:sz w:val="24"/>
                <w:szCs w:val="24"/>
                <w:lang w:eastAsia="lv-LV"/>
              </w:rPr>
              <w:t xml:space="preserve"> </w:t>
            </w:r>
            <w:r w:rsidR="003B5066" w:rsidRPr="00D41BDF">
              <w:rPr>
                <w:rFonts w:ascii="Times New Roman" w:eastAsia="Times New Roman" w:hAnsi="Times New Roman" w:cs="Times New Roman"/>
                <w:sz w:val="24"/>
                <w:szCs w:val="24"/>
                <w:lang w:eastAsia="lv-LV"/>
              </w:rPr>
              <w:t>“</w:t>
            </w:r>
            <w:r w:rsidR="00EB56C0" w:rsidRPr="00D41BDF">
              <w:rPr>
                <w:rFonts w:ascii="Times New Roman" w:eastAsia="Times New Roman" w:hAnsi="Times New Roman" w:cs="Times New Roman"/>
                <w:sz w:val="24"/>
                <w:szCs w:val="24"/>
                <w:lang w:eastAsia="lv-LV"/>
              </w:rPr>
              <w:t>Sporta likumā</w:t>
            </w:r>
            <w:r w:rsidR="003B5066" w:rsidRPr="00D41BDF">
              <w:rPr>
                <w:rFonts w:ascii="Times New Roman" w:eastAsia="Times New Roman" w:hAnsi="Times New Roman" w:cs="Times New Roman"/>
                <w:sz w:val="24"/>
                <w:szCs w:val="24"/>
                <w:lang w:eastAsia="lv-LV"/>
              </w:rPr>
              <w:t>”</w:t>
            </w:r>
            <w:r w:rsidR="00EB56C0" w:rsidRPr="00D41BDF">
              <w:rPr>
                <w:rFonts w:ascii="Times New Roman" w:eastAsia="Times New Roman" w:hAnsi="Times New Roman" w:cs="Times New Roman"/>
                <w:sz w:val="24"/>
                <w:szCs w:val="24"/>
                <w:lang w:eastAsia="lv-LV"/>
              </w:rPr>
              <w:t xml:space="preserve">, citos sporta jomu regulējošos normatīvajos aktos, antidopinga konvencijās vai līgumā par valsts vai pašvaldību budžeta līdzekļu piešķiršanu noteiktie pienākumi, tomēr nav minēta atsauce uz </w:t>
            </w:r>
            <w:r w:rsidRPr="00D41BDF">
              <w:rPr>
                <w:rFonts w:ascii="Times New Roman" w:hAnsi="Times New Roman" w:cs="Times New Roman"/>
                <w:sz w:val="24"/>
                <w:szCs w:val="24"/>
              </w:rPr>
              <w:t>antidopinga konvencij</w:t>
            </w:r>
            <w:r w:rsidR="00EB56C0" w:rsidRPr="00D41BDF">
              <w:rPr>
                <w:rFonts w:ascii="Times New Roman" w:hAnsi="Times New Roman" w:cs="Times New Roman"/>
                <w:sz w:val="24"/>
                <w:szCs w:val="24"/>
              </w:rPr>
              <w:t xml:space="preserve">ā minētajiem pienākumiem. Tāpēc likumprojekts paredz veikt grozījumus </w:t>
            </w:r>
            <w:r w:rsidR="003B5066" w:rsidRPr="00D41BDF">
              <w:rPr>
                <w:rFonts w:ascii="Times New Roman" w:hAnsi="Times New Roman" w:cs="Times New Roman"/>
                <w:sz w:val="24"/>
                <w:szCs w:val="24"/>
              </w:rPr>
              <w:t>“</w:t>
            </w:r>
            <w:r w:rsidR="00EB56C0" w:rsidRPr="00D41BDF">
              <w:rPr>
                <w:rFonts w:ascii="Times New Roman" w:hAnsi="Times New Roman" w:cs="Times New Roman"/>
                <w:sz w:val="24"/>
                <w:szCs w:val="24"/>
              </w:rPr>
              <w:t>Sporta likuma</w:t>
            </w:r>
            <w:r w:rsidR="003B5066" w:rsidRPr="00D41BDF">
              <w:rPr>
                <w:rFonts w:ascii="Times New Roman" w:hAnsi="Times New Roman" w:cs="Times New Roman"/>
                <w:sz w:val="24"/>
                <w:szCs w:val="24"/>
              </w:rPr>
              <w:t xml:space="preserve">“ </w:t>
            </w:r>
            <w:r w:rsidR="00EB56C0" w:rsidRPr="00D41BDF">
              <w:rPr>
                <w:rFonts w:ascii="Times New Roman" w:hAnsi="Times New Roman" w:cs="Times New Roman"/>
                <w:sz w:val="24"/>
                <w:szCs w:val="24"/>
              </w:rPr>
              <w:t>13.panta septītajā daļā</w:t>
            </w:r>
            <w:r w:rsidR="00E63FFC">
              <w:rPr>
                <w:rFonts w:ascii="Times New Roman" w:hAnsi="Times New Roman" w:cs="Times New Roman"/>
                <w:sz w:val="24"/>
                <w:szCs w:val="24"/>
              </w:rPr>
              <w:t>,</w:t>
            </w:r>
            <w:r w:rsidR="00EB56C0" w:rsidRPr="00D41BDF">
              <w:rPr>
                <w:rFonts w:ascii="Times New Roman" w:hAnsi="Times New Roman" w:cs="Times New Roman"/>
                <w:sz w:val="24"/>
                <w:szCs w:val="24"/>
              </w:rPr>
              <w:t xml:space="preserve"> papildinot arī ar atsauci uz antidopinga konvenciju. </w:t>
            </w:r>
          </w:p>
          <w:p w14:paraId="6B7D2464" w14:textId="39EC0B1D" w:rsidR="002E044A" w:rsidRPr="00D41BDF" w:rsidRDefault="002E044A" w:rsidP="001D03F0">
            <w:pPr>
              <w:spacing w:after="0" w:line="240" w:lineRule="auto"/>
              <w:jc w:val="both"/>
              <w:rPr>
                <w:rFonts w:ascii="Times New Roman" w:eastAsia="Times New Roman" w:hAnsi="Times New Roman" w:cs="Times New Roman"/>
                <w:iCs/>
                <w:sz w:val="24"/>
                <w:szCs w:val="24"/>
                <w:lang w:eastAsia="lv-LV"/>
              </w:rPr>
            </w:pPr>
          </w:p>
        </w:tc>
      </w:tr>
      <w:tr w:rsidR="00E5323B" w:rsidRPr="000252F9" w14:paraId="4C8076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F9CC3A" w14:textId="689A6DFE" w:rsidR="00655F2C" w:rsidRPr="000252F9" w:rsidRDefault="00655F2C" w:rsidP="000252F9">
            <w:pPr>
              <w:spacing w:after="0" w:line="240" w:lineRule="auto"/>
              <w:rPr>
                <w:rFonts w:ascii="Times New Roman" w:eastAsia="Times New Roman" w:hAnsi="Times New Roman" w:cs="Times New Roman"/>
                <w:iCs/>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61C900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0CF51C3" w14:textId="3CE5E22C" w:rsidR="00E5323B" w:rsidRPr="000252F9" w:rsidRDefault="00A74181"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Latvijas Antidopinga birojs</w:t>
            </w:r>
          </w:p>
        </w:tc>
      </w:tr>
      <w:tr w:rsidR="00E5323B" w:rsidRPr="000252F9" w14:paraId="1B9675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41F84E"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8DFBA61"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9FDE065" w14:textId="662F74C7" w:rsidR="00E5323B" w:rsidRPr="000252F9" w:rsidRDefault="00E5323B" w:rsidP="000252F9">
            <w:pPr>
              <w:spacing w:after="0" w:line="240" w:lineRule="auto"/>
              <w:rPr>
                <w:rFonts w:ascii="Times New Roman" w:eastAsia="Times New Roman" w:hAnsi="Times New Roman" w:cs="Times New Roman"/>
                <w:iCs/>
                <w:sz w:val="24"/>
                <w:szCs w:val="24"/>
                <w:lang w:eastAsia="lv-LV"/>
              </w:rPr>
            </w:pPr>
          </w:p>
        </w:tc>
      </w:tr>
    </w:tbl>
    <w:p w14:paraId="762B93E7"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29E9121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D5ECC6" w14:textId="77777777" w:rsidR="00655F2C" w:rsidRPr="000252F9" w:rsidRDefault="00E5323B" w:rsidP="000252F9">
            <w:pPr>
              <w:spacing w:after="0" w:line="240" w:lineRule="auto"/>
              <w:rPr>
                <w:rFonts w:ascii="Times New Roman" w:eastAsia="Times New Roman" w:hAnsi="Times New Roman" w:cs="Times New Roman"/>
                <w:b/>
                <w:bCs/>
                <w:iCs/>
                <w:sz w:val="24"/>
                <w:szCs w:val="24"/>
                <w:lang w:eastAsia="lv-LV"/>
              </w:rPr>
            </w:pPr>
            <w:r w:rsidRPr="000252F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412E8" w:rsidRPr="000252F9" w14:paraId="6BFF02DE"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8C67D" w14:textId="77777777"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939A96" w14:textId="77777777"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Sabiedrības </w:t>
            </w:r>
            <w:proofErr w:type="spellStart"/>
            <w:r w:rsidRPr="000252F9">
              <w:rPr>
                <w:rFonts w:ascii="Times New Roman" w:eastAsia="Times New Roman" w:hAnsi="Times New Roman" w:cs="Times New Roman"/>
                <w:iCs/>
                <w:sz w:val="24"/>
                <w:szCs w:val="24"/>
                <w:lang w:eastAsia="lv-LV"/>
              </w:rPr>
              <w:t>mērķgrupas</w:t>
            </w:r>
            <w:proofErr w:type="spellEnd"/>
            <w:r w:rsidRPr="000252F9">
              <w:rPr>
                <w:rFonts w:ascii="Times New Roman" w:eastAsia="Times New Roman" w:hAnsi="Times New Roman" w:cs="Times New Roman"/>
                <w:iCs/>
                <w:sz w:val="24"/>
                <w:szCs w:val="24"/>
                <w:lang w:eastAsia="lv-LV"/>
              </w:rPr>
              <w:t>, kuras tiesiskais regulējums ietekmē vai varētu ietekmēt</w:t>
            </w:r>
          </w:p>
        </w:tc>
        <w:tc>
          <w:tcPr>
            <w:tcW w:w="2961" w:type="pct"/>
            <w:tcBorders>
              <w:top w:val="outset" w:sz="6" w:space="0" w:color="auto"/>
              <w:left w:val="outset" w:sz="6" w:space="0" w:color="auto"/>
              <w:bottom w:val="outset" w:sz="6" w:space="0" w:color="auto"/>
              <w:right w:val="outset" w:sz="6" w:space="0" w:color="auto"/>
            </w:tcBorders>
            <w:hideMark/>
          </w:tcPr>
          <w:p w14:paraId="249E67C0" w14:textId="142BC47D"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hAnsi="Times New Roman" w:cs="Times New Roman"/>
                <w:sz w:val="24"/>
                <w:szCs w:val="24"/>
              </w:rPr>
              <w:t xml:space="preserve">Sportisti, sporta darbinieki, sportista vai sporta darbinieka sporta organizācijas, nepilngadīgo sportistu likumiskie pārstāvji, kā arī </w:t>
            </w:r>
            <w:r w:rsidR="00F26E63">
              <w:rPr>
                <w:rFonts w:ascii="Times New Roman" w:hAnsi="Times New Roman" w:cs="Times New Roman"/>
                <w:sz w:val="24"/>
                <w:szCs w:val="24"/>
              </w:rPr>
              <w:t>Latvijas Antidopinga b</w:t>
            </w:r>
            <w:r w:rsidRPr="000252F9">
              <w:rPr>
                <w:rFonts w:ascii="Times New Roman" w:hAnsi="Times New Roman" w:cs="Times New Roman"/>
                <w:sz w:val="24"/>
                <w:szCs w:val="24"/>
              </w:rPr>
              <w:t>iroja</w:t>
            </w:r>
            <w:r w:rsidR="00F26E63">
              <w:rPr>
                <w:rFonts w:ascii="Times New Roman" w:hAnsi="Times New Roman" w:cs="Times New Roman"/>
                <w:sz w:val="24"/>
                <w:szCs w:val="24"/>
              </w:rPr>
              <w:t xml:space="preserve"> (turpmāk – Birojs)</w:t>
            </w:r>
            <w:r w:rsidRPr="000252F9">
              <w:rPr>
                <w:rFonts w:ascii="Times New Roman" w:hAnsi="Times New Roman" w:cs="Times New Roman"/>
                <w:sz w:val="24"/>
                <w:szCs w:val="24"/>
              </w:rPr>
              <w:t xml:space="preserve"> darbinieki. </w:t>
            </w:r>
          </w:p>
        </w:tc>
      </w:tr>
      <w:tr w:rsidR="004412E8" w:rsidRPr="000252F9" w14:paraId="72BE77DB"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1E01D9" w14:textId="77777777"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739BDC4" w14:textId="77777777" w:rsidR="004412E8" w:rsidRPr="000252F9" w:rsidRDefault="004412E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Tiesiskā regulējuma ietekme uz tautsaimniecību un administratīvo slogu</w:t>
            </w:r>
          </w:p>
        </w:tc>
        <w:tc>
          <w:tcPr>
            <w:tcW w:w="2961" w:type="pct"/>
            <w:tcBorders>
              <w:top w:val="outset" w:sz="6" w:space="0" w:color="auto"/>
              <w:left w:val="outset" w:sz="6" w:space="0" w:color="auto"/>
              <w:bottom w:val="outset" w:sz="6" w:space="0" w:color="auto"/>
              <w:right w:val="outset" w:sz="6" w:space="0" w:color="auto"/>
            </w:tcBorders>
            <w:hideMark/>
          </w:tcPr>
          <w:p w14:paraId="2D320389" w14:textId="38457F5A" w:rsidR="004412E8" w:rsidRPr="000252F9" w:rsidRDefault="00FC734A" w:rsidP="000252F9">
            <w:pPr>
              <w:spacing w:after="0" w:line="240" w:lineRule="auto"/>
              <w:jc w:val="both"/>
              <w:rPr>
                <w:rFonts w:ascii="Times New Roman" w:eastAsia="Times New Roman" w:hAnsi="Times New Roman" w:cs="Times New Roman"/>
                <w:iCs/>
                <w:sz w:val="24"/>
                <w:szCs w:val="24"/>
                <w:lang w:eastAsia="lv-LV"/>
              </w:rPr>
            </w:pPr>
            <w:r w:rsidRPr="000252F9">
              <w:rPr>
                <w:rFonts w:ascii="Times New Roman" w:hAnsi="Times New Roman" w:cs="Times New Roman"/>
                <w:sz w:val="24"/>
                <w:szCs w:val="24"/>
              </w:rPr>
              <w:t xml:space="preserve">Likumprojektā </w:t>
            </w:r>
            <w:r w:rsidR="004412E8" w:rsidRPr="000252F9">
              <w:rPr>
                <w:rFonts w:ascii="Times New Roman" w:hAnsi="Times New Roman" w:cs="Times New Roman"/>
                <w:sz w:val="24"/>
                <w:szCs w:val="24"/>
              </w:rPr>
              <w:t xml:space="preserve">paredzētās normas </w:t>
            </w:r>
            <w:r w:rsidRPr="000252F9">
              <w:rPr>
                <w:rFonts w:ascii="Times New Roman" w:hAnsi="Times New Roman" w:cs="Times New Roman"/>
                <w:sz w:val="24"/>
                <w:szCs w:val="24"/>
              </w:rPr>
              <w:t xml:space="preserve">būtiski </w:t>
            </w:r>
            <w:r w:rsidR="004412E8" w:rsidRPr="000252F9">
              <w:rPr>
                <w:rFonts w:ascii="Times New Roman" w:hAnsi="Times New Roman" w:cs="Times New Roman"/>
                <w:sz w:val="24"/>
                <w:szCs w:val="24"/>
              </w:rPr>
              <w:t xml:space="preserve">nemainīs līdzšinējo kārtību, </w:t>
            </w:r>
            <w:r w:rsidRPr="000252F9">
              <w:rPr>
                <w:rFonts w:ascii="Times New Roman" w:hAnsi="Times New Roman" w:cs="Times New Roman"/>
                <w:sz w:val="24"/>
                <w:szCs w:val="24"/>
              </w:rPr>
              <w:t xml:space="preserve">jo tiek pārņemtas </w:t>
            </w:r>
            <w:r w:rsidR="003B5066">
              <w:rPr>
                <w:rFonts w:ascii="Times New Roman" w:hAnsi="Times New Roman" w:cs="Times New Roman"/>
                <w:sz w:val="24"/>
                <w:szCs w:val="24"/>
              </w:rPr>
              <w:t xml:space="preserve">papildinātā 2021.gada </w:t>
            </w:r>
            <w:r w:rsidRPr="000252F9">
              <w:rPr>
                <w:rFonts w:ascii="Times New Roman" w:hAnsi="Times New Roman" w:cs="Times New Roman"/>
                <w:sz w:val="24"/>
                <w:szCs w:val="24"/>
              </w:rPr>
              <w:t>Kodeksa</w:t>
            </w:r>
            <w:r w:rsidR="003B5066">
              <w:rPr>
                <w:rFonts w:ascii="Times New Roman" w:hAnsi="Times New Roman" w:cs="Times New Roman"/>
                <w:sz w:val="24"/>
                <w:szCs w:val="24"/>
              </w:rPr>
              <w:t xml:space="preserve"> un grozīto Starptautisko standartu</w:t>
            </w:r>
            <w:r w:rsidRPr="000252F9">
              <w:rPr>
                <w:rFonts w:ascii="Times New Roman" w:hAnsi="Times New Roman" w:cs="Times New Roman"/>
                <w:sz w:val="24"/>
                <w:szCs w:val="24"/>
              </w:rPr>
              <w:t xml:space="preserve"> </w:t>
            </w:r>
            <w:r w:rsidR="004412E8" w:rsidRPr="000252F9">
              <w:rPr>
                <w:rFonts w:ascii="Times New Roman" w:hAnsi="Times New Roman" w:cs="Times New Roman"/>
                <w:sz w:val="24"/>
                <w:szCs w:val="24"/>
              </w:rPr>
              <w:t>normas attiecībā uz sportistu un sporta darbinieku antidopinga noteikumu pārkāpum</w:t>
            </w:r>
            <w:r w:rsidR="002C53BE" w:rsidRPr="000252F9">
              <w:rPr>
                <w:rFonts w:ascii="Times New Roman" w:hAnsi="Times New Roman" w:cs="Times New Roman"/>
                <w:sz w:val="24"/>
                <w:szCs w:val="24"/>
              </w:rPr>
              <w:t>u novēršan</w:t>
            </w:r>
            <w:r w:rsidR="00F26E63">
              <w:rPr>
                <w:rFonts w:ascii="Times New Roman" w:hAnsi="Times New Roman" w:cs="Times New Roman"/>
                <w:sz w:val="24"/>
                <w:szCs w:val="24"/>
              </w:rPr>
              <w:t>as</w:t>
            </w:r>
            <w:r w:rsidR="002C53BE" w:rsidRPr="000252F9">
              <w:rPr>
                <w:rFonts w:ascii="Times New Roman" w:hAnsi="Times New Roman" w:cs="Times New Roman"/>
                <w:sz w:val="24"/>
                <w:szCs w:val="24"/>
              </w:rPr>
              <w:t xml:space="preserve"> un izmeklēšan</w:t>
            </w:r>
            <w:r w:rsidR="00F26E63">
              <w:rPr>
                <w:rFonts w:ascii="Times New Roman" w:hAnsi="Times New Roman" w:cs="Times New Roman"/>
                <w:sz w:val="24"/>
                <w:szCs w:val="24"/>
              </w:rPr>
              <w:t>as kārtību</w:t>
            </w:r>
            <w:r w:rsidR="004412E8" w:rsidRPr="000252F9">
              <w:rPr>
                <w:rFonts w:ascii="Times New Roman" w:hAnsi="Times New Roman" w:cs="Times New Roman"/>
                <w:sz w:val="24"/>
                <w:szCs w:val="24"/>
              </w:rPr>
              <w:t xml:space="preserve">, kas tiek izmantoti Biroja darbā. </w:t>
            </w:r>
            <w:r w:rsidR="00AF1D7C" w:rsidRPr="000252F9">
              <w:rPr>
                <w:rFonts w:ascii="Times New Roman" w:hAnsi="Times New Roman" w:cs="Times New Roman"/>
                <w:sz w:val="24"/>
                <w:szCs w:val="24"/>
              </w:rPr>
              <w:t xml:space="preserve">Saskaņā ar iespējām Birojam pieņemt lēmumus un noslēgt vienošanās, konstatējot antidopinga noteikumu pārkāpumus, paredzams mazāks </w:t>
            </w:r>
            <w:r w:rsidR="00F26E63">
              <w:rPr>
                <w:rFonts w:ascii="Times New Roman" w:hAnsi="Times New Roman" w:cs="Times New Roman"/>
                <w:sz w:val="24"/>
                <w:szCs w:val="24"/>
              </w:rPr>
              <w:t xml:space="preserve">Biroja </w:t>
            </w:r>
            <w:r w:rsidR="00AF1D7C" w:rsidRPr="000252F9">
              <w:rPr>
                <w:rFonts w:ascii="Times New Roman" w:hAnsi="Times New Roman" w:cs="Times New Roman"/>
                <w:sz w:val="24"/>
                <w:szCs w:val="24"/>
              </w:rPr>
              <w:t>budžeta izlietojums komisiju darbam un šī budžeta novirzīšana sabiedrības izglītošanai antidopinga jautājumos.</w:t>
            </w:r>
          </w:p>
        </w:tc>
      </w:tr>
      <w:tr w:rsidR="004412E8" w:rsidRPr="000252F9" w14:paraId="2F93205E"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090BA4"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6104874"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Administratīvo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79B8549E" w14:textId="40578914" w:rsidR="00E5323B" w:rsidRPr="000252F9" w:rsidRDefault="002C53BE"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Nav attiecināms </w:t>
            </w:r>
          </w:p>
        </w:tc>
      </w:tr>
      <w:tr w:rsidR="004412E8" w:rsidRPr="000252F9" w14:paraId="2F7F94C2"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4D9070"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CAAEDC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Atbilstības izmaksu monetārs novērtējums</w:t>
            </w:r>
          </w:p>
        </w:tc>
        <w:tc>
          <w:tcPr>
            <w:tcW w:w="2961" w:type="pct"/>
            <w:tcBorders>
              <w:top w:val="outset" w:sz="6" w:space="0" w:color="auto"/>
              <w:left w:val="outset" w:sz="6" w:space="0" w:color="auto"/>
              <w:bottom w:val="outset" w:sz="6" w:space="0" w:color="auto"/>
              <w:right w:val="outset" w:sz="6" w:space="0" w:color="auto"/>
            </w:tcBorders>
            <w:hideMark/>
          </w:tcPr>
          <w:p w14:paraId="5471DEDD" w14:textId="08E7267C" w:rsidR="00E5323B" w:rsidRPr="000252F9" w:rsidRDefault="002C53BE"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Nav attiecināms</w:t>
            </w:r>
          </w:p>
        </w:tc>
      </w:tr>
      <w:tr w:rsidR="004412E8" w:rsidRPr="000252F9" w14:paraId="579A1DB2" w14:textId="77777777" w:rsidTr="004412E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C7AB376"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439FAB"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F5128E1" w14:textId="002B49FD" w:rsidR="00E5323B" w:rsidRPr="000252F9" w:rsidRDefault="00E5323B" w:rsidP="000252F9">
            <w:pPr>
              <w:spacing w:after="0" w:line="240" w:lineRule="auto"/>
              <w:rPr>
                <w:rFonts w:ascii="Times New Roman" w:eastAsia="Times New Roman" w:hAnsi="Times New Roman" w:cs="Times New Roman"/>
                <w:iCs/>
                <w:sz w:val="24"/>
                <w:szCs w:val="24"/>
                <w:lang w:eastAsia="lv-LV"/>
              </w:rPr>
            </w:pPr>
          </w:p>
        </w:tc>
      </w:tr>
    </w:tbl>
    <w:p w14:paraId="4E722D53" w14:textId="0343F492" w:rsidR="00E5323B"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  </w:t>
      </w:r>
    </w:p>
    <w:p w14:paraId="610A48D9" w14:textId="6299956F" w:rsidR="00621F55" w:rsidRDefault="00621F55" w:rsidP="000252F9">
      <w:pPr>
        <w:spacing w:after="0" w:line="240" w:lineRule="auto"/>
        <w:rPr>
          <w:rFonts w:ascii="Times New Roman" w:eastAsia="Times New Roman" w:hAnsi="Times New Roman" w:cs="Times New Roman"/>
          <w:iCs/>
          <w:sz w:val="24"/>
          <w:szCs w:val="24"/>
          <w:lang w:eastAsia="lv-LV"/>
        </w:rPr>
      </w:pPr>
    </w:p>
    <w:p w14:paraId="3906A3AF" w14:textId="25D4FC21" w:rsidR="00621F55" w:rsidRPr="00621F55" w:rsidRDefault="00621F55" w:rsidP="000252F9">
      <w:pPr>
        <w:spacing w:after="0" w:line="240" w:lineRule="auto"/>
        <w:rPr>
          <w:rFonts w:ascii="Times New Roman" w:eastAsia="Times New Roman" w:hAnsi="Times New Roman" w:cs="Times New Roman"/>
          <w:b/>
          <w:bCs/>
          <w:iCs/>
          <w:sz w:val="24"/>
          <w:szCs w:val="24"/>
          <w:lang w:eastAsia="lv-LV"/>
        </w:rPr>
      </w:pPr>
      <w:r w:rsidRPr="00621F55">
        <w:rPr>
          <w:rFonts w:ascii="Times New Roman" w:eastAsia="Times New Roman" w:hAnsi="Times New Roman" w:cs="Times New Roman"/>
          <w:b/>
          <w:bCs/>
          <w:iCs/>
          <w:sz w:val="24"/>
          <w:szCs w:val="24"/>
          <w:lang w:eastAsia="lv-LV"/>
        </w:rPr>
        <w:lastRenderedPageBreak/>
        <w:t>III. Tiesību akta projekta ietekme uz valsts budžetu un pašvaldību budžetiem – Nav attiecināma</w:t>
      </w:r>
    </w:p>
    <w:p w14:paraId="6EC11229"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5F12901" w14:textId="77777777" w:rsidTr="001A16A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E2AC19"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E5323B" w:rsidRPr="000252F9" w14:paraId="50C4DE34"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BED0D1"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65DF0BD"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37363D2B" w14:textId="0B35D9A0" w:rsidR="00334AEF" w:rsidRPr="000252F9" w:rsidRDefault="00E87CF8"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Likumprojekt</w:t>
            </w:r>
            <w:r w:rsidR="00334AEF" w:rsidRPr="000252F9">
              <w:rPr>
                <w:rFonts w:ascii="Times New Roman" w:eastAsia="Times New Roman" w:hAnsi="Times New Roman" w:cs="Times New Roman"/>
                <w:iCs/>
                <w:sz w:val="24"/>
                <w:szCs w:val="24"/>
                <w:lang w:eastAsia="lv-LV"/>
              </w:rPr>
              <w:t>s</w:t>
            </w:r>
            <w:r w:rsidRPr="000252F9">
              <w:rPr>
                <w:rFonts w:ascii="Times New Roman" w:eastAsia="Times New Roman" w:hAnsi="Times New Roman" w:cs="Times New Roman"/>
                <w:iCs/>
                <w:sz w:val="24"/>
                <w:szCs w:val="24"/>
                <w:lang w:eastAsia="lv-LV"/>
              </w:rPr>
              <w:t xml:space="preserve"> </w:t>
            </w:r>
            <w:r w:rsidR="00FC734A" w:rsidRPr="000252F9">
              <w:rPr>
                <w:rFonts w:ascii="Times New Roman" w:eastAsia="Times New Roman" w:hAnsi="Times New Roman" w:cs="Times New Roman"/>
                <w:iCs/>
                <w:sz w:val="24"/>
                <w:szCs w:val="24"/>
                <w:lang w:eastAsia="lv-LV"/>
              </w:rPr>
              <w:t>ir saistīts ar</w:t>
            </w:r>
            <w:r w:rsidR="00334AEF" w:rsidRPr="000252F9">
              <w:rPr>
                <w:rFonts w:ascii="Times New Roman" w:eastAsia="Times New Roman" w:hAnsi="Times New Roman" w:cs="Times New Roman"/>
                <w:iCs/>
                <w:sz w:val="24"/>
                <w:szCs w:val="24"/>
                <w:lang w:eastAsia="lv-LV"/>
              </w:rPr>
              <w:t>ī ar citu</w:t>
            </w:r>
            <w:r w:rsidR="00FC734A" w:rsidRPr="000252F9">
              <w:rPr>
                <w:rFonts w:ascii="Times New Roman" w:eastAsia="Times New Roman" w:hAnsi="Times New Roman" w:cs="Times New Roman"/>
                <w:iCs/>
                <w:sz w:val="24"/>
                <w:szCs w:val="24"/>
                <w:lang w:eastAsia="lv-LV"/>
              </w:rPr>
              <w:t xml:space="preserve"> </w:t>
            </w:r>
            <w:r w:rsidR="00220DF5" w:rsidRPr="000252F9">
              <w:rPr>
                <w:rFonts w:ascii="Times New Roman" w:eastAsia="Times New Roman" w:hAnsi="Times New Roman" w:cs="Times New Roman"/>
                <w:iCs/>
                <w:sz w:val="24"/>
                <w:szCs w:val="24"/>
                <w:lang w:eastAsia="lv-LV"/>
              </w:rPr>
              <w:t xml:space="preserve">noteikumu projektu </w:t>
            </w:r>
            <w:r w:rsidR="00334AEF" w:rsidRPr="000252F9">
              <w:rPr>
                <w:rFonts w:ascii="Times New Roman" w:eastAsia="Times New Roman" w:hAnsi="Times New Roman" w:cs="Times New Roman"/>
                <w:iCs/>
                <w:sz w:val="24"/>
                <w:szCs w:val="24"/>
                <w:lang w:eastAsia="lv-LV"/>
              </w:rPr>
              <w:t>izstrādi, lai ieviestu</w:t>
            </w:r>
            <w:r w:rsidR="003B5066">
              <w:rPr>
                <w:rFonts w:ascii="Times New Roman" w:eastAsia="Times New Roman" w:hAnsi="Times New Roman" w:cs="Times New Roman"/>
                <w:iCs/>
                <w:sz w:val="24"/>
                <w:szCs w:val="24"/>
                <w:lang w:eastAsia="lv-LV"/>
              </w:rPr>
              <w:t xml:space="preserve"> 2021.gada</w:t>
            </w:r>
            <w:r w:rsidR="00334AEF" w:rsidRPr="000252F9">
              <w:rPr>
                <w:rFonts w:ascii="Times New Roman" w:eastAsia="Times New Roman" w:hAnsi="Times New Roman" w:cs="Times New Roman"/>
                <w:iCs/>
                <w:sz w:val="24"/>
                <w:szCs w:val="24"/>
                <w:lang w:eastAsia="lv-LV"/>
              </w:rPr>
              <w:t xml:space="preserve"> Kodeksā minētās prasības:</w:t>
            </w:r>
          </w:p>
          <w:p w14:paraId="3709A1ED" w14:textId="0E9625DA" w:rsidR="003B5066" w:rsidRPr="003B5066" w:rsidRDefault="003B5066" w:rsidP="003B5066">
            <w:pPr>
              <w:pStyle w:val="ListParagraph"/>
              <w:numPr>
                <w:ilvl w:val="0"/>
                <w:numId w:val="1"/>
              </w:num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Grozījumi </w:t>
            </w:r>
            <w:r w:rsidRPr="003B5066">
              <w:rPr>
                <w:rFonts w:ascii="Times New Roman" w:eastAsia="Times New Roman" w:hAnsi="Times New Roman" w:cs="Times New Roman"/>
                <w:iCs/>
                <w:sz w:val="24"/>
                <w:szCs w:val="24"/>
                <w:lang w:eastAsia="lv-LV"/>
              </w:rPr>
              <w:t>Ministru kabineta 2019.gada 24.septembra noteikumi</w:t>
            </w:r>
            <w:r>
              <w:rPr>
                <w:rFonts w:ascii="Times New Roman" w:eastAsia="Times New Roman" w:hAnsi="Times New Roman" w:cs="Times New Roman"/>
                <w:iCs/>
                <w:sz w:val="24"/>
                <w:szCs w:val="24"/>
                <w:lang w:eastAsia="lv-LV"/>
              </w:rPr>
              <w:t>os</w:t>
            </w:r>
            <w:r w:rsidRPr="003B5066">
              <w:rPr>
                <w:rFonts w:ascii="Times New Roman" w:eastAsia="Times New Roman" w:hAnsi="Times New Roman" w:cs="Times New Roman"/>
                <w:iCs/>
                <w:sz w:val="24"/>
                <w:szCs w:val="24"/>
                <w:lang w:eastAsia="lv-LV"/>
              </w:rPr>
              <w:t xml:space="preserve">Nr.448 "Nacionālie antidopinga noteikumi" </w:t>
            </w:r>
            <w:r>
              <w:rPr>
                <w:rFonts w:ascii="Times New Roman" w:eastAsia="Times New Roman" w:hAnsi="Times New Roman" w:cs="Times New Roman"/>
                <w:iCs/>
                <w:sz w:val="24"/>
                <w:szCs w:val="24"/>
                <w:lang w:eastAsia="lv-LV"/>
              </w:rPr>
              <w:t>;</w:t>
            </w:r>
          </w:p>
          <w:p w14:paraId="2EE667BD" w14:textId="77777777" w:rsidR="003A1CC1" w:rsidRDefault="003B5066" w:rsidP="0030340E">
            <w:pPr>
              <w:pStyle w:val="ListParagraph"/>
              <w:numPr>
                <w:ilvl w:val="0"/>
                <w:numId w:val="1"/>
              </w:num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Grozījumi</w:t>
            </w:r>
            <w:r w:rsidR="009F07B4">
              <w:rPr>
                <w:rFonts w:ascii="Times New Roman" w:eastAsia="Times New Roman" w:hAnsi="Times New Roman" w:cs="Times New Roman"/>
                <w:iCs/>
                <w:sz w:val="24"/>
                <w:szCs w:val="24"/>
                <w:lang w:eastAsia="lv-LV"/>
              </w:rPr>
              <w:t xml:space="preserve"> </w:t>
            </w:r>
            <w:r w:rsidRPr="003B5066">
              <w:rPr>
                <w:rFonts w:ascii="Times New Roman" w:eastAsia="Times New Roman" w:hAnsi="Times New Roman" w:cs="Times New Roman"/>
                <w:iCs/>
                <w:sz w:val="24"/>
                <w:szCs w:val="24"/>
                <w:lang w:eastAsia="lv-LV"/>
              </w:rPr>
              <w:t>Ministru kabineta 2018.gada 26.jūnija noteikum</w:t>
            </w:r>
            <w:r>
              <w:rPr>
                <w:rFonts w:ascii="Times New Roman" w:eastAsia="Times New Roman" w:hAnsi="Times New Roman" w:cs="Times New Roman"/>
                <w:iCs/>
                <w:sz w:val="24"/>
                <w:szCs w:val="24"/>
                <w:lang w:eastAsia="lv-LV"/>
              </w:rPr>
              <w:t xml:space="preserve">os </w:t>
            </w:r>
            <w:r w:rsidRPr="003B5066">
              <w:rPr>
                <w:rFonts w:ascii="Times New Roman" w:eastAsia="Times New Roman" w:hAnsi="Times New Roman" w:cs="Times New Roman"/>
                <w:iCs/>
                <w:sz w:val="24"/>
                <w:szCs w:val="24"/>
                <w:lang w:eastAsia="lv-LV"/>
              </w:rPr>
              <w:t xml:space="preserve">Nr.377 "Latvijas Antidopinga biroja nolikums" </w:t>
            </w:r>
            <w:r w:rsidR="0030340E">
              <w:rPr>
                <w:rFonts w:ascii="Times New Roman" w:eastAsia="Times New Roman" w:hAnsi="Times New Roman" w:cs="Times New Roman"/>
                <w:iCs/>
                <w:sz w:val="24"/>
                <w:szCs w:val="24"/>
                <w:lang w:eastAsia="lv-LV"/>
              </w:rPr>
              <w:t>.</w:t>
            </w:r>
          </w:p>
          <w:p w14:paraId="58ACF738" w14:textId="77777777" w:rsidR="00F26E63" w:rsidRPr="000F3AB1" w:rsidRDefault="00F26E63" w:rsidP="00E8619A">
            <w:pPr>
              <w:pStyle w:val="CommentText"/>
              <w:spacing w:after="0"/>
              <w:jc w:val="both"/>
              <w:rPr>
                <w:rFonts w:ascii="Times New Roman" w:hAnsi="Times New Roman" w:cs="Times New Roman"/>
                <w:sz w:val="24"/>
                <w:szCs w:val="24"/>
              </w:rPr>
            </w:pPr>
            <w:r w:rsidRPr="000F3AB1">
              <w:rPr>
                <w:rFonts w:ascii="Times New Roman" w:hAnsi="Times New Roman" w:cs="Times New Roman"/>
                <w:sz w:val="24"/>
                <w:szCs w:val="24"/>
              </w:rPr>
              <w:t xml:space="preserve">Grozījumus </w:t>
            </w:r>
            <w:r w:rsidRPr="000F3AB1">
              <w:rPr>
                <w:rFonts w:ascii="Times New Roman" w:eastAsia="Times New Roman" w:hAnsi="Times New Roman" w:cs="Times New Roman"/>
                <w:iCs/>
                <w:sz w:val="24"/>
                <w:szCs w:val="24"/>
                <w:lang w:eastAsia="lv-LV"/>
              </w:rPr>
              <w:t>Ministru kabineta 2019.gada 24.septembra noteikumos Nr.448 “Nacionālie antidopinga noteikumi” ir nepieciešams veikt, lai Latvijas normatīvais regulējums atbilstu 2021.gada Kodeksa prasībām un tajos tiktu iekļautas atsauces uz 2021.gada Kodeksa punktiem, kuru iekļaušana nacionālajos antidopinga noteikumos ir noteikta kā obligāta, kā arī atsauce uz 2021.gada Kodeksā izmantotajām definīcijām. Vienlaikus  grozījumi paredzētu iekļaut prasības saistībā ar dopinga kontroles veikšanu, Disciplinārās antidopinga komisijas un Pārsūdzības komisijas izskatāmo lietu kārtības izmaiņām un veikt citus grozījumus, kuru ir saistīti ar 2021.gada Kodeksa ievērošanas prasībām.</w:t>
            </w:r>
          </w:p>
          <w:p w14:paraId="6CE96497" w14:textId="7E950E3C" w:rsidR="00F26E63" w:rsidRPr="00F26E63" w:rsidRDefault="00F26E63" w:rsidP="00E8619A">
            <w:pPr>
              <w:spacing w:after="0" w:line="240" w:lineRule="auto"/>
              <w:jc w:val="both"/>
              <w:rPr>
                <w:rFonts w:ascii="Times New Roman" w:eastAsia="Times New Roman" w:hAnsi="Times New Roman" w:cs="Times New Roman"/>
                <w:iCs/>
                <w:sz w:val="24"/>
                <w:szCs w:val="24"/>
                <w:lang w:eastAsia="lv-LV"/>
              </w:rPr>
            </w:pPr>
            <w:r w:rsidRPr="000F3AB1">
              <w:rPr>
                <w:rFonts w:ascii="Times New Roman" w:eastAsia="Times New Roman" w:hAnsi="Times New Roman" w:cs="Times New Roman"/>
                <w:iCs/>
                <w:sz w:val="24"/>
                <w:szCs w:val="24"/>
                <w:lang w:eastAsia="lv-LV"/>
              </w:rPr>
              <w:t>Savukārt grozījumus Ministru kabineta 2018.gada 26.jūnija noteikumos Nr.377 “Latvijas Antidopinga biroja nolikums” nepieciešams veikt, lai norādītu, ka Birojs savā darbībā lēmumus pieņemšanā ir neatkarīgs no valdības un sporta jomas organizācijām.</w:t>
            </w:r>
          </w:p>
        </w:tc>
      </w:tr>
      <w:tr w:rsidR="00E5323B" w:rsidRPr="000252F9" w14:paraId="021171CF"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8D59B8"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8B79FBD"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677802D4" w14:textId="37D3B46C" w:rsidR="00E5323B"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Veselības ministrija </w:t>
            </w:r>
          </w:p>
        </w:tc>
      </w:tr>
      <w:tr w:rsidR="00E5323B" w:rsidRPr="000252F9" w14:paraId="7ECB7488" w14:textId="77777777" w:rsidTr="001A16A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247D02A" w14:textId="77777777" w:rsidR="00655F2C"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09BD6B"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B47A7A" w14:textId="7F276B85" w:rsidR="00E5323B" w:rsidRPr="000252F9" w:rsidRDefault="00E5323B" w:rsidP="000252F9">
            <w:pPr>
              <w:spacing w:after="0" w:line="240" w:lineRule="auto"/>
              <w:rPr>
                <w:rFonts w:ascii="Times New Roman" w:eastAsia="Times New Roman" w:hAnsi="Times New Roman" w:cs="Times New Roman"/>
                <w:iCs/>
                <w:color w:val="A6A6A6" w:themeColor="background1" w:themeShade="A6"/>
                <w:sz w:val="24"/>
                <w:szCs w:val="24"/>
                <w:lang w:eastAsia="lv-LV"/>
              </w:rPr>
            </w:pPr>
          </w:p>
        </w:tc>
      </w:tr>
    </w:tbl>
    <w:p w14:paraId="5E4279EB"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7D31F948" w14:textId="77777777" w:rsidTr="001A16A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4C1798"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1D1AFC" w:rsidRPr="000252F9" w14:paraId="5CF474B8"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3541E9" w14:textId="77777777" w:rsidR="001D1AFC" w:rsidRPr="000252F9" w:rsidRDefault="001D1AFC"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32E39C5" w14:textId="77777777" w:rsidR="001D1AFC" w:rsidRPr="000252F9" w:rsidRDefault="001D1AFC"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Saistības pret Eiropas Savienību</w:t>
            </w:r>
          </w:p>
        </w:tc>
        <w:tc>
          <w:tcPr>
            <w:tcW w:w="2961" w:type="pct"/>
            <w:tcBorders>
              <w:top w:val="outset" w:sz="6" w:space="0" w:color="auto"/>
              <w:left w:val="outset" w:sz="6" w:space="0" w:color="auto"/>
              <w:bottom w:val="outset" w:sz="6" w:space="0" w:color="auto"/>
              <w:right w:val="outset" w:sz="6" w:space="0" w:color="auto"/>
            </w:tcBorders>
            <w:hideMark/>
          </w:tcPr>
          <w:p w14:paraId="4F6B2843" w14:textId="703CE89E" w:rsidR="001D1AFC" w:rsidRPr="000252F9" w:rsidRDefault="001D1AFC" w:rsidP="00E8619A">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0252F9">
              <w:rPr>
                <w:rFonts w:ascii="Times New Roman" w:hAnsi="Times New Roman" w:cs="Times New Roman"/>
                <w:sz w:val="24"/>
                <w:szCs w:val="24"/>
              </w:rPr>
              <w:t>1989. gada 16.  novembra Eiropas Padomes Antidopinga konvencija Nr. 135</w:t>
            </w:r>
            <w:r w:rsidR="00D951B0" w:rsidRPr="000252F9">
              <w:rPr>
                <w:rFonts w:ascii="Times New Roman" w:hAnsi="Times New Roman" w:cs="Times New Roman"/>
                <w:sz w:val="24"/>
                <w:szCs w:val="24"/>
              </w:rPr>
              <w:t>, 200</w:t>
            </w:r>
            <w:r w:rsidR="00AF1D7C" w:rsidRPr="000252F9">
              <w:rPr>
                <w:rFonts w:ascii="Times New Roman" w:hAnsi="Times New Roman" w:cs="Times New Roman"/>
                <w:sz w:val="24"/>
                <w:szCs w:val="24"/>
              </w:rPr>
              <w:t>2</w:t>
            </w:r>
            <w:r w:rsidR="00D951B0" w:rsidRPr="000252F9">
              <w:rPr>
                <w:rFonts w:ascii="Times New Roman" w:hAnsi="Times New Roman" w:cs="Times New Roman"/>
                <w:sz w:val="24"/>
                <w:szCs w:val="24"/>
              </w:rPr>
              <w:t xml:space="preserve">.gada </w:t>
            </w:r>
            <w:r w:rsidR="00AF1D7C" w:rsidRPr="000252F9">
              <w:rPr>
                <w:rFonts w:ascii="Times New Roman" w:hAnsi="Times New Roman" w:cs="Times New Roman"/>
                <w:sz w:val="24"/>
                <w:szCs w:val="24"/>
              </w:rPr>
              <w:t>12.septembra</w:t>
            </w:r>
            <w:r w:rsidR="00D951B0" w:rsidRPr="000252F9">
              <w:rPr>
                <w:rFonts w:ascii="Times New Roman" w:hAnsi="Times New Roman" w:cs="Times New Roman"/>
                <w:sz w:val="24"/>
                <w:szCs w:val="24"/>
              </w:rPr>
              <w:t xml:space="preserve"> Antidopinga konvencijas papildprotokol</w:t>
            </w:r>
            <w:r w:rsidR="00AF1D7C" w:rsidRPr="000252F9">
              <w:rPr>
                <w:rFonts w:ascii="Times New Roman" w:hAnsi="Times New Roman" w:cs="Times New Roman"/>
                <w:sz w:val="24"/>
                <w:szCs w:val="24"/>
              </w:rPr>
              <w:t>s</w:t>
            </w:r>
            <w:r w:rsidR="00D951B0" w:rsidRPr="000252F9">
              <w:rPr>
                <w:rFonts w:ascii="Times New Roman" w:hAnsi="Times New Roman" w:cs="Times New Roman"/>
                <w:sz w:val="24"/>
                <w:szCs w:val="24"/>
              </w:rPr>
              <w:t>.</w:t>
            </w:r>
          </w:p>
        </w:tc>
      </w:tr>
      <w:tr w:rsidR="001D1AFC" w:rsidRPr="000252F9" w14:paraId="3BC70A78"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2EA3A4" w14:textId="77777777" w:rsidR="001D1AFC" w:rsidRPr="000252F9"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D489A86" w14:textId="77777777" w:rsidR="001D1AFC" w:rsidRPr="000252F9"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Citas starptautiskās saistības</w:t>
            </w:r>
          </w:p>
        </w:tc>
        <w:tc>
          <w:tcPr>
            <w:tcW w:w="2961" w:type="pct"/>
            <w:tcBorders>
              <w:top w:val="outset" w:sz="6" w:space="0" w:color="auto"/>
              <w:left w:val="outset" w:sz="6" w:space="0" w:color="auto"/>
              <w:bottom w:val="outset" w:sz="6" w:space="0" w:color="auto"/>
              <w:right w:val="outset" w:sz="6" w:space="0" w:color="auto"/>
            </w:tcBorders>
            <w:hideMark/>
          </w:tcPr>
          <w:p w14:paraId="655CFF9D" w14:textId="21B7128A" w:rsidR="001D1AFC" w:rsidRPr="000252F9" w:rsidRDefault="00220DF5" w:rsidP="000252F9">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0252F9">
              <w:rPr>
                <w:rFonts w:ascii="Times New Roman" w:hAnsi="Times New Roman" w:cs="Times New Roman"/>
                <w:sz w:val="24"/>
                <w:szCs w:val="24"/>
              </w:rPr>
              <w:t>Likum</w:t>
            </w:r>
            <w:r w:rsidR="001D1AFC" w:rsidRPr="000252F9">
              <w:rPr>
                <w:rFonts w:ascii="Times New Roman" w:hAnsi="Times New Roman" w:cs="Times New Roman"/>
                <w:sz w:val="24"/>
                <w:szCs w:val="24"/>
              </w:rPr>
              <w:t>projekt</w:t>
            </w:r>
            <w:r w:rsidR="006A64E3" w:rsidRPr="000252F9">
              <w:rPr>
                <w:rFonts w:ascii="Times New Roman" w:hAnsi="Times New Roman" w:cs="Times New Roman"/>
                <w:sz w:val="24"/>
                <w:szCs w:val="24"/>
              </w:rPr>
              <w:t>a izstrādē ir veiktas būtiskas konsultācijas ar Aģentūru</w:t>
            </w:r>
            <w:r w:rsidR="00E45403" w:rsidRPr="000252F9">
              <w:rPr>
                <w:rFonts w:ascii="Times New Roman" w:hAnsi="Times New Roman" w:cs="Times New Roman"/>
                <w:sz w:val="24"/>
                <w:szCs w:val="24"/>
              </w:rPr>
              <w:t>,</w:t>
            </w:r>
            <w:r w:rsidR="006A64E3" w:rsidRPr="000252F9">
              <w:rPr>
                <w:rFonts w:ascii="Times New Roman" w:hAnsi="Times New Roman" w:cs="Times New Roman"/>
                <w:sz w:val="24"/>
                <w:szCs w:val="24"/>
              </w:rPr>
              <w:t xml:space="preserve"> kuru laikā ir saņemti vairāki priekšlikumi un komentāri par</w:t>
            </w:r>
            <w:r w:rsidR="00E45403" w:rsidRPr="000252F9">
              <w:rPr>
                <w:rFonts w:ascii="Times New Roman" w:hAnsi="Times New Roman" w:cs="Times New Roman"/>
                <w:sz w:val="24"/>
                <w:szCs w:val="24"/>
              </w:rPr>
              <w:t xml:space="preserve"> nepieciešamajiem</w:t>
            </w:r>
            <w:r w:rsidR="006A64E3" w:rsidRPr="000252F9">
              <w:rPr>
                <w:rFonts w:ascii="Times New Roman" w:hAnsi="Times New Roman" w:cs="Times New Roman"/>
                <w:sz w:val="24"/>
                <w:szCs w:val="24"/>
              </w:rPr>
              <w:t xml:space="preserve"> grozījumiem</w:t>
            </w:r>
            <w:r w:rsidR="004B6F47">
              <w:rPr>
                <w:rFonts w:ascii="Times New Roman" w:hAnsi="Times New Roman" w:cs="Times New Roman"/>
                <w:sz w:val="24"/>
                <w:szCs w:val="24"/>
              </w:rPr>
              <w:t xml:space="preserve"> </w:t>
            </w:r>
            <w:r w:rsidR="006A64E3" w:rsidRPr="000252F9">
              <w:rPr>
                <w:rFonts w:ascii="Times New Roman" w:hAnsi="Times New Roman" w:cs="Times New Roman"/>
                <w:sz w:val="24"/>
                <w:szCs w:val="24"/>
              </w:rPr>
              <w:t xml:space="preserve">atbilstoši </w:t>
            </w:r>
            <w:r w:rsidR="00621F55">
              <w:rPr>
                <w:rFonts w:ascii="Times New Roman" w:hAnsi="Times New Roman" w:cs="Times New Roman"/>
                <w:sz w:val="24"/>
                <w:szCs w:val="24"/>
              </w:rPr>
              <w:t xml:space="preserve">2021.gada </w:t>
            </w:r>
            <w:r w:rsidR="006A64E3" w:rsidRPr="000252F9">
              <w:rPr>
                <w:rFonts w:ascii="Times New Roman" w:hAnsi="Times New Roman" w:cs="Times New Roman"/>
                <w:sz w:val="24"/>
                <w:szCs w:val="24"/>
              </w:rPr>
              <w:t xml:space="preserve">Kodeksam. Tostarp </w:t>
            </w:r>
            <w:r w:rsidR="0030340E">
              <w:rPr>
                <w:rFonts w:ascii="Times New Roman" w:hAnsi="Times New Roman" w:cs="Times New Roman"/>
                <w:sz w:val="24"/>
                <w:szCs w:val="24"/>
              </w:rPr>
              <w:t>ir</w:t>
            </w:r>
            <w:r w:rsidR="006A64E3" w:rsidRPr="000252F9">
              <w:rPr>
                <w:rFonts w:ascii="Times New Roman" w:hAnsi="Times New Roman" w:cs="Times New Roman"/>
                <w:sz w:val="24"/>
                <w:szCs w:val="24"/>
              </w:rPr>
              <w:t xml:space="preserve"> notiku</w:t>
            </w:r>
            <w:r w:rsidR="0030340E">
              <w:rPr>
                <w:rFonts w:ascii="Times New Roman" w:hAnsi="Times New Roman" w:cs="Times New Roman"/>
                <w:sz w:val="24"/>
                <w:szCs w:val="24"/>
              </w:rPr>
              <w:t>šas</w:t>
            </w:r>
            <w:r w:rsidR="006A64E3" w:rsidRPr="000252F9">
              <w:rPr>
                <w:rFonts w:ascii="Times New Roman" w:hAnsi="Times New Roman" w:cs="Times New Roman"/>
                <w:sz w:val="24"/>
                <w:szCs w:val="24"/>
              </w:rPr>
              <w:t xml:space="preserve"> </w:t>
            </w:r>
            <w:r w:rsidR="004B6F47">
              <w:rPr>
                <w:rFonts w:ascii="Times New Roman" w:hAnsi="Times New Roman" w:cs="Times New Roman"/>
                <w:sz w:val="24"/>
                <w:szCs w:val="24"/>
              </w:rPr>
              <w:t xml:space="preserve">vairākas </w:t>
            </w:r>
            <w:r w:rsidR="006A64E3" w:rsidRPr="000252F9">
              <w:rPr>
                <w:rFonts w:ascii="Times New Roman" w:hAnsi="Times New Roman" w:cs="Times New Roman"/>
                <w:sz w:val="24"/>
                <w:szCs w:val="24"/>
              </w:rPr>
              <w:t>video konference</w:t>
            </w:r>
            <w:r w:rsidR="0030340E">
              <w:rPr>
                <w:rFonts w:ascii="Times New Roman" w:hAnsi="Times New Roman" w:cs="Times New Roman"/>
                <w:sz w:val="24"/>
                <w:szCs w:val="24"/>
              </w:rPr>
              <w:t>s</w:t>
            </w:r>
            <w:r w:rsidR="006A64E3" w:rsidRPr="000252F9">
              <w:rPr>
                <w:rFonts w:ascii="Times New Roman" w:hAnsi="Times New Roman" w:cs="Times New Roman"/>
                <w:sz w:val="24"/>
                <w:szCs w:val="24"/>
              </w:rPr>
              <w:t>, kurā</w:t>
            </w:r>
            <w:r w:rsidR="0030340E">
              <w:rPr>
                <w:rFonts w:ascii="Times New Roman" w:hAnsi="Times New Roman" w:cs="Times New Roman"/>
                <w:sz w:val="24"/>
                <w:szCs w:val="24"/>
              </w:rPr>
              <w:t>s</w:t>
            </w:r>
            <w:r w:rsidR="006A64E3" w:rsidRPr="000252F9">
              <w:rPr>
                <w:rFonts w:ascii="Times New Roman" w:hAnsi="Times New Roman" w:cs="Times New Roman"/>
                <w:sz w:val="24"/>
                <w:szCs w:val="24"/>
              </w:rPr>
              <w:t xml:space="preserve"> tika diskutēts par Aģentūras priekšlikumie</w:t>
            </w:r>
            <w:r w:rsidR="00E8619A">
              <w:rPr>
                <w:rFonts w:ascii="Times New Roman" w:hAnsi="Times New Roman" w:cs="Times New Roman"/>
                <w:sz w:val="24"/>
                <w:szCs w:val="24"/>
              </w:rPr>
              <w:t>m</w:t>
            </w:r>
            <w:r w:rsidR="006A64E3" w:rsidRPr="000252F9">
              <w:rPr>
                <w:rFonts w:ascii="Times New Roman" w:hAnsi="Times New Roman" w:cs="Times New Roman"/>
                <w:sz w:val="24"/>
                <w:szCs w:val="24"/>
              </w:rPr>
              <w:t xml:space="preserve"> grozījumiem Latvijas </w:t>
            </w:r>
            <w:r w:rsidR="006A64E3" w:rsidRPr="000252F9">
              <w:rPr>
                <w:rFonts w:ascii="Times New Roman" w:hAnsi="Times New Roman" w:cs="Times New Roman"/>
                <w:sz w:val="24"/>
                <w:szCs w:val="24"/>
              </w:rPr>
              <w:lastRenderedPageBreak/>
              <w:t>likumdošanā, lai pārņemtu</w:t>
            </w:r>
            <w:r w:rsidR="00621F55">
              <w:rPr>
                <w:rFonts w:ascii="Times New Roman" w:hAnsi="Times New Roman" w:cs="Times New Roman"/>
                <w:sz w:val="24"/>
                <w:szCs w:val="24"/>
              </w:rPr>
              <w:t xml:space="preserve"> 2021.gada</w:t>
            </w:r>
            <w:r w:rsidR="006A64E3" w:rsidRPr="000252F9">
              <w:rPr>
                <w:rFonts w:ascii="Times New Roman" w:hAnsi="Times New Roman" w:cs="Times New Roman"/>
                <w:sz w:val="24"/>
                <w:szCs w:val="24"/>
              </w:rPr>
              <w:t xml:space="preserve"> Kodeksa prasības, kā arī sniegti skaidrojumi un papildu informācija, atbildot uz Aģentūras iesūtītajiem komentāriem. Birojs aktīvi darbojas, lai saskaņotu veicamos grozījumus ar Aģentūru, kura ir atbildīga par atbilstību Kodeksam izskatīšanu un lēmumu pieņemšanu.</w:t>
            </w:r>
            <w:r w:rsidR="00621F55">
              <w:rPr>
                <w:rFonts w:ascii="Times New Roman" w:hAnsi="Times New Roman" w:cs="Times New Roman"/>
                <w:sz w:val="24"/>
                <w:szCs w:val="24"/>
              </w:rPr>
              <w:t xml:space="preserve"> </w:t>
            </w:r>
            <w:r w:rsidR="003140A3" w:rsidRPr="000252F9">
              <w:rPr>
                <w:rFonts w:ascii="Times New Roman" w:hAnsi="Times New Roman" w:cs="Times New Roman"/>
                <w:sz w:val="24"/>
                <w:szCs w:val="24"/>
              </w:rPr>
              <w:t>Konsultāciju laikā d</w:t>
            </w:r>
            <w:r w:rsidR="001D1AFC" w:rsidRPr="000252F9">
              <w:rPr>
                <w:rFonts w:ascii="Times New Roman" w:hAnsi="Times New Roman" w:cs="Times New Roman"/>
                <w:sz w:val="24"/>
                <w:szCs w:val="24"/>
              </w:rPr>
              <w:t xml:space="preserve">aļa no saņemtajiem </w:t>
            </w:r>
            <w:r w:rsidRPr="000252F9">
              <w:rPr>
                <w:rFonts w:ascii="Times New Roman" w:hAnsi="Times New Roman" w:cs="Times New Roman"/>
                <w:sz w:val="24"/>
                <w:szCs w:val="24"/>
              </w:rPr>
              <w:t xml:space="preserve">Aģentūras </w:t>
            </w:r>
            <w:r w:rsidR="001D1AFC" w:rsidRPr="000252F9">
              <w:rPr>
                <w:rFonts w:ascii="Times New Roman" w:hAnsi="Times New Roman" w:cs="Times New Roman"/>
                <w:sz w:val="24"/>
                <w:szCs w:val="24"/>
              </w:rPr>
              <w:t xml:space="preserve">komentāriem </w:t>
            </w:r>
            <w:r w:rsidR="003140A3" w:rsidRPr="000252F9">
              <w:rPr>
                <w:rFonts w:ascii="Times New Roman" w:hAnsi="Times New Roman" w:cs="Times New Roman"/>
                <w:sz w:val="24"/>
                <w:szCs w:val="24"/>
              </w:rPr>
              <w:t>ir ņemti</w:t>
            </w:r>
            <w:r w:rsidR="001D1AFC" w:rsidRPr="000252F9">
              <w:rPr>
                <w:rFonts w:ascii="Times New Roman" w:hAnsi="Times New Roman" w:cs="Times New Roman"/>
                <w:sz w:val="24"/>
                <w:szCs w:val="24"/>
              </w:rPr>
              <w:t xml:space="preserve"> vērā</w:t>
            </w:r>
            <w:r w:rsidR="00621F55">
              <w:rPr>
                <w:rFonts w:ascii="Times New Roman" w:hAnsi="Times New Roman" w:cs="Times New Roman"/>
                <w:sz w:val="24"/>
                <w:szCs w:val="24"/>
              </w:rPr>
              <w:t xml:space="preserve"> </w:t>
            </w:r>
            <w:r w:rsidR="003140A3" w:rsidRPr="000252F9">
              <w:rPr>
                <w:rFonts w:ascii="Times New Roman" w:hAnsi="Times New Roman" w:cs="Times New Roman"/>
                <w:sz w:val="24"/>
                <w:szCs w:val="24"/>
              </w:rPr>
              <w:t>un iekļauti</w:t>
            </w:r>
            <w:r w:rsidR="00621F55">
              <w:rPr>
                <w:rFonts w:ascii="Times New Roman" w:hAnsi="Times New Roman" w:cs="Times New Roman"/>
                <w:sz w:val="24"/>
                <w:szCs w:val="24"/>
              </w:rPr>
              <w:t xml:space="preserve"> arī</w:t>
            </w:r>
            <w:r w:rsidR="003140A3" w:rsidRPr="000252F9">
              <w:rPr>
                <w:rFonts w:ascii="Times New Roman" w:hAnsi="Times New Roman" w:cs="Times New Roman"/>
                <w:sz w:val="24"/>
                <w:szCs w:val="24"/>
              </w:rPr>
              <w:t xml:space="preserve"> </w:t>
            </w:r>
            <w:r w:rsidR="004B6F47">
              <w:rPr>
                <w:rFonts w:ascii="Times New Roman" w:hAnsi="Times New Roman" w:cs="Times New Roman"/>
                <w:sz w:val="24"/>
                <w:szCs w:val="24"/>
              </w:rPr>
              <w:t>L</w:t>
            </w:r>
            <w:r w:rsidR="00E45403" w:rsidRPr="000252F9">
              <w:rPr>
                <w:rFonts w:ascii="Times New Roman" w:hAnsi="Times New Roman" w:cs="Times New Roman"/>
                <w:sz w:val="24"/>
                <w:szCs w:val="24"/>
              </w:rPr>
              <w:t xml:space="preserve">ikumprojektā. </w:t>
            </w:r>
          </w:p>
        </w:tc>
      </w:tr>
      <w:tr w:rsidR="001D1AFC" w:rsidRPr="000252F9" w14:paraId="33A7A10C" w14:textId="77777777" w:rsidTr="001A16A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E96EAA" w14:textId="77777777" w:rsidR="001D1AFC" w:rsidRPr="000252F9"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5F475E20" w14:textId="77777777" w:rsidR="001D1AFC" w:rsidRPr="000252F9" w:rsidRDefault="001D1AFC" w:rsidP="000252F9">
            <w:pPr>
              <w:spacing w:after="0" w:line="240" w:lineRule="auto"/>
              <w:jc w:val="both"/>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4FF2E0D1" w14:textId="3FF2F23F" w:rsidR="001D1AFC" w:rsidRPr="000252F9" w:rsidRDefault="001D1AFC" w:rsidP="000252F9">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0252F9">
              <w:rPr>
                <w:rFonts w:ascii="Times New Roman" w:hAnsi="Times New Roman" w:cs="Times New Roman"/>
                <w:sz w:val="24"/>
                <w:szCs w:val="24"/>
              </w:rPr>
              <w:t>1989. gada 16.  novembra Eiropas Padomes Antidopinga konvencijai Nr. 135.</w:t>
            </w:r>
            <w:r w:rsidR="00D951B0" w:rsidRPr="000252F9">
              <w:rPr>
                <w:rFonts w:ascii="Times New Roman" w:hAnsi="Times New Roman" w:cs="Times New Roman"/>
                <w:sz w:val="24"/>
                <w:szCs w:val="24"/>
              </w:rPr>
              <w:t xml:space="preserve"> 200</w:t>
            </w:r>
            <w:r w:rsidR="003140A3" w:rsidRPr="000252F9">
              <w:rPr>
                <w:rFonts w:ascii="Times New Roman" w:hAnsi="Times New Roman" w:cs="Times New Roman"/>
                <w:sz w:val="24"/>
                <w:szCs w:val="24"/>
              </w:rPr>
              <w:t>2</w:t>
            </w:r>
            <w:r w:rsidR="00D951B0" w:rsidRPr="000252F9">
              <w:rPr>
                <w:rFonts w:ascii="Times New Roman" w:hAnsi="Times New Roman" w:cs="Times New Roman"/>
                <w:sz w:val="24"/>
                <w:szCs w:val="24"/>
              </w:rPr>
              <w:t xml:space="preserve">.gada </w:t>
            </w:r>
            <w:r w:rsidR="003140A3" w:rsidRPr="000252F9">
              <w:rPr>
                <w:rFonts w:ascii="Times New Roman" w:hAnsi="Times New Roman" w:cs="Times New Roman"/>
                <w:sz w:val="24"/>
                <w:szCs w:val="24"/>
              </w:rPr>
              <w:t>12.septembra</w:t>
            </w:r>
            <w:r w:rsidR="00D951B0" w:rsidRPr="000252F9">
              <w:rPr>
                <w:rFonts w:ascii="Times New Roman" w:hAnsi="Times New Roman" w:cs="Times New Roman"/>
                <w:sz w:val="24"/>
                <w:szCs w:val="24"/>
              </w:rPr>
              <w:t xml:space="preserve"> Antidopinga konvencijas papildprotokol</w:t>
            </w:r>
            <w:r w:rsidR="003140A3" w:rsidRPr="000252F9">
              <w:rPr>
                <w:rFonts w:ascii="Times New Roman" w:hAnsi="Times New Roman" w:cs="Times New Roman"/>
                <w:sz w:val="24"/>
                <w:szCs w:val="24"/>
              </w:rPr>
              <w:t>s</w:t>
            </w:r>
            <w:r w:rsidR="00D951B0" w:rsidRPr="000252F9">
              <w:rPr>
                <w:rFonts w:ascii="Times New Roman" w:hAnsi="Times New Roman" w:cs="Times New Roman"/>
                <w:sz w:val="24"/>
                <w:szCs w:val="24"/>
              </w:rPr>
              <w:t>,</w:t>
            </w:r>
            <w:r w:rsidR="006A64E3" w:rsidRPr="000252F9">
              <w:rPr>
                <w:rFonts w:ascii="Times New Roman" w:hAnsi="Times New Roman" w:cs="Times New Roman"/>
                <w:sz w:val="24"/>
                <w:szCs w:val="24"/>
              </w:rPr>
              <w:t xml:space="preserve"> </w:t>
            </w:r>
            <w:r w:rsidR="00621F55">
              <w:rPr>
                <w:rFonts w:ascii="Times New Roman" w:hAnsi="Times New Roman" w:cs="Times New Roman"/>
                <w:sz w:val="24"/>
                <w:szCs w:val="24"/>
              </w:rPr>
              <w:t xml:space="preserve">Starptautiskie standarti - </w:t>
            </w:r>
            <w:r w:rsidR="00D951B0" w:rsidRPr="000252F9">
              <w:rPr>
                <w:rFonts w:ascii="Times New Roman" w:hAnsi="Times New Roman" w:cs="Times New Roman"/>
                <w:sz w:val="24"/>
                <w:szCs w:val="24"/>
              </w:rPr>
              <w:t>Pārbaužu un izmeklējumu starptautiskais standarts</w:t>
            </w:r>
            <w:r w:rsidR="006A64E3" w:rsidRPr="000252F9">
              <w:rPr>
                <w:rFonts w:ascii="Times New Roman" w:hAnsi="Times New Roman" w:cs="Times New Roman"/>
                <w:sz w:val="24"/>
                <w:szCs w:val="24"/>
              </w:rPr>
              <w:t xml:space="preserve">, </w:t>
            </w:r>
            <w:r w:rsidR="00D951B0" w:rsidRPr="000252F9">
              <w:rPr>
                <w:rFonts w:ascii="Times New Roman" w:hAnsi="Times New Roman" w:cs="Times New Roman"/>
                <w:sz w:val="24"/>
                <w:szCs w:val="24"/>
              </w:rPr>
              <w:t>Terapeitiskās lietošanas atļaujas starptautiskais standarts, Starptautiskais rezultātu pārvaldības standarts, Aizliegto vielu un metožu starptautiskais standarts, Parakstītāju starptautiskais kodeksa ievērošanas standarts, Starptautiskais izglītības standarts, Laboratoriju starptautiskais standarts, Starptautiskais privātuma un personas datu aizsardzības standarts.</w:t>
            </w:r>
          </w:p>
        </w:tc>
      </w:tr>
    </w:tbl>
    <w:p w14:paraId="40DA0B26"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3"/>
        <w:gridCol w:w="2249"/>
        <w:gridCol w:w="1006"/>
        <w:gridCol w:w="1273"/>
        <w:gridCol w:w="2264"/>
      </w:tblGrid>
      <w:tr w:rsidR="00E5323B" w:rsidRPr="000252F9" w14:paraId="48D91004"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7EA76B7" w14:textId="77777777" w:rsidR="00655F2C" w:rsidRPr="000252F9" w:rsidRDefault="00E5323B" w:rsidP="000252F9">
            <w:pPr>
              <w:spacing w:after="0" w:line="240" w:lineRule="auto"/>
              <w:rPr>
                <w:rFonts w:ascii="Times New Roman" w:eastAsia="Times New Roman" w:hAnsi="Times New Roman" w:cs="Times New Roman"/>
                <w:b/>
                <w:bCs/>
                <w:iCs/>
                <w:sz w:val="24"/>
                <w:szCs w:val="24"/>
                <w:lang w:eastAsia="lv-LV"/>
              </w:rPr>
            </w:pPr>
            <w:r w:rsidRPr="000252F9">
              <w:rPr>
                <w:rFonts w:ascii="Times New Roman" w:eastAsia="Times New Roman" w:hAnsi="Times New Roman" w:cs="Times New Roman"/>
                <w:b/>
                <w:bCs/>
                <w:iCs/>
                <w:sz w:val="24"/>
                <w:szCs w:val="24"/>
                <w:lang w:eastAsia="lv-LV"/>
              </w:rPr>
              <w:t>1. tabula</w:t>
            </w:r>
            <w:r w:rsidRPr="000252F9">
              <w:rPr>
                <w:rFonts w:ascii="Times New Roman" w:eastAsia="Times New Roman" w:hAnsi="Times New Roman" w:cs="Times New Roman"/>
                <w:b/>
                <w:bCs/>
                <w:iCs/>
                <w:sz w:val="24"/>
                <w:szCs w:val="24"/>
                <w:lang w:eastAsia="lv-LV"/>
              </w:rPr>
              <w:br/>
              <w:t>Tiesību akta projekta atbilstība ES tiesību aktiem</w:t>
            </w:r>
          </w:p>
        </w:tc>
      </w:tr>
      <w:tr w:rsidR="00E5323B" w:rsidRPr="000252F9" w14:paraId="30981A41"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A483282"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Attiecīgā ES tiesību akta datums, numurs un nosaukums</w:t>
            </w:r>
          </w:p>
        </w:tc>
        <w:tc>
          <w:tcPr>
            <w:tcW w:w="3750" w:type="pct"/>
            <w:gridSpan w:val="4"/>
            <w:tcBorders>
              <w:top w:val="outset" w:sz="6" w:space="0" w:color="auto"/>
              <w:left w:val="outset" w:sz="6" w:space="0" w:color="auto"/>
              <w:bottom w:val="outset" w:sz="6" w:space="0" w:color="auto"/>
              <w:right w:val="outset" w:sz="6" w:space="0" w:color="auto"/>
            </w:tcBorders>
            <w:hideMark/>
          </w:tcPr>
          <w:p w14:paraId="4EC682E3" w14:textId="65BA6C7F" w:rsidR="00E5323B" w:rsidRPr="000252F9" w:rsidRDefault="001D1AFC" w:rsidP="000252F9">
            <w:pPr>
              <w:spacing w:after="0" w:line="240" w:lineRule="auto"/>
              <w:rPr>
                <w:rFonts w:ascii="Times New Roman" w:eastAsia="Times New Roman" w:hAnsi="Times New Roman" w:cs="Times New Roman"/>
                <w:iCs/>
                <w:color w:val="A6A6A6" w:themeColor="background1" w:themeShade="A6"/>
                <w:sz w:val="24"/>
                <w:szCs w:val="24"/>
                <w:lang w:eastAsia="lv-LV"/>
              </w:rPr>
            </w:pPr>
            <w:r w:rsidRPr="000252F9">
              <w:rPr>
                <w:rFonts w:ascii="Times New Roman" w:hAnsi="Times New Roman" w:cs="Times New Roman"/>
                <w:sz w:val="24"/>
                <w:szCs w:val="24"/>
              </w:rPr>
              <w:t xml:space="preserve">2005.gada 19.oktobra Starptautiskās konvencijas pret dopingu sportā 1. </w:t>
            </w:r>
            <w:r w:rsidRPr="000252F9">
              <w:rPr>
                <w:rFonts w:ascii="Times New Roman" w:hAnsi="Times New Roman" w:cs="Times New Roman"/>
                <w:sz w:val="24"/>
                <w:szCs w:val="24"/>
                <w:shd w:val="clear" w:color="auto" w:fill="FFFFFF"/>
              </w:rPr>
              <w:t>papildinājums</w:t>
            </w:r>
            <w:r w:rsidR="00621F55">
              <w:rPr>
                <w:rFonts w:ascii="Times New Roman" w:hAnsi="Times New Roman" w:cs="Times New Roman"/>
                <w:sz w:val="24"/>
                <w:szCs w:val="24"/>
                <w:shd w:val="clear" w:color="auto" w:fill="FFFFFF"/>
              </w:rPr>
              <w:t>,</w:t>
            </w:r>
            <w:r w:rsidRPr="000252F9">
              <w:rPr>
                <w:rFonts w:ascii="Times New Roman" w:hAnsi="Times New Roman" w:cs="Times New Roman"/>
                <w:sz w:val="24"/>
                <w:szCs w:val="24"/>
                <w:shd w:val="clear" w:color="auto" w:fill="FFFFFF"/>
              </w:rPr>
              <w:t xml:space="preserve"> Pasaules</w:t>
            </w:r>
            <w:r w:rsidR="00621F55">
              <w:rPr>
                <w:rFonts w:ascii="Times New Roman" w:hAnsi="Times New Roman" w:cs="Times New Roman"/>
                <w:sz w:val="24"/>
                <w:szCs w:val="24"/>
                <w:shd w:val="clear" w:color="auto" w:fill="FFFFFF"/>
              </w:rPr>
              <w:t xml:space="preserve"> A</w:t>
            </w:r>
            <w:r w:rsidRPr="000252F9">
              <w:rPr>
                <w:rFonts w:ascii="Times New Roman" w:hAnsi="Times New Roman" w:cs="Times New Roman"/>
                <w:sz w:val="24"/>
                <w:szCs w:val="24"/>
                <w:shd w:val="clear" w:color="auto" w:fill="FFFFFF"/>
              </w:rPr>
              <w:t>ntidopinga aģentūras Pasaules Antidopinga kodekss</w:t>
            </w:r>
            <w:r w:rsidR="003140A3" w:rsidRPr="000252F9">
              <w:rPr>
                <w:rFonts w:ascii="Times New Roman" w:hAnsi="Times New Roman" w:cs="Times New Roman"/>
                <w:sz w:val="24"/>
                <w:szCs w:val="24"/>
                <w:shd w:val="clear" w:color="auto" w:fill="FFFFFF"/>
              </w:rPr>
              <w:t xml:space="preserve"> ar grozījumiem, kuri stāsies spēkā 2021.gada </w:t>
            </w:r>
            <w:r w:rsidR="00621F55">
              <w:rPr>
                <w:rFonts w:ascii="Times New Roman" w:hAnsi="Times New Roman" w:cs="Times New Roman"/>
                <w:sz w:val="24"/>
                <w:szCs w:val="24"/>
                <w:shd w:val="clear" w:color="auto" w:fill="FFFFFF"/>
              </w:rPr>
              <w:t>1</w:t>
            </w:r>
            <w:r w:rsidR="003140A3" w:rsidRPr="000252F9">
              <w:rPr>
                <w:rFonts w:ascii="Times New Roman" w:hAnsi="Times New Roman" w:cs="Times New Roman"/>
                <w:sz w:val="24"/>
                <w:szCs w:val="24"/>
                <w:shd w:val="clear" w:color="auto" w:fill="FFFFFF"/>
              </w:rPr>
              <w:t>.janvārī</w:t>
            </w:r>
            <w:r w:rsidRPr="000252F9">
              <w:rPr>
                <w:rFonts w:ascii="Times New Roman" w:hAnsi="Times New Roman" w:cs="Times New Roman"/>
                <w:sz w:val="24"/>
                <w:szCs w:val="24"/>
                <w:shd w:val="clear" w:color="auto" w:fill="FFFFFF"/>
              </w:rPr>
              <w:t>.</w:t>
            </w:r>
          </w:p>
        </w:tc>
      </w:tr>
      <w:tr w:rsidR="00E5323B" w:rsidRPr="000252F9" w14:paraId="396A88C9"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5633F6A5"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289F946"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B</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222CCA66"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w:t>
            </w:r>
          </w:p>
        </w:tc>
        <w:tc>
          <w:tcPr>
            <w:tcW w:w="1250" w:type="pct"/>
            <w:tcBorders>
              <w:top w:val="outset" w:sz="6" w:space="0" w:color="auto"/>
              <w:left w:val="outset" w:sz="6" w:space="0" w:color="auto"/>
              <w:bottom w:val="outset" w:sz="6" w:space="0" w:color="auto"/>
              <w:right w:val="outset" w:sz="6" w:space="0" w:color="auto"/>
            </w:tcBorders>
            <w:vAlign w:val="center"/>
            <w:hideMark/>
          </w:tcPr>
          <w:p w14:paraId="2B5D67F9"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D</w:t>
            </w:r>
          </w:p>
        </w:tc>
      </w:tr>
      <w:tr w:rsidR="00E5323B" w:rsidRPr="000252F9" w14:paraId="559E56FD"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70E4BE1"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250" w:type="pct"/>
            <w:tcBorders>
              <w:top w:val="outset" w:sz="6" w:space="0" w:color="auto"/>
              <w:left w:val="outset" w:sz="6" w:space="0" w:color="auto"/>
              <w:bottom w:val="outset" w:sz="6" w:space="0" w:color="auto"/>
              <w:right w:val="outset" w:sz="6" w:space="0" w:color="auto"/>
            </w:tcBorders>
            <w:hideMark/>
          </w:tcPr>
          <w:p w14:paraId="0A81CDCF"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250" w:type="pct"/>
            <w:gridSpan w:val="2"/>
            <w:tcBorders>
              <w:top w:val="outset" w:sz="6" w:space="0" w:color="auto"/>
              <w:left w:val="outset" w:sz="6" w:space="0" w:color="auto"/>
              <w:bottom w:val="outset" w:sz="6" w:space="0" w:color="auto"/>
              <w:right w:val="outset" w:sz="6" w:space="0" w:color="auto"/>
            </w:tcBorders>
            <w:hideMark/>
          </w:tcPr>
          <w:p w14:paraId="30C13439"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0252F9">
              <w:rPr>
                <w:rFonts w:ascii="Times New Roman" w:eastAsia="Times New Roman" w:hAnsi="Times New Roman" w:cs="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0252F9">
              <w:rPr>
                <w:rFonts w:ascii="Times New Roman" w:eastAsia="Times New Roman" w:hAnsi="Times New Roman" w:cs="Times New Roman"/>
                <w:iCs/>
                <w:sz w:val="24"/>
                <w:szCs w:val="24"/>
                <w:lang w:eastAsia="lv-LV"/>
              </w:rPr>
              <w:br/>
              <w:t xml:space="preserve">Norāda institūciju, </w:t>
            </w:r>
            <w:r w:rsidRPr="000252F9">
              <w:rPr>
                <w:rFonts w:ascii="Times New Roman" w:eastAsia="Times New Roman" w:hAnsi="Times New Roman" w:cs="Times New Roman"/>
                <w:iCs/>
                <w:sz w:val="24"/>
                <w:szCs w:val="24"/>
                <w:lang w:eastAsia="lv-LV"/>
              </w:rPr>
              <w:lastRenderedPageBreak/>
              <w:t>kas ir atbildīga par šo saistību izpildi pilnībā</w:t>
            </w:r>
          </w:p>
        </w:tc>
        <w:tc>
          <w:tcPr>
            <w:tcW w:w="1250" w:type="pct"/>
            <w:tcBorders>
              <w:top w:val="outset" w:sz="6" w:space="0" w:color="auto"/>
              <w:left w:val="outset" w:sz="6" w:space="0" w:color="auto"/>
              <w:bottom w:val="outset" w:sz="6" w:space="0" w:color="auto"/>
              <w:right w:val="outset" w:sz="6" w:space="0" w:color="auto"/>
            </w:tcBorders>
            <w:hideMark/>
          </w:tcPr>
          <w:p w14:paraId="7EFD471E"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0252F9">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0252F9">
              <w:rPr>
                <w:rFonts w:ascii="Times New Roman" w:eastAsia="Times New Roman" w:hAnsi="Times New Roman" w:cs="Times New Roman"/>
                <w:iCs/>
                <w:sz w:val="24"/>
                <w:szCs w:val="24"/>
                <w:lang w:eastAsia="lv-LV"/>
              </w:rPr>
              <w:br/>
              <w:t xml:space="preserve">Norāda iespējamās alternatīvas (t. sk. alternatīvas, kas neparedz tiesiskā </w:t>
            </w:r>
            <w:r w:rsidRPr="000252F9">
              <w:rPr>
                <w:rFonts w:ascii="Times New Roman" w:eastAsia="Times New Roman" w:hAnsi="Times New Roman" w:cs="Times New Roman"/>
                <w:iCs/>
                <w:sz w:val="24"/>
                <w:szCs w:val="24"/>
                <w:lang w:eastAsia="lv-LV"/>
              </w:rPr>
              <w:lastRenderedPageBreak/>
              <w:t>regulējuma izstrādi) – kādos gadījumos būtu iespējams izvairīties no stingrāku prasību noteikšanas, nekā paredzēts attiecīgajos ES tiesību aktos</w:t>
            </w:r>
          </w:p>
        </w:tc>
      </w:tr>
      <w:tr w:rsidR="00E5323B" w:rsidRPr="000252F9" w14:paraId="0253725B"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67C02F3"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Iekļauj informāciju atbilstoši instrukcijas 56.1. apakšpunktam</w:t>
            </w:r>
          </w:p>
        </w:tc>
        <w:tc>
          <w:tcPr>
            <w:tcW w:w="1250" w:type="pct"/>
            <w:tcBorders>
              <w:top w:val="outset" w:sz="6" w:space="0" w:color="auto"/>
              <w:left w:val="outset" w:sz="6" w:space="0" w:color="auto"/>
              <w:bottom w:val="outset" w:sz="6" w:space="0" w:color="auto"/>
              <w:right w:val="outset" w:sz="6" w:space="0" w:color="auto"/>
            </w:tcBorders>
            <w:hideMark/>
          </w:tcPr>
          <w:p w14:paraId="4E89F25A"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56.2. apakšpunktam</w:t>
            </w:r>
          </w:p>
        </w:tc>
        <w:tc>
          <w:tcPr>
            <w:tcW w:w="1250" w:type="pct"/>
            <w:gridSpan w:val="2"/>
            <w:tcBorders>
              <w:top w:val="outset" w:sz="6" w:space="0" w:color="auto"/>
              <w:left w:val="outset" w:sz="6" w:space="0" w:color="auto"/>
              <w:bottom w:val="outset" w:sz="6" w:space="0" w:color="auto"/>
              <w:right w:val="outset" w:sz="6" w:space="0" w:color="auto"/>
            </w:tcBorders>
            <w:hideMark/>
          </w:tcPr>
          <w:p w14:paraId="1D234AE0"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56.3. apakšpunktam.</w:t>
            </w:r>
            <w:r w:rsidRPr="000252F9">
              <w:rPr>
                <w:rFonts w:ascii="Times New Roman" w:eastAsia="Times New Roman" w:hAnsi="Times New Roman" w:cs="Times New Roman"/>
                <w:iCs/>
                <w:sz w:val="24"/>
                <w:szCs w:val="24"/>
                <w:lang w:eastAsia="lv-LV"/>
              </w:rPr>
              <w:br/>
              <w:t>Ja attiecināms, iekļauj arī informāciju atbilstoši instrukcijas 56.3.1., 56.3.2. un 56.3.3. apakšpunktam</w:t>
            </w:r>
          </w:p>
        </w:tc>
        <w:tc>
          <w:tcPr>
            <w:tcW w:w="1250" w:type="pct"/>
            <w:tcBorders>
              <w:top w:val="outset" w:sz="6" w:space="0" w:color="auto"/>
              <w:left w:val="outset" w:sz="6" w:space="0" w:color="auto"/>
              <w:bottom w:val="outset" w:sz="6" w:space="0" w:color="auto"/>
              <w:right w:val="outset" w:sz="6" w:space="0" w:color="auto"/>
            </w:tcBorders>
            <w:hideMark/>
          </w:tcPr>
          <w:p w14:paraId="6DFC4798"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56.4. apakšpunktam.</w:t>
            </w:r>
            <w:r w:rsidRPr="000252F9">
              <w:rPr>
                <w:rFonts w:ascii="Times New Roman" w:eastAsia="Times New Roman" w:hAnsi="Times New Roman" w:cs="Times New Roman"/>
                <w:iCs/>
                <w:sz w:val="24"/>
                <w:szCs w:val="24"/>
                <w:lang w:eastAsia="lv-LV"/>
              </w:rPr>
              <w:br/>
              <w:t>Ja attiecināms, iekļauj arī informāciju atbilstoši instrukcijas 56.4.1. un 56.4.2. apakšpunktam</w:t>
            </w:r>
          </w:p>
        </w:tc>
      </w:tr>
      <w:tr w:rsidR="00E5323B" w:rsidRPr="000252F9" w14:paraId="55E7E1D1"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656C255"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750" w:type="pct"/>
            <w:gridSpan w:val="4"/>
            <w:tcBorders>
              <w:top w:val="outset" w:sz="6" w:space="0" w:color="auto"/>
              <w:left w:val="outset" w:sz="6" w:space="0" w:color="auto"/>
              <w:bottom w:val="outset" w:sz="6" w:space="0" w:color="auto"/>
              <w:right w:val="outset" w:sz="6" w:space="0" w:color="auto"/>
            </w:tcBorders>
            <w:hideMark/>
          </w:tcPr>
          <w:p w14:paraId="596A1657"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56.5. apakšpunktam</w:t>
            </w:r>
          </w:p>
        </w:tc>
      </w:tr>
      <w:tr w:rsidR="00E5323B" w:rsidRPr="000252F9" w14:paraId="654943D7"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BCF0371"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50" w:type="pct"/>
            <w:gridSpan w:val="4"/>
            <w:tcBorders>
              <w:top w:val="outset" w:sz="6" w:space="0" w:color="auto"/>
              <w:left w:val="outset" w:sz="6" w:space="0" w:color="auto"/>
              <w:bottom w:val="outset" w:sz="6" w:space="0" w:color="auto"/>
              <w:right w:val="outset" w:sz="6" w:space="0" w:color="auto"/>
            </w:tcBorders>
            <w:hideMark/>
          </w:tcPr>
          <w:p w14:paraId="0FC3CAD7"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56.6. apakšpunktam</w:t>
            </w:r>
          </w:p>
        </w:tc>
      </w:tr>
      <w:tr w:rsidR="00E5323B" w:rsidRPr="000252F9" w14:paraId="56466D26" w14:textId="77777777" w:rsidTr="00E5323B">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6BC6F9D"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3750" w:type="pct"/>
            <w:gridSpan w:val="4"/>
            <w:tcBorders>
              <w:top w:val="outset" w:sz="6" w:space="0" w:color="auto"/>
              <w:left w:val="outset" w:sz="6" w:space="0" w:color="auto"/>
              <w:bottom w:val="outset" w:sz="6" w:space="0" w:color="auto"/>
              <w:right w:val="outset" w:sz="6" w:space="0" w:color="auto"/>
            </w:tcBorders>
            <w:hideMark/>
          </w:tcPr>
          <w:p w14:paraId="4612B213"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papildu informāciju pēc tiesību akta projekta izstrādātāja ieskatiem. Ja šādas informācijas nav, ieraksta "Nav"</w:t>
            </w:r>
          </w:p>
        </w:tc>
      </w:tr>
      <w:tr w:rsidR="00E5323B" w:rsidRPr="000252F9" w14:paraId="438A3A1C" w14:textId="77777777" w:rsidTr="00E5323B">
        <w:trPr>
          <w:tblCellSpacing w:w="15"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6D63A5F"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sz w:val="24"/>
                <w:szCs w:val="24"/>
                <w:lang w:eastAsia="lv-LV"/>
              </w:rPr>
              <w:t>2. tabula</w:t>
            </w:r>
            <w:r w:rsidRPr="000252F9">
              <w:rPr>
                <w:rFonts w:ascii="Times New Roman" w:eastAsia="Times New Roman" w:hAnsi="Times New Roman" w:cs="Times New Roman"/>
                <w:b/>
                <w:bCs/>
                <w:iCs/>
                <w:color w:val="414142"/>
                <w:sz w:val="24"/>
                <w:szCs w:val="24"/>
                <w:lang w:eastAsia="lv-LV"/>
              </w:rPr>
              <w:br/>
            </w:r>
            <w:r w:rsidRPr="000252F9">
              <w:rPr>
                <w:rFonts w:ascii="Times New Roman" w:eastAsia="Times New Roman" w:hAnsi="Times New Roman" w:cs="Times New Roman"/>
                <w:b/>
                <w:bCs/>
                <w:iCs/>
                <w:sz w:val="24"/>
                <w:szCs w:val="24"/>
                <w:lang w:eastAsia="lv-LV"/>
              </w:rPr>
              <w:t>Ar tiesību akta projektu izpildītās vai uzņemtās saistības, kas izriet no starptautiskajiem tiesību aktiem vai starptautiskas institūcijas vai organizācijas dokumentiem.</w:t>
            </w:r>
            <w:r w:rsidRPr="000252F9">
              <w:rPr>
                <w:rFonts w:ascii="Times New Roman" w:eastAsia="Times New Roman" w:hAnsi="Times New Roman" w:cs="Times New Roman"/>
                <w:b/>
                <w:bCs/>
                <w:iCs/>
                <w:sz w:val="24"/>
                <w:szCs w:val="24"/>
                <w:lang w:eastAsia="lv-LV"/>
              </w:rPr>
              <w:br/>
              <w:t>Pasākumi šo saistību izpildei</w:t>
            </w:r>
          </w:p>
        </w:tc>
      </w:tr>
      <w:tr w:rsidR="00E5323B" w:rsidRPr="000252F9" w14:paraId="1F3A956A"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28E417B8"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 xml:space="preserve">Attiecīgā starptautiskā tiesību </w:t>
            </w:r>
            <w:r w:rsidRPr="000252F9">
              <w:rPr>
                <w:rFonts w:ascii="Times New Roman" w:eastAsia="Times New Roman" w:hAnsi="Times New Roman" w:cs="Times New Roman"/>
                <w:iCs/>
                <w:sz w:val="24"/>
                <w:szCs w:val="24"/>
                <w:lang w:eastAsia="lv-LV"/>
              </w:rPr>
              <w:lastRenderedPageBreak/>
              <w:t>akta vai starptautiskas institūcijas vai organizācijas dokumenta (turpmāk – starptautiskais dokuments) datums, numurs un nosaukums</w:t>
            </w:r>
          </w:p>
        </w:tc>
        <w:tc>
          <w:tcPr>
            <w:tcW w:w="3750" w:type="pct"/>
            <w:gridSpan w:val="4"/>
            <w:tcBorders>
              <w:top w:val="outset" w:sz="6" w:space="0" w:color="auto"/>
              <w:left w:val="outset" w:sz="6" w:space="0" w:color="auto"/>
              <w:bottom w:val="outset" w:sz="6" w:space="0" w:color="auto"/>
              <w:right w:val="outset" w:sz="6" w:space="0" w:color="auto"/>
            </w:tcBorders>
            <w:hideMark/>
          </w:tcPr>
          <w:p w14:paraId="516EB5A0"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 xml:space="preserve">Aizpilda, ja ar projektu izpildītas vai tiek uzņemtas saistības, kas izriet no vairāk nekā viena starptautiskā dokumenta, – norāda </w:t>
            </w:r>
            <w:r w:rsidRPr="000252F9">
              <w:rPr>
                <w:rFonts w:ascii="Times New Roman" w:eastAsia="Times New Roman" w:hAnsi="Times New Roman" w:cs="Times New Roman"/>
                <w:iCs/>
                <w:sz w:val="24"/>
                <w:szCs w:val="24"/>
                <w:lang w:eastAsia="lv-LV"/>
              </w:rPr>
              <w:lastRenderedPageBreak/>
              <w:t xml:space="preserve">informāciju, kas minēta instrukcijas </w:t>
            </w:r>
            <w:hyperlink r:id="rId11" w:anchor="n57.1" w:tgtFrame="_blank" w:history="1">
              <w:r w:rsidRPr="000252F9">
                <w:rPr>
                  <w:rStyle w:val="Hyperlink"/>
                  <w:rFonts w:ascii="Times New Roman" w:eastAsia="Times New Roman" w:hAnsi="Times New Roman" w:cs="Times New Roman"/>
                  <w:iCs/>
                  <w:color w:val="auto"/>
                  <w:sz w:val="24"/>
                  <w:szCs w:val="24"/>
                  <w:lang w:eastAsia="lv-LV"/>
                </w:rPr>
                <w:t>57.1</w:t>
              </w:r>
            </w:hyperlink>
            <w:r w:rsidRPr="000252F9">
              <w:rPr>
                <w:rFonts w:ascii="Times New Roman" w:eastAsia="Times New Roman" w:hAnsi="Times New Roman" w:cs="Times New Roman"/>
                <w:iCs/>
                <w:sz w:val="24"/>
                <w:szCs w:val="24"/>
                <w:lang w:eastAsia="lv-LV"/>
              </w:rPr>
              <w:t>. apakšpunktā un kas jau tika norādīta arī</w:t>
            </w:r>
            <w:hyperlink r:id="rId12" w:anchor="n5" w:tgtFrame="_blank" w:history="1">
              <w:r w:rsidRPr="000252F9">
                <w:rPr>
                  <w:rStyle w:val="Hyperlink"/>
                  <w:rFonts w:ascii="Times New Roman" w:eastAsia="Times New Roman" w:hAnsi="Times New Roman" w:cs="Times New Roman"/>
                  <w:iCs/>
                  <w:color w:val="auto"/>
                  <w:sz w:val="24"/>
                  <w:szCs w:val="24"/>
                  <w:lang w:eastAsia="lv-LV"/>
                </w:rPr>
                <w:t xml:space="preserve"> V sadaļas</w:t>
              </w:r>
            </w:hyperlink>
            <w:r w:rsidRPr="000252F9">
              <w:rPr>
                <w:rFonts w:ascii="Times New Roman" w:eastAsia="Times New Roman" w:hAnsi="Times New Roman" w:cs="Times New Roman"/>
                <w:iCs/>
                <w:sz w:val="24"/>
                <w:szCs w:val="24"/>
                <w:lang w:eastAsia="lv-LV"/>
              </w:rPr>
              <w:t xml:space="preserve"> </w:t>
            </w:r>
            <w:hyperlink r:id="rId13" w:anchor="p2" w:tgtFrame="_blank" w:history="1">
              <w:r w:rsidRPr="000252F9">
                <w:rPr>
                  <w:rStyle w:val="Hyperlink"/>
                  <w:rFonts w:ascii="Times New Roman" w:eastAsia="Times New Roman" w:hAnsi="Times New Roman" w:cs="Times New Roman"/>
                  <w:iCs/>
                  <w:color w:val="auto"/>
                  <w:sz w:val="24"/>
                  <w:szCs w:val="24"/>
                  <w:lang w:eastAsia="lv-LV"/>
                </w:rPr>
                <w:t>2. punktā</w:t>
              </w:r>
            </w:hyperlink>
          </w:p>
        </w:tc>
      </w:tr>
      <w:tr w:rsidR="00E5323B" w:rsidRPr="000252F9" w14:paraId="1B3C5991"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vAlign w:val="center"/>
            <w:hideMark/>
          </w:tcPr>
          <w:p w14:paraId="2582D8A1"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A</w:t>
            </w:r>
          </w:p>
        </w:tc>
        <w:tc>
          <w:tcPr>
            <w:tcW w:w="1800" w:type="pct"/>
            <w:gridSpan w:val="2"/>
            <w:tcBorders>
              <w:top w:val="outset" w:sz="6" w:space="0" w:color="auto"/>
              <w:left w:val="outset" w:sz="6" w:space="0" w:color="auto"/>
              <w:bottom w:val="outset" w:sz="6" w:space="0" w:color="auto"/>
              <w:right w:val="outset" w:sz="6" w:space="0" w:color="auto"/>
            </w:tcBorders>
            <w:vAlign w:val="center"/>
            <w:hideMark/>
          </w:tcPr>
          <w:p w14:paraId="27BD5927"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B</w:t>
            </w:r>
          </w:p>
        </w:tc>
        <w:tc>
          <w:tcPr>
            <w:tcW w:w="1950" w:type="pct"/>
            <w:gridSpan w:val="2"/>
            <w:tcBorders>
              <w:top w:val="outset" w:sz="6" w:space="0" w:color="auto"/>
              <w:left w:val="outset" w:sz="6" w:space="0" w:color="auto"/>
              <w:bottom w:val="outset" w:sz="6" w:space="0" w:color="auto"/>
              <w:right w:val="outset" w:sz="6" w:space="0" w:color="auto"/>
            </w:tcBorders>
            <w:vAlign w:val="center"/>
            <w:hideMark/>
          </w:tcPr>
          <w:p w14:paraId="2611FDA5"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w:t>
            </w:r>
          </w:p>
        </w:tc>
      </w:tr>
      <w:tr w:rsidR="00E5323B" w:rsidRPr="000252F9" w14:paraId="44A21E7F"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7544D31C"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Starptautiskās saistības (pēc būtības), kas izriet no norādītā starptautiskā dokumenta.</w:t>
            </w:r>
            <w:r w:rsidRPr="000252F9">
              <w:rPr>
                <w:rFonts w:ascii="Times New Roman" w:eastAsia="Times New Roman" w:hAnsi="Times New Roman" w:cs="Times New Roman"/>
                <w:iCs/>
                <w:sz w:val="24"/>
                <w:szCs w:val="24"/>
                <w:lang w:eastAsia="lv-LV"/>
              </w:rPr>
              <w:br/>
              <w:t>Konkrēti veicamie pasākumi vai uzdevumi, kas nepieciešami šo starptautisko saistību izpildei</w:t>
            </w:r>
          </w:p>
        </w:tc>
        <w:tc>
          <w:tcPr>
            <w:tcW w:w="1800" w:type="pct"/>
            <w:gridSpan w:val="2"/>
            <w:tcBorders>
              <w:top w:val="outset" w:sz="6" w:space="0" w:color="auto"/>
              <w:left w:val="outset" w:sz="6" w:space="0" w:color="auto"/>
              <w:bottom w:val="outset" w:sz="6" w:space="0" w:color="auto"/>
              <w:right w:val="outset" w:sz="6" w:space="0" w:color="auto"/>
            </w:tcBorders>
            <w:hideMark/>
          </w:tcPr>
          <w:p w14:paraId="6C63C54B"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50" w:type="pct"/>
            <w:gridSpan w:val="2"/>
            <w:tcBorders>
              <w:top w:val="outset" w:sz="6" w:space="0" w:color="auto"/>
              <w:left w:val="outset" w:sz="6" w:space="0" w:color="auto"/>
              <w:bottom w:val="outset" w:sz="6" w:space="0" w:color="auto"/>
              <w:right w:val="outset" w:sz="6" w:space="0" w:color="auto"/>
            </w:tcBorders>
            <w:hideMark/>
          </w:tcPr>
          <w:p w14:paraId="4A94AC48"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Informācija par to, vai starptautiskās saistības, kas minētas šīs tabulas A ailē, tiek izpildītas pilnībā vai daļēji.</w:t>
            </w:r>
            <w:r w:rsidRPr="000252F9">
              <w:rPr>
                <w:rFonts w:ascii="Times New Roman" w:eastAsia="Times New Roman" w:hAnsi="Times New Roman" w:cs="Times New Roman"/>
                <w:iCs/>
                <w:sz w:val="24"/>
                <w:szCs w:val="24"/>
                <w:lang w:eastAsia="lv-LV"/>
              </w:rPr>
              <w:br/>
              <w:t>Ja attiecīgās starptautiskās saistības tiek izpildītas daļēji, sniedz skaidrojumu, kā arī precīzi norāda, kad un kādā veidā starptautiskās saistības tiks izpildītas pilnībā.</w:t>
            </w:r>
            <w:r w:rsidRPr="000252F9">
              <w:rPr>
                <w:rFonts w:ascii="Times New Roman" w:eastAsia="Times New Roman" w:hAnsi="Times New Roman" w:cs="Times New Roman"/>
                <w:iCs/>
                <w:sz w:val="24"/>
                <w:szCs w:val="24"/>
                <w:lang w:eastAsia="lv-LV"/>
              </w:rPr>
              <w:br/>
              <w:t>Norāda institūciju, kas ir atbildīga par šo saistību izpildi pilnībā</w:t>
            </w:r>
          </w:p>
        </w:tc>
      </w:tr>
      <w:tr w:rsidR="00E5323B" w:rsidRPr="000252F9" w14:paraId="465F3380"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1A78CDE6"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58.1. apakšpunktam</w:t>
            </w:r>
          </w:p>
        </w:tc>
        <w:tc>
          <w:tcPr>
            <w:tcW w:w="1800" w:type="pct"/>
            <w:gridSpan w:val="2"/>
            <w:tcBorders>
              <w:top w:val="outset" w:sz="6" w:space="0" w:color="auto"/>
              <w:left w:val="outset" w:sz="6" w:space="0" w:color="auto"/>
              <w:bottom w:val="outset" w:sz="6" w:space="0" w:color="auto"/>
              <w:right w:val="outset" w:sz="6" w:space="0" w:color="auto"/>
            </w:tcBorders>
            <w:hideMark/>
          </w:tcPr>
          <w:p w14:paraId="277FA947"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58.2. apakšpunktam</w:t>
            </w:r>
          </w:p>
        </w:tc>
        <w:tc>
          <w:tcPr>
            <w:tcW w:w="1950" w:type="pct"/>
            <w:gridSpan w:val="2"/>
            <w:tcBorders>
              <w:top w:val="outset" w:sz="6" w:space="0" w:color="auto"/>
              <w:left w:val="outset" w:sz="6" w:space="0" w:color="auto"/>
              <w:bottom w:val="outset" w:sz="6" w:space="0" w:color="auto"/>
              <w:right w:val="outset" w:sz="6" w:space="0" w:color="auto"/>
            </w:tcBorders>
            <w:hideMark/>
          </w:tcPr>
          <w:p w14:paraId="678DCF86"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58.3. apakšpunktam.</w:t>
            </w:r>
            <w:r w:rsidRPr="000252F9">
              <w:rPr>
                <w:rFonts w:ascii="Times New Roman" w:eastAsia="Times New Roman" w:hAnsi="Times New Roman" w:cs="Times New Roman"/>
                <w:iCs/>
                <w:sz w:val="24"/>
                <w:szCs w:val="24"/>
                <w:lang w:eastAsia="lv-LV"/>
              </w:rPr>
              <w:br/>
              <w:t>Ja attiecināms, iekļauj arī informāciju atbilstoši instrukcijas 58.3.1., 58.3.2. un 58.3.3. apakšpunktam</w:t>
            </w:r>
          </w:p>
        </w:tc>
      </w:tr>
      <w:tr w:rsidR="00E5323B" w:rsidRPr="000252F9" w14:paraId="7C62FBDC"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4D479DF3"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Vai starptautiskajā dokumentā paredzētās saistības nav pretrunā ar jau esošajām Latvijas Republikas starptautiskajām saistībām</w:t>
            </w:r>
          </w:p>
        </w:tc>
        <w:tc>
          <w:tcPr>
            <w:tcW w:w="3750" w:type="pct"/>
            <w:gridSpan w:val="4"/>
            <w:tcBorders>
              <w:top w:val="outset" w:sz="6" w:space="0" w:color="auto"/>
              <w:left w:val="outset" w:sz="6" w:space="0" w:color="auto"/>
              <w:bottom w:val="outset" w:sz="6" w:space="0" w:color="auto"/>
              <w:right w:val="outset" w:sz="6" w:space="0" w:color="auto"/>
            </w:tcBorders>
            <w:hideMark/>
          </w:tcPr>
          <w:p w14:paraId="4F83550F"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Iekļauj informāciju atbilstoši instrukcijas 58.4. apakšpunktam</w:t>
            </w:r>
          </w:p>
        </w:tc>
      </w:tr>
      <w:tr w:rsidR="00E5323B" w:rsidRPr="000252F9" w14:paraId="1FE96340" w14:textId="77777777" w:rsidTr="00E5323B">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7C6517D6"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Cita informācija</w:t>
            </w:r>
          </w:p>
        </w:tc>
        <w:tc>
          <w:tcPr>
            <w:tcW w:w="3750" w:type="pct"/>
            <w:gridSpan w:val="4"/>
            <w:tcBorders>
              <w:top w:val="outset" w:sz="6" w:space="0" w:color="auto"/>
              <w:left w:val="outset" w:sz="6" w:space="0" w:color="auto"/>
              <w:bottom w:val="outset" w:sz="6" w:space="0" w:color="auto"/>
              <w:right w:val="outset" w:sz="6" w:space="0" w:color="auto"/>
            </w:tcBorders>
            <w:hideMark/>
          </w:tcPr>
          <w:p w14:paraId="4D5062C1" w14:textId="33FE7127" w:rsidR="00E5323B" w:rsidRPr="000252F9" w:rsidRDefault="00EB1946"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Nav</w:t>
            </w:r>
          </w:p>
        </w:tc>
      </w:tr>
    </w:tbl>
    <w:p w14:paraId="57915F9F"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5FEC844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0E3AA3" w14:textId="77777777" w:rsidR="00655F2C" w:rsidRPr="000252F9" w:rsidRDefault="00E5323B" w:rsidP="000252F9">
            <w:pPr>
              <w:spacing w:after="0" w:line="240" w:lineRule="auto"/>
              <w:rPr>
                <w:rFonts w:ascii="Times New Roman" w:eastAsia="Times New Roman" w:hAnsi="Times New Roman" w:cs="Times New Roman"/>
                <w:b/>
                <w:bCs/>
                <w:iCs/>
                <w:sz w:val="24"/>
                <w:szCs w:val="24"/>
                <w:lang w:eastAsia="lv-LV"/>
              </w:rPr>
            </w:pPr>
            <w:r w:rsidRPr="000252F9">
              <w:rPr>
                <w:rFonts w:ascii="Times New Roman" w:eastAsia="Times New Roman" w:hAnsi="Times New Roman" w:cs="Times New Roman"/>
                <w:b/>
                <w:bCs/>
                <w:iCs/>
                <w:sz w:val="24"/>
                <w:szCs w:val="24"/>
                <w:lang w:eastAsia="lv-LV"/>
              </w:rPr>
              <w:t>VI. Sabiedrības līdzdalība un komunikācijas aktivitātes</w:t>
            </w:r>
          </w:p>
        </w:tc>
      </w:tr>
      <w:tr w:rsidR="001D1AFC" w:rsidRPr="000252F9" w14:paraId="71631109"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F9BD524"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84C79C7"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58E8ADDE" w14:textId="7D639AE7" w:rsidR="001D1AFC" w:rsidRPr="000252F9" w:rsidRDefault="001D1AFC" w:rsidP="000252F9">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1D1AFC" w:rsidRPr="000252F9" w14:paraId="2C58FCEF"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917BFC"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84E33CF"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1B266E0F" w14:textId="713A912B" w:rsidR="001D1AFC" w:rsidRPr="000252F9" w:rsidRDefault="001D1AFC" w:rsidP="000252F9">
            <w:pPr>
              <w:spacing w:after="0" w:line="240" w:lineRule="auto"/>
              <w:rPr>
                <w:rFonts w:ascii="Times New Roman" w:eastAsia="Times New Roman" w:hAnsi="Times New Roman" w:cs="Times New Roman"/>
                <w:iCs/>
                <w:color w:val="A6A6A6" w:themeColor="background1" w:themeShade="A6"/>
                <w:sz w:val="24"/>
                <w:szCs w:val="24"/>
                <w:lang w:eastAsia="lv-LV"/>
              </w:rPr>
            </w:pPr>
          </w:p>
        </w:tc>
      </w:tr>
      <w:tr w:rsidR="00687E9E" w:rsidRPr="000252F9" w14:paraId="508272B5"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CEC1B3D"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8DDD8C4"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31D1965E" w14:textId="6EE00532" w:rsidR="001D1AFC" w:rsidRPr="000252F9" w:rsidRDefault="001D1AFC" w:rsidP="000252F9">
            <w:pPr>
              <w:spacing w:after="0" w:line="240" w:lineRule="auto"/>
              <w:rPr>
                <w:rFonts w:ascii="Times New Roman" w:eastAsia="Times New Roman" w:hAnsi="Times New Roman" w:cs="Times New Roman"/>
                <w:iCs/>
                <w:sz w:val="24"/>
                <w:szCs w:val="24"/>
                <w:lang w:eastAsia="lv-LV"/>
              </w:rPr>
            </w:pPr>
          </w:p>
        </w:tc>
      </w:tr>
      <w:tr w:rsidR="001D1AFC" w:rsidRPr="000252F9" w14:paraId="6CC5E591" w14:textId="77777777" w:rsidTr="001D1AF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776C6F"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7B87C0A0" w14:textId="77777777" w:rsidR="001D1AFC" w:rsidRPr="000252F9" w:rsidRDefault="001D1AFC"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21F5C651" w14:textId="66784104" w:rsidR="001D1AFC" w:rsidRPr="000252F9" w:rsidRDefault="001D1AFC" w:rsidP="000252F9">
            <w:pPr>
              <w:spacing w:after="0" w:line="240" w:lineRule="auto"/>
              <w:rPr>
                <w:rFonts w:ascii="Times New Roman" w:eastAsia="Times New Roman" w:hAnsi="Times New Roman" w:cs="Times New Roman"/>
                <w:iCs/>
                <w:color w:val="A6A6A6" w:themeColor="background1" w:themeShade="A6"/>
                <w:sz w:val="24"/>
                <w:szCs w:val="24"/>
                <w:lang w:eastAsia="lv-LV"/>
              </w:rPr>
            </w:pPr>
          </w:p>
        </w:tc>
      </w:tr>
    </w:tbl>
    <w:p w14:paraId="7F04EB33" w14:textId="77777777" w:rsidR="00E5323B" w:rsidRPr="000252F9" w:rsidRDefault="00E5323B" w:rsidP="000252F9">
      <w:pPr>
        <w:spacing w:after="0" w:line="240" w:lineRule="auto"/>
        <w:rPr>
          <w:rFonts w:ascii="Times New Roman" w:eastAsia="Times New Roman" w:hAnsi="Times New Roman" w:cs="Times New Roman"/>
          <w:iCs/>
          <w:color w:val="414142"/>
          <w:sz w:val="24"/>
          <w:szCs w:val="24"/>
          <w:lang w:eastAsia="lv-LV"/>
        </w:rPr>
      </w:pPr>
      <w:r w:rsidRPr="000252F9">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252F9" w14:paraId="3441E4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C009B8" w14:textId="77777777" w:rsidR="00655F2C" w:rsidRPr="000252F9" w:rsidRDefault="00E5323B" w:rsidP="000252F9">
            <w:pPr>
              <w:spacing w:after="0" w:line="240" w:lineRule="auto"/>
              <w:rPr>
                <w:rFonts w:ascii="Times New Roman" w:eastAsia="Times New Roman" w:hAnsi="Times New Roman" w:cs="Times New Roman"/>
                <w:b/>
                <w:bCs/>
                <w:iCs/>
                <w:color w:val="414142"/>
                <w:sz w:val="24"/>
                <w:szCs w:val="24"/>
                <w:lang w:eastAsia="lv-LV"/>
              </w:rPr>
            </w:pPr>
            <w:r w:rsidRPr="000252F9">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0252F9" w14:paraId="31D8CD3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E180E5"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C1AC03D"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94D9EFA" w14:textId="4A7847AA" w:rsidR="00E5323B" w:rsidRPr="000252F9" w:rsidRDefault="00220DF5"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Birojs</w:t>
            </w:r>
          </w:p>
        </w:tc>
      </w:tr>
      <w:tr w:rsidR="00E5323B" w:rsidRPr="000252F9" w14:paraId="507CA7B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457C23"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B83DA8"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Projekta izpildes ietekme uz pārvaldes funkcijām un institucionālo struktūru.</w:t>
            </w:r>
            <w:r w:rsidRPr="000252F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82221EE" w14:textId="104E4B63" w:rsidR="00E5323B" w:rsidRPr="000252F9" w:rsidRDefault="00621F55" w:rsidP="000252F9">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Nav attiecināma</w:t>
            </w:r>
          </w:p>
        </w:tc>
      </w:tr>
      <w:tr w:rsidR="00E5323B" w:rsidRPr="000252F9" w14:paraId="3E6F6DDB" w14:textId="77777777" w:rsidTr="0030340E">
        <w:trPr>
          <w:trHeight w:val="838"/>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3BD64D" w14:textId="77777777" w:rsidR="00655F2C"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7991D3D" w14:textId="77777777" w:rsidR="00E5323B" w:rsidRPr="000252F9" w:rsidRDefault="00E5323B" w:rsidP="000252F9">
            <w:pPr>
              <w:spacing w:after="0" w:line="240" w:lineRule="auto"/>
              <w:rPr>
                <w:rFonts w:ascii="Times New Roman" w:eastAsia="Times New Roman" w:hAnsi="Times New Roman" w:cs="Times New Roman"/>
                <w:iCs/>
                <w:sz w:val="24"/>
                <w:szCs w:val="24"/>
                <w:lang w:eastAsia="lv-LV"/>
              </w:rPr>
            </w:pPr>
            <w:r w:rsidRPr="000252F9">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803A21F" w14:textId="009D0751" w:rsidR="00E5323B" w:rsidRPr="000252F9" w:rsidRDefault="00E5323B" w:rsidP="000252F9">
            <w:pPr>
              <w:spacing w:after="0" w:line="240" w:lineRule="auto"/>
              <w:rPr>
                <w:rFonts w:ascii="Times New Roman" w:eastAsia="Times New Roman" w:hAnsi="Times New Roman" w:cs="Times New Roman"/>
                <w:iCs/>
                <w:color w:val="A6A6A6" w:themeColor="background1" w:themeShade="A6"/>
                <w:sz w:val="24"/>
                <w:szCs w:val="24"/>
                <w:lang w:eastAsia="lv-LV"/>
              </w:rPr>
            </w:pPr>
          </w:p>
        </w:tc>
      </w:tr>
    </w:tbl>
    <w:p w14:paraId="53D6484B" w14:textId="13035278" w:rsidR="00C25B49" w:rsidRDefault="00C25B49" w:rsidP="000252F9">
      <w:pPr>
        <w:spacing w:after="0" w:line="240" w:lineRule="auto"/>
        <w:rPr>
          <w:rFonts w:ascii="Times New Roman" w:hAnsi="Times New Roman" w:cs="Times New Roman"/>
          <w:sz w:val="24"/>
          <w:szCs w:val="24"/>
        </w:rPr>
      </w:pPr>
    </w:p>
    <w:p w14:paraId="017F71F5" w14:textId="77777777" w:rsidR="0030340E" w:rsidRPr="000252F9" w:rsidRDefault="0030340E" w:rsidP="000252F9">
      <w:pPr>
        <w:spacing w:after="0" w:line="240" w:lineRule="auto"/>
        <w:rPr>
          <w:rFonts w:ascii="Times New Roman" w:hAnsi="Times New Roman" w:cs="Times New Roman"/>
          <w:sz w:val="24"/>
          <w:szCs w:val="24"/>
        </w:rPr>
      </w:pPr>
    </w:p>
    <w:p w14:paraId="40A4E9D6" w14:textId="5496B146" w:rsidR="00C35E0D" w:rsidRPr="0030340E" w:rsidRDefault="00C35E0D" w:rsidP="000252F9">
      <w:pPr>
        <w:spacing w:after="0" w:line="240" w:lineRule="auto"/>
        <w:rPr>
          <w:rFonts w:ascii="Times New Roman" w:hAnsi="Times New Roman" w:cs="Times New Roman"/>
          <w:sz w:val="28"/>
          <w:szCs w:val="28"/>
        </w:rPr>
      </w:pPr>
      <w:r w:rsidRPr="0030340E">
        <w:rPr>
          <w:rFonts w:ascii="Times New Roman" w:hAnsi="Times New Roman" w:cs="Times New Roman"/>
          <w:sz w:val="28"/>
          <w:szCs w:val="28"/>
        </w:rPr>
        <w:t>Veselības ministr</w:t>
      </w:r>
      <w:r w:rsidR="009F07B4" w:rsidRPr="0030340E">
        <w:rPr>
          <w:rFonts w:ascii="Times New Roman" w:hAnsi="Times New Roman" w:cs="Times New Roman"/>
          <w:sz w:val="28"/>
          <w:szCs w:val="28"/>
        </w:rPr>
        <w:t>s</w:t>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r>
      <w:r w:rsidRPr="0030340E">
        <w:rPr>
          <w:rFonts w:ascii="Times New Roman" w:hAnsi="Times New Roman" w:cs="Times New Roman"/>
          <w:sz w:val="28"/>
          <w:szCs w:val="28"/>
        </w:rPr>
        <w:tab/>
        <w:t xml:space="preserve"> </w:t>
      </w:r>
      <w:r w:rsidRPr="0030340E">
        <w:rPr>
          <w:rFonts w:ascii="Times New Roman" w:hAnsi="Times New Roman" w:cs="Times New Roman"/>
          <w:sz w:val="28"/>
          <w:szCs w:val="28"/>
        </w:rPr>
        <w:tab/>
      </w:r>
      <w:r w:rsidRPr="0030340E">
        <w:rPr>
          <w:rFonts w:ascii="Times New Roman" w:hAnsi="Times New Roman" w:cs="Times New Roman"/>
          <w:sz w:val="28"/>
          <w:szCs w:val="28"/>
        </w:rPr>
        <w:tab/>
      </w:r>
      <w:r w:rsidR="009F07B4" w:rsidRPr="0030340E">
        <w:rPr>
          <w:rFonts w:ascii="Times New Roman" w:hAnsi="Times New Roman" w:cs="Times New Roman"/>
          <w:sz w:val="28"/>
          <w:szCs w:val="28"/>
        </w:rPr>
        <w:t>D. Pavļuts</w:t>
      </w:r>
    </w:p>
    <w:p w14:paraId="11AB9C93" w14:textId="11436580" w:rsidR="00C35E0D" w:rsidRDefault="00C35E0D" w:rsidP="000252F9">
      <w:pPr>
        <w:spacing w:after="0" w:line="240" w:lineRule="auto"/>
        <w:rPr>
          <w:rFonts w:ascii="Times New Roman" w:hAnsi="Times New Roman" w:cs="Times New Roman"/>
          <w:sz w:val="28"/>
          <w:szCs w:val="28"/>
        </w:rPr>
      </w:pPr>
    </w:p>
    <w:p w14:paraId="61999A65" w14:textId="77777777" w:rsidR="0030340E" w:rsidRPr="0030340E" w:rsidRDefault="0030340E" w:rsidP="000252F9">
      <w:pPr>
        <w:spacing w:after="0" w:line="240" w:lineRule="auto"/>
        <w:rPr>
          <w:rFonts w:ascii="Times New Roman" w:hAnsi="Times New Roman" w:cs="Times New Roman"/>
          <w:sz w:val="28"/>
          <w:szCs w:val="28"/>
        </w:rPr>
      </w:pPr>
    </w:p>
    <w:p w14:paraId="5EA04800" w14:textId="140565C4" w:rsidR="00E5323B" w:rsidRPr="0030340E" w:rsidRDefault="00C35E0D" w:rsidP="000252F9">
      <w:pPr>
        <w:spacing w:after="0" w:line="240" w:lineRule="auto"/>
        <w:rPr>
          <w:rFonts w:ascii="Times New Roman" w:hAnsi="Times New Roman" w:cs="Times New Roman"/>
          <w:sz w:val="28"/>
          <w:szCs w:val="28"/>
        </w:rPr>
      </w:pPr>
      <w:r w:rsidRPr="0030340E">
        <w:rPr>
          <w:rFonts w:ascii="Times New Roman" w:hAnsi="Times New Roman" w:cs="Times New Roman"/>
          <w:sz w:val="28"/>
          <w:szCs w:val="28"/>
        </w:rPr>
        <w:t>Vīza: Valsts sekretāre                                                        D. Mūrmane-Umbraško</w:t>
      </w:r>
    </w:p>
    <w:p w14:paraId="7032EF28" w14:textId="77777777" w:rsidR="00894C55" w:rsidRPr="0030340E" w:rsidRDefault="00894C55" w:rsidP="000252F9">
      <w:pPr>
        <w:spacing w:after="0" w:line="240" w:lineRule="auto"/>
        <w:ind w:firstLine="720"/>
        <w:rPr>
          <w:rFonts w:ascii="Times New Roman" w:hAnsi="Times New Roman" w:cs="Times New Roman"/>
          <w:sz w:val="28"/>
          <w:szCs w:val="28"/>
        </w:rPr>
      </w:pPr>
    </w:p>
    <w:p w14:paraId="44879E63" w14:textId="77777777" w:rsidR="00894C55" w:rsidRPr="000252F9" w:rsidRDefault="00894C55" w:rsidP="000252F9">
      <w:pPr>
        <w:tabs>
          <w:tab w:val="left" w:pos="6237"/>
        </w:tabs>
        <w:spacing w:after="0" w:line="240" w:lineRule="auto"/>
        <w:rPr>
          <w:rFonts w:ascii="Times New Roman" w:hAnsi="Times New Roman" w:cs="Times New Roman"/>
          <w:sz w:val="24"/>
          <w:szCs w:val="24"/>
        </w:rPr>
      </w:pPr>
    </w:p>
    <w:p w14:paraId="21D42398" w14:textId="074EFFF5" w:rsidR="00894C55" w:rsidRDefault="00894C55" w:rsidP="000252F9">
      <w:pPr>
        <w:tabs>
          <w:tab w:val="left" w:pos="6237"/>
        </w:tabs>
        <w:spacing w:after="0" w:line="240" w:lineRule="auto"/>
        <w:ind w:firstLine="720"/>
        <w:rPr>
          <w:rFonts w:ascii="Times New Roman" w:hAnsi="Times New Roman" w:cs="Times New Roman"/>
          <w:sz w:val="24"/>
          <w:szCs w:val="24"/>
        </w:rPr>
      </w:pPr>
    </w:p>
    <w:p w14:paraId="7CBDFE3A" w14:textId="1FCF03AD" w:rsidR="00E8619A" w:rsidRDefault="00E8619A" w:rsidP="000252F9">
      <w:pPr>
        <w:tabs>
          <w:tab w:val="left" w:pos="6237"/>
        </w:tabs>
        <w:spacing w:after="0" w:line="240" w:lineRule="auto"/>
        <w:ind w:firstLine="720"/>
        <w:rPr>
          <w:rFonts w:ascii="Times New Roman" w:hAnsi="Times New Roman" w:cs="Times New Roman"/>
          <w:sz w:val="24"/>
          <w:szCs w:val="24"/>
        </w:rPr>
      </w:pPr>
    </w:p>
    <w:p w14:paraId="63CCC4CF" w14:textId="41A7258C" w:rsidR="00E8619A" w:rsidRDefault="00E8619A" w:rsidP="000252F9">
      <w:pPr>
        <w:tabs>
          <w:tab w:val="left" w:pos="6237"/>
        </w:tabs>
        <w:spacing w:after="0" w:line="240" w:lineRule="auto"/>
        <w:ind w:firstLine="720"/>
        <w:rPr>
          <w:rFonts w:ascii="Times New Roman" w:hAnsi="Times New Roman" w:cs="Times New Roman"/>
          <w:sz w:val="24"/>
          <w:szCs w:val="24"/>
        </w:rPr>
      </w:pPr>
    </w:p>
    <w:p w14:paraId="4458385C" w14:textId="07770CB9" w:rsidR="00E8619A" w:rsidRDefault="00E8619A" w:rsidP="000252F9">
      <w:pPr>
        <w:tabs>
          <w:tab w:val="left" w:pos="6237"/>
        </w:tabs>
        <w:spacing w:after="0" w:line="240" w:lineRule="auto"/>
        <w:ind w:firstLine="720"/>
        <w:rPr>
          <w:rFonts w:ascii="Times New Roman" w:hAnsi="Times New Roman" w:cs="Times New Roman"/>
          <w:sz w:val="24"/>
          <w:szCs w:val="24"/>
        </w:rPr>
      </w:pPr>
    </w:p>
    <w:p w14:paraId="7D2FCCE0" w14:textId="2DD3AC01" w:rsidR="00E8619A" w:rsidRDefault="00E8619A" w:rsidP="000252F9">
      <w:pPr>
        <w:tabs>
          <w:tab w:val="left" w:pos="6237"/>
        </w:tabs>
        <w:spacing w:after="0" w:line="240" w:lineRule="auto"/>
        <w:ind w:firstLine="720"/>
        <w:rPr>
          <w:rFonts w:ascii="Times New Roman" w:hAnsi="Times New Roman" w:cs="Times New Roman"/>
          <w:sz w:val="24"/>
          <w:szCs w:val="24"/>
        </w:rPr>
      </w:pPr>
    </w:p>
    <w:p w14:paraId="2C7A7B4E" w14:textId="71D92A1D" w:rsidR="00E8619A" w:rsidRDefault="00E8619A" w:rsidP="000252F9">
      <w:pPr>
        <w:tabs>
          <w:tab w:val="left" w:pos="6237"/>
        </w:tabs>
        <w:spacing w:after="0" w:line="240" w:lineRule="auto"/>
        <w:ind w:firstLine="720"/>
        <w:rPr>
          <w:rFonts w:ascii="Times New Roman" w:hAnsi="Times New Roman" w:cs="Times New Roman"/>
          <w:sz w:val="24"/>
          <w:szCs w:val="24"/>
        </w:rPr>
      </w:pPr>
    </w:p>
    <w:p w14:paraId="33317F04" w14:textId="77777777" w:rsidR="00E8619A" w:rsidRPr="000252F9" w:rsidRDefault="00E8619A" w:rsidP="000252F9">
      <w:pPr>
        <w:tabs>
          <w:tab w:val="left" w:pos="6237"/>
        </w:tabs>
        <w:spacing w:after="0" w:line="240" w:lineRule="auto"/>
        <w:ind w:firstLine="720"/>
        <w:rPr>
          <w:rFonts w:ascii="Times New Roman" w:hAnsi="Times New Roman" w:cs="Times New Roman"/>
          <w:sz w:val="24"/>
          <w:szCs w:val="24"/>
        </w:rPr>
      </w:pPr>
    </w:p>
    <w:p w14:paraId="626639B6" w14:textId="665E7A6B" w:rsidR="00894C55" w:rsidRPr="000252F9" w:rsidRDefault="00687E9E" w:rsidP="000252F9">
      <w:pPr>
        <w:tabs>
          <w:tab w:val="left" w:pos="6237"/>
        </w:tabs>
        <w:spacing w:after="0" w:line="240" w:lineRule="auto"/>
        <w:rPr>
          <w:rFonts w:ascii="Times New Roman" w:hAnsi="Times New Roman" w:cs="Times New Roman"/>
          <w:sz w:val="24"/>
          <w:szCs w:val="24"/>
        </w:rPr>
      </w:pPr>
      <w:proofErr w:type="spellStart"/>
      <w:r w:rsidRPr="000252F9">
        <w:rPr>
          <w:rFonts w:ascii="Times New Roman" w:hAnsi="Times New Roman" w:cs="Times New Roman"/>
          <w:sz w:val="24"/>
          <w:szCs w:val="24"/>
        </w:rPr>
        <w:t>S.Lazdiņa</w:t>
      </w:r>
      <w:proofErr w:type="spellEnd"/>
      <w:r w:rsidR="00812338">
        <w:rPr>
          <w:rFonts w:ascii="Times New Roman" w:hAnsi="Times New Roman" w:cs="Times New Roman"/>
          <w:sz w:val="24"/>
          <w:szCs w:val="24"/>
        </w:rPr>
        <w:t>,</w:t>
      </w:r>
      <w:r w:rsidRPr="000252F9">
        <w:rPr>
          <w:rFonts w:ascii="Times New Roman" w:hAnsi="Times New Roman" w:cs="Times New Roman"/>
          <w:sz w:val="24"/>
          <w:szCs w:val="24"/>
        </w:rPr>
        <w:t xml:space="preserve"> </w:t>
      </w:r>
      <w:r w:rsidR="00D133F8" w:rsidRPr="000252F9">
        <w:rPr>
          <w:rFonts w:ascii="Times New Roman" w:hAnsi="Times New Roman" w:cs="Times New Roman"/>
          <w:sz w:val="24"/>
          <w:szCs w:val="24"/>
        </w:rPr>
        <w:t>6</w:t>
      </w:r>
      <w:r w:rsidRPr="000252F9">
        <w:rPr>
          <w:rFonts w:ascii="Times New Roman" w:hAnsi="Times New Roman" w:cs="Times New Roman"/>
          <w:sz w:val="24"/>
          <w:szCs w:val="24"/>
        </w:rPr>
        <w:t>0005266</w:t>
      </w:r>
    </w:p>
    <w:p w14:paraId="06C0DD80" w14:textId="2043E6D7" w:rsidR="00894C55" w:rsidRDefault="00E263FD" w:rsidP="000252F9">
      <w:pPr>
        <w:tabs>
          <w:tab w:val="left" w:pos="6237"/>
        </w:tabs>
        <w:spacing w:after="0" w:line="240" w:lineRule="auto"/>
        <w:rPr>
          <w:rFonts w:ascii="Times New Roman" w:hAnsi="Times New Roman" w:cs="Times New Roman"/>
          <w:sz w:val="24"/>
          <w:szCs w:val="24"/>
        </w:rPr>
      </w:pPr>
      <w:hyperlink r:id="rId14" w:history="1">
        <w:r w:rsidR="00812338" w:rsidRPr="00FB05B7">
          <w:rPr>
            <w:rStyle w:val="Hyperlink"/>
            <w:rFonts w:ascii="Times New Roman" w:hAnsi="Times New Roman" w:cs="Times New Roman"/>
            <w:sz w:val="24"/>
            <w:szCs w:val="24"/>
          </w:rPr>
          <w:t>sanita.lazdina@vm.gov.lv</w:t>
        </w:r>
      </w:hyperlink>
    </w:p>
    <w:p w14:paraId="698DE0F2" w14:textId="67FB9168" w:rsidR="00812338" w:rsidRDefault="00812338" w:rsidP="000252F9">
      <w:pPr>
        <w:tabs>
          <w:tab w:val="left" w:pos="6237"/>
        </w:tabs>
        <w:spacing w:after="0" w:line="240" w:lineRule="auto"/>
        <w:rPr>
          <w:rFonts w:ascii="Times New Roman" w:hAnsi="Times New Roman" w:cs="Times New Roman"/>
          <w:sz w:val="24"/>
          <w:szCs w:val="24"/>
        </w:rPr>
      </w:pPr>
    </w:p>
    <w:p w14:paraId="390631AD" w14:textId="0953766A" w:rsidR="00812338" w:rsidRDefault="00812338" w:rsidP="000252F9">
      <w:pPr>
        <w:tabs>
          <w:tab w:val="left" w:pos="6237"/>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R.Lauris</w:t>
      </w:r>
      <w:proofErr w:type="spellEnd"/>
    </w:p>
    <w:p w14:paraId="0CB7043A" w14:textId="62764D8E" w:rsidR="00812338" w:rsidRDefault="00E263FD" w:rsidP="000252F9">
      <w:pPr>
        <w:tabs>
          <w:tab w:val="left" w:pos="6237"/>
        </w:tabs>
        <w:spacing w:after="0" w:line="240" w:lineRule="auto"/>
        <w:rPr>
          <w:rFonts w:ascii="Times New Roman" w:hAnsi="Times New Roman" w:cs="Times New Roman"/>
          <w:sz w:val="24"/>
          <w:szCs w:val="24"/>
        </w:rPr>
      </w:pPr>
      <w:hyperlink r:id="rId15" w:history="1">
        <w:r w:rsidR="00812338" w:rsidRPr="00FB05B7">
          <w:rPr>
            <w:rStyle w:val="Hyperlink"/>
            <w:rFonts w:ascii="Times New Roman" w:hAnsi="Times New Roman" w:cs="Times New Roman"/>
            <w:sz w:val="24"/>
            <w:szCs w:val="24"/>
          </w:rPr>
          <w:t>roberts.lauris@antidopings.lv</w:t>
        </w:r>
      </w:hyperlink>
    </w:p>
    <w:p w14:paraId="313F2ACD" w14:textId="77777777" w:rsidR="00812338" w:rsidRPr="000252F9" w:rsidRDefault="00812338" w:rsidP="000252F9">
      <w:pPr>
        <w:tabs>
          <w:tab w:val="left" w:pos="6237"/>
        </w:tabs>
        <w:spacing w:after="0" w:line="240" w:lineRule="auto"/>
        <w:rPr>
          <w:rFonts w:ascii="Times New Roman" w:hAnsi="Times New Roman" w:cs="Times New Roman"/>
          <w:sz w:val="24"/>
          <w:szCs w:val="24"/>
        </w:rPr>
      </w:pPr>
    </w:p>
    <w:sectPr w:rsidR="00812338" w:rsidRPr="000252F9" w:rsidSect="009A2654">
      <w:headerReference w:type="even" r:id="rId16"/>
      <w:headerReference w:type="default" r:id="rId17"/>
      <w:footerReference w:type="defaul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5D55B" w14:textId="77777777" w:rsidR="00C5439F" w:rsidRDefault="00C5439F" w:rsidP="00894C55">
      <w:pPr>
        <w:spacing w:after="0" w:line="240" w:lineRule="auto"/>
      </w:pPr>
      <w:r>
        <w:separator/>
      </w:r>
    </w:p>
    <w:p w14:paraId="33D6BD28" w14:textId="77777777" w:rsidR="00C5439F" w:rsidRDefault="00C5439F"/>
    <w:p w14:paraId="50236ABE" w14:textId="77777777" w:rsidR="00C5439F" w:rsidRDefault="00C5439F"/>
  </w:endnote>
  <w:endnote w:type="continuationSeparator" w:id="0">
    <w:p w14:paraId="4208587C" w14:textId="77777777" w:rsidR="00C5439F" w:rsidRDefault="00C5439F" w:rsidP="00894C55">
      <w:pPr>
        <w:spacing w:after="0" w:line="240" w:lineRule="auto"/>
      </w:pPr>
      <w:r>
        <w:continuationSeparator/>
      </w:r>
    </w:p>
    <w:p w14:paraId="55375D4B" w14:textId="77777777" w:rsidR="00C5439F" w:rsidRDefault="00C5439F"/>
    <w:p w14:paraId="4802F4B1" w14:textId="77777777" w:rsidR="00C5439F" w:rsidRDefault="00C54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0E72B" w14:textId="10A7F271" w:rsidR="00C425C5" w:rsidRPr="003B28C1" w:rsidRDefault="00C425C5" w:rsidP="003B28C1">
    <w:pPr>
      <w:pStyle w:val="Footer"/>
    </w:pPr>
    <w:r w:rsidRPr="003B28C1">
      <w:rPr>
        <w:rFonts w:ascii="Times New Roman" w:hAnsi="Times New Roman" w:cs="Times New Roman"/>
        <w:sz w:val="20"/>
        <w:szCs w:val="20"/>
      </w:rPr>
      <w:t>VManot_</w:t>
    </w:r>
    <w:r w:rsidR="00A17C87">
      <w:rPr>
        <w:rFonts w:ascii="Times New Roman" w:hAnsi="Times New Roman" w:cs="Times New Roman"/>
        <w:sz w:val="20"/>
        <w:szCs w:val="20"/>
      </w:rPr>
      <w:t>1</w:t>
    </w:r>
    <w:r w:rsidR="004B6F47">
      <w:rPr>
        <w:rFonts w:ascii="Times New Roman" w:hAnsi="Times New Roman" w:cs="Times New Roman"/>
        <w:sz w:val="20"/>
        <w:szCs w:val="20"/>
      </w:rPr>
      <w:t>2</w:t>
    </w:r>
    <w:r w:rsidRPr="003B28C1">
      <w:rPr>
        <w:rFonts w:ascii="Times New Roman" w:hAnsi="Times New Roman" w:cs="Times New Roman"/>
        <w:sz w:val="20"/>
        <w:szCs w:val="20"/>
      </w:rPr>
      <w:t>0</w:t>
    </w:r>
    <w:r w:rsidR="00A17C87">
      <w:rPr>
        <w:rFonts w:ascii="Times New Roman" w:hAnsi="Times New Roman" w:cs="Times New Roman"/>
        <w:sz w:val="20"/>
        <w:szCs w:val="20"/>
      </w:rPr>
      <w:t>2</w:t>
    </w:r>
    <w:r w:rsidRPr="003B28C1">
      <w:rPr>
        <w:rFonts w:ascii="Times New Roman" w:hAnsi="Times New Roman" w:cs="Times New Roman"/>
        <w:sz w:val="20"/>
        <w:szCs w:val="20"/>
      </w:rPr>
      <w:t>21_grozSports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C8B66" w14:textId="400F10EF" w:rsidR="00C425C5" w:rsidRPr="00C35E0D" w:rsidRDefault="00C425C5" w:rsidP="00C35E0D">
    <w:pPr>
      <w:pStyle w:val="Footer"/>
    </w:pPr>
    <w:bookmarkStart w:id="0" w:name="_Hlk62731835"/>
    <w:bookmarkStart w:id="1" w:name="_Hlk62731836"/>
    <w:r w:rsidRPr="00C35E0D">
      <w:rPr>
        <w:rFonts w:ascii="Times New Roman" w:hAnsi="Times New Roman" w:cs="Times New Roman"/>
        <w:sz w:val="20"/>
        <w:szCs w:val="20"/>
      </w:rPr>
      <w:t>VManot_</w:t>
    </w:r>
    <w:r w:rsidR="00A17C87">
      <w:rPr>
        <w:rFonts w:ascii="Times New Roman" w:hAnsi="Times New Roman" w:cs="Times New Roman"/>
        <w:sz w:val="20"/>
        <w:szCs w:val="20"/>
      </w:rPr>
      <w:t>1</w:t>
    </w:r>
    <w:r w:rsidR="004B6F47">
      <w:rPr>
        <w:rFonts w:ascii="Times New Roman" w:hAnsi="Times New Roman" w:cs="Times New Roman"/>
        <w:sz w:val="20"/>
        <w:szCs w:val="20"/>
      </w:rPr>
      <w:t>2</w:t>
    </w:r>
    <w:r>
      <w:rPr>
        <w:rFonts w:ascii="Times New Roman" w:hAnsi="Times New Roman" w:cs="Times New Roman"/>
        <w:sz w:val="20"/>
        <w:szCs w:val="20"/>
      </w:rPr>
      <w:t>0</w:t>
    </w:r>
    <w:r w:rsidR="00A17C87">
      <w:rPr>
        <w:rFonts w:ascii="Times New Roman" w:hAnsi="Times New Roman" w:cs="Times New Roman"/>
        <w:sz w:val="20"/>
        <w:szCs w:val="20"/>
      </w:rPr>
      <w:t>2</w:t>
    </w:r>
    <w:r>
      <w:rPr>
        <w:rFonts w:ascii="Times New Roman" w:hAnsi="Times New Roman" w:cs="Times New Roman"/>
        <w:sz w:val="20"/>
        <w:szCs w:val="20"/>
      </w:rPr>
      <w:t>21</w:t>
    </w:r>
    <w:r w:rsidRPr="00C35E0D">
      <w:rPr>
        <w:rFonts w:ascii="Times New Roman" w:hAnsi="Times New Roman" w:cs="Times New Roman"/>
        <w:sz w:val="20"/>
        <w:szCs w:val="20"/>
      </w:rPr>
      <w:t>_grozS</w:t>
    </w:r>
    <w:r>
      <w:rPr>
        <w:rFonts w:ascii="Times New Roman" w:hAnsi="Times New Roman" w:cs="Times New Roman"/>
        <w:sz w:val="20"/>
        <w:szCs w:val="20"/>
      </w:rPr>
      <w:t>ports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A7B4D" w14:textId="77777777" w:rsidR="00C5439F" w:rsidRDefault="00C5439F" w:rsidP="00894C55">
      <w:pPr>
        <w:spacing w:after="0" w:line="240" w:lineRule="auto"/>
      </w:pPr>
      <w:r>
        <w:separator/>
      </w:r>
    </w:p>
    <w:p w14:paraId="59B93DBF" w14:textId="77777777" w:rsidR="00C5439F" w:rsidRDefault="00C5439F"/>
    <w:p w14:paraId="32829D22" w14:textId="77777777" w:rsidR="00C5439F" w:rsidRDefault="00C5439F"/>
  </w:footnote>
  <w:footnote w:type="continuationSeparator" w:id="0">
    <w:p w14:paraId="50BC9DD9" w14:textId="77777777" w:rsidR="00C5439F" w:rsidRDefault="00C5439F" w:rsidP="00894C55">
      <w:pPr>
        <w:spacing w:after="0" w:line="240" w:lineRule="auto"/>
      </w:pPr>
      <w:r>
        <w:continuationSeparator/>
      </w:r>
    </w:p>
    <w:p w14:paraId="6F0068F1" w14:textId="77777777" w:rsidR="00C5439F" w:rsidRDefault="00C5439F"/>
    <w:p w14:paraId="7DC6E0F4" w14:textId="77777777" w:rsidR="00C5439F" w:rsidRDefault="00C5439F"/>
  </w:footnote>
  <w:footnote w:id="1">
    <w:p w14:paraId="32F21E5B" w14:textId="5426A12F" w:rsidR="00C425C5" w:rsidRPr="003B28C1" w:rsidRDefault="00C425C5">
      <w:pPr>
        <w:pStyle w:val="FootnoteText"/>
        <w:rPr>
          <w:rFonts w:ascii="Times New Roman" w:hAnsi="Times New Roman" w:cs="Times New Roman"/>
          <w:sz w:val="18"/>
          <w:szCs w:val="18"/>
        </w:rPr>
      </w:pPr>
      <w:r w:rsidRPr="003B28C1">
        <w:rPr>
          <w:rStyle w:val="FootnoteReference"/>
          <w:rFonts w:ascii="Times New Roman" w:hAnsi="Times New Roman" w:cs="Times New Roman"/>
          <w:sz w:val="18"/>
          <w:szCs w:val="18"/>
        </w:rPr>
        <w:footnoteRef/>
      </w:r>
      <w:r w:rsidRPr="003B28C1">
        <w:rPr>
          <w:rFonts w:ascii="Times New Roman" w:hAnsi="Times New Roman" w:cs="Times New Roman"/>
          <w:sz w:val="18"/>
          <w:szCs w:val="18"/>
        </w:rPr>
        <w:t xml:space="preserve"> </w:t>
      </w:r>
      <w:hyperlink r:id="rId1" w:history="1">
        <w:r w:rsidRPr="00A70658">
          <w:rPr>
            <w:rStyle w:val="Hyperlink"/>
            <w:rFonts w:ascii="Times New Roman" w:hAnsi="Times New Roman" w:cs="Times New Roman"/>
            <w:sz w:val="18"/>
            <w:szCs w:val="18"/>
          </w:rPr>
          <w:t>https://www.wada-ama.org/sites/default/files/resources/files/2021_wada_code.pdf</w:t>
        </w:r>
      </w:hyperlink>
    </w:p>
  </w:footnote>
  <w:footnote w:id="2">
    <w:p w14:paraId="36C54AF8" w14:textId="77777777" w:rsidR="00C425C5" w:rsidRPr="003B28C1" w:rsidRDefault="00C425C5" w:rsidP="003B28C1">
      <w:pPr>
        <w:pStyle w:val="FootnoteText"/>
        <w:rPr>
          <w:rFonts w:ascii="Times New Roman" w:hAnsi="Times New Roman" w:cs="Times New Roman"/>
          <w:sz w:val="18"/>
          <w:szCs w:val="18"/>
        </w:rPr>
      </w:pPr>
      <w:r w:rsidRPr="003B28C1">
        <w:rPr>
          <w:rStyle w:val="FootnoteReference"/>
          <w:rFonts w:ascii="Times New Roman" w:hAnsi="Times New Roman" w:cs="Times New Roman"/>
          <w:sz w:val="18"/>
          <w:szCs w:val="18"/>
        </w:rPr>
        <w:footnoteRef/>
      </w:r>
      <w:r w:rsidRPr="003B28C1">
        <w:rPr>
          <w:rFonts w:ascii="Times New Roman" w:hAnsi="Times New Roman" w:cs="Times New Roman"/>
          <w:sz w:val="18"/>
          <w:szCs w:val="18"/>
        </w:rPr>
        <w:t xml:space="preserve"> </w:t>
      </w:r>
      <w:hyperlink r:id="rId2" w:history="1">
        <w:r w:rsidRPr="003B28C1">
          <w:rPr>
            <w:rStyle w:val="Hyperlink"/>
            <w:rFonts w:ascii="Times New Roman" w:hAnsi="Times New Roman" w:cs="Times New Roman"/>
            <w:sz w:val="18"/>
            <w:szCs w:val="18"/>
          </w:rPr>
          <w:t>https://likumi.lv/ta/id/319775-par-pasaules-antidopinga-agenturas-2021-gada-pasaules-antidopinga-kodeksa-pienemsanu</w:t>
        </w:r>
      </w:hyperlink>
    </w:p>
  </w:footnote>
  <w:footnote w:id="3">
    <w:p w14:paraId="30BC4E79" w14:textId="77777777" w:rsidR="0017096E" w:rsidRPr="004B6F47" w:rsidRDefault="0017096E" w:rsidP="0017096E">
      <w:pPr>
        <w:pStyle w:val="FootnoteText"/>
        <w:rPr>
          <w:sz w:val="18"/>
          <w:szCs w:val="18"/>
        </w:rPr>
      </w:pPr>
      <w:r w:rsidRPr="004B6F47">
        <w:rPr>
          <w:rStyle w:val="FootnoteReference"/>
          <w:rFonts w:ascii="Times New Roman" w:hAnsi="Times New Roman" w:cs="Times New Roman"/>
          <w:sz w:val="18"/>
          <w:szCs w:val="18"/>
        </w:rPr>
        <w:footnoteRef/>
      </w:r>
      <w:r w:rsidRPr="004B6F47">
        <w:rPr>
          <w:rFonts w:ascii="Times New Roman" w:hAnsi="Times New Roman" w:cs="Times New Roman"/>
          <w:sz w:val="18"/>
          <w:szCs w:val="18"/>
        </w:rPr>
        <w:t xml:space="preserve"> </w:t>
      </w:r>
      <w:hyperlink r:id="rId3" w:history="1">
        <w:r w:rsidRPr="004B6F47">
          <w:rPr>
            <w:rStyle w:val="Hyperlink"/>
            <w:rFonts w:ascii="Times New Roman" w:hAnsi="Times New Roman" w:cs="Times New Roman"/>
            <w:sz w:val="18"/>
            <w:szCs w:val="18"/>
          </w:rPr>
          <w:t>https://likumi.lv/ta/id/319775-par-pasaules-antidopinga-agenturas-2021-gada-pasaules-antidopinga-kodeksa-pienemsanu</w:t>
        </w:r>
      </w:hyperlink>
    </w:p>
  </w:footnote>
  <w:footnote w:id="4">
    <w:p w14:paraId="406720A2" w14:textId="07BD0D6E" w:rsidR="00C425C5" w:rsidRPr="004B6F47" w:rsidRDefault="00C425C5">
      <w:pPr>
        <w:pStyle w:val="FootnoteText"/>
        <w:rPr>
          <w:rFonts w:ascii="Times New Roman" w:hAnsi="Times New Roman" w:cs="Times New Roman"/>
          <w:sz w:val="18"/>
          <w:szCs w:val="18"/>
        </w:rPr>
      </w:pPr>
      <w:r w:rsidRPr="004B6F47">
        <w:rPr>
          <w:rStyle w:val="FootnoteReference"/>
          <w:rFonts w:ascii="Times New Roman" w:hAnsi="Times New Roman" w:cs="Times New Roman"/>
          <w:sz w:val="18"/>
          <w:szCs w:val="18"/>
        </w:rPr>
        <w:footnoteRef/>
      </w:r>
      <w:r w:rsidRPr="004B6F47">
        <w:rPr>
          <w:rFonts w:ascii="Times New Roman" w:hAnsi="Times New Roman" w:cs="Times New Roman"/>
          <w:sz w:val="18"/>
          <w:szCs w:val="18"/>
        </w:rPr>
        <w:t xml:space="preserve"> </w:t>
      </w:r>
      <w:hyperlink r:id="rId4" w:history="1">
        <w:r w:rsidRPr="004B6F47">
          <w:rPr>
            <w:rStyle w:val="Hyperlink"/>
            <w:rFonts w:ascii="Times New Roman" w:hAnsi="Times New Roman" w:cs="Times New Roman"/>
            <w:sz w:val="18"/>
            <w:szCs w:val="18"/>
          </w:rPr>
          <w:t>https://www.wada-ama.org/en/resources/the-code/2021-international-standard-for-education-ise</w:t>
        </w:r>
      </w:hyperlink>
    </w:p>
  </w:footnote>
  <w:footnote w:id="5">
    <w:p w14:paraId="1CD96A4B" w14:textId="5BCF6FE0" w:rsidR="00C425C5" w:rsidRDefault="00C425C5">
      <w:pPr>
        <w:pStyle w:val="FootnoteText"/>
      </w:pPr>
      <w:r w:rsidRPr="004B6F47">
        <w:rPr>
          <w:rStyle w:val="FootnoteReference"/>
          <w:rFonts w:ascii="Times New Roman" w:hAnsi="Times New Roman" w:cs="Times New Roman"/>
          <w:sz w:val="18"/>
          <w:szCs w:val="18"/>
        </w:rPr>
        <w:footnoteRef/>
      </w:r>
      <w:r w:rsidRPr="004B6F47">
        <w:rPr>
          <w:rFonts w:ascii="Times New Roman" w:hAnsi="Times New Roman" w:cs="Times New Roman"/>
          <w:sz w:val="18"/>
          <w:szCs w:val="18"/>
        </w:rPr>
        <w:t xml:space="preserve"> </w:t>
      </w:r>
      <w:hyperlink r:id="rId5" w:history="1">
        <w:r w:rsidRPr="004B6F47">
          <w:rPr>
            <w:rStyle w:val="Hyperlink"/>
            <w:rFonts w:ascii="Times New Roman" w:hAnsi="Times New Roman" w:cs="Times New Roman"/>
            <w:sz w:val="18"/>
            <w:szCs w:val="18"/>
          </w:rPr>
          <w:t>https://www.wada-ama.org/en/resources/the-code/2021-international-standard-for-results-management-isrm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09A6" w14:textId="5D52D023" w:rsidR="00C425C5" w:rsidRDefault="00C425C5">
    <w:pPr>
      <w:pStyle w:val="Header"/>
    </w:pPr>
  </w:p>
  <w:p w14:paraId="358145DD" w14:textId="77777777" w:rsidR="00C425C5" w:rsidRDefault="00C425C5"/>
  <w:p w14:paraId="7CB4F55F" w14:textId="77777777" w:rsidR="00C425C5" w:rsidRDefault="00C425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A264064" w14:textId="77777777" w:rsidR="00C425C5" w:rsidRPr="00C25B49" w:rsidRDefault="00C425C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76868">
          <w:rPr>
            <w:rFonts w:ascii="Times New Roman" w:hAnsi="Times New Roman" w:cs="Times New Roman"/>
            <w:noProof/>
            <w:sz w:val="24"/>
            <w:szCs w:val="20"/>
          </w:rPr>
          <w:t>14</w:t>
        </w:r>
        <w:r w:rsidRPr="00C25B49">
          <w:rPr>
            <w:rFonts w:ascii="Times New Roman" w:hAnsi="Times New Roman" w:cs="Times New Roman"/>
            <w:noProof/>
            <w:sz w:val="24"/>
            <w:szCs w:val="20"/>
          </w:rPr>
          <w:fldChar w:fldCharType="end"/>
        </w:r>
      </w:p>
    </w:sdtContent>
  </w:sdt>
  <w:p w14:paraId="307784A6" w14:textId="77777777" w:rsidR="00C425C5" w:rsidRDefault="00C425C5"/>
  <w:p w14:paraId="24BDCA05" w14:textId="77777777" w:rsidR="00C425C5" w:rsidRDefault="00C425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57602"/>
    <w:multiLevelType w:val="hybridMultilevel"/>
    <w:tmpl w:val="19EE4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4C9706C"/>
    <w:multiLevelType w:val="hybridMultilevel"/>
    <w:tmpl w:val="68E6959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252F9"/>
    <w:rsid w:val="00037FD7"/>
    <w:rsid w:val="00056D1A"/>
    <w:rsid w:val="000575D1"/>
    <w:rsid w:val="000659DE"/>
    <w:rsid w:val="00066A34"/>
    <w:rsid w:val="00074BF3"/>
    <w:rsid w:val="000B3366"/>
    <w:rsid w:val="000D2225"/>
    <w:rsid w:val="000D5C58"/>
    <w:rsid w:val="000E2E51"/>
    <w:rsid w:val="000E557F"/>
    <w:rsid w:val="000F19D3"/>
    <w:rsid w:val="000F1F6E"/>
    <w:rsid w:val="000F4489"/>
    <w:rsid w:val="0010790A"/>
    <w:rsid w:val="001128EB"/>
    <w:rsid w:val="00113BC1"/>
    <w:rsid w:val="00145303"/>
    <w:rsid w:val="00156016"/>
    <w:rsid w:val="0016736A"/>
    <w:rsid w:val="0017096E"/>
    <w:rsid w:val="00196207"/>
    <w:rsid w:val="001A16A2"/>
    <w:rsid w:val="001B1752"/>
    <w:rsid w:val="001B3DB6"/>
    <w:rsid w:val="001D03F0"/>
    <w:rsid w:val="001D1AFC"/>
    <w:rsid w:val="001F02E8"/>
    <w:rsid w:val="001F49E5"/>
    <w:rsid w:val="00201525"/>
    <w:rsid w:val="00206F75"/>
    <w:rsid w:val="00207710"/>
    <w:rsid w:val="00220DF5"/>
    <w:rsid w:val="00222392"/>
    <w:rsid w:val="00225344"/>
    <w:rsid w:val="00230DD1"/>
    <w:rsid w:val="00243426"/>
    <w:rsid w:val="0024393D"/>
    <w:rsid w:val="0027702C"/>
    <w:rsid w:val="002A6B8B"/>
    <w:rsid w:val="002C53BE"/>
    <w:rsid w:val="002C66C8"/>
    <w:rsid w:val="002D6721"/>
    <w:rsid w:val="002E044A"/>
    <w:rsid w:val="002E1C05"/>
    <w:rsid w:val="002E6D82"/>
    <w:rsid w:val="00300332"/>
    <w:rsid w:val="0030340E"/>
    <w:rsid w:val="00310079"/>
    <w:rsid w:val="003140A3"/>
    <w:rsid w:val="0032633D"/>
    <w:rsid w:val="003307B4"/>
    <w:rsid w:val="00334AEF"/>
    <w:rsid w:val="00335ADC"/>
    <w:rsid w:val="003417B2"/>
    <w:rsid w:val="003514E4"/>
    <w:rsid w:val="00353EBB"/>
    <w:rsid w:val="00355A73"/>
    <w:rsid w:val="00376868"/>
    <w:rsid w:val="003937AC"/>
    <w:rsid w:val="003A1CC1"/>
    <w:rsid w:val="003B0BF9"/>
    <w:rsid w:val="003B28C1"/>
    <w:rsid w:val="003B5066"/>
    <w:rsid w:val="003C0AC8"/>
    <w:rsid w:val="003C158D"/>
    <w:rsid w:val="003D51B3"/>
    <w:rsid w:val="003E0791"/>
    <w:rsid w:val="003E1660"/>
    <w:rsid w:val="003F28AC"/>
    <w:rsid w:val="00402C1F"/>
    <w:rsid w:val="00414902"/>
    <w:rsid w:val="004173ED"/>
    <w:rsid w:val="004231D3"/>
    <w:rsid w:val="004277EB"/>
    <w:rsid w:val="0043004D"/>
    <w:rsid w:val="0043582A"/>
    <w:rsid w:val="004358E9"/>
    <w:rsid w:val="00440DBD"/>
    <w:rsid w:val="004412E8"/>
    <w:rsid w:val="00441482"/>
    <w:rsid w:val="004454FE"/>
    <w:rsid w:val="004469EF"/>
    <w:rsid w:val="00456E40"/>
    <w:rsid w:val="00466E9F"/>
    <w:rsid w:val="00471F27"/>
    <w:rsid w:val="004757E3"/>
    <w:rsid w:val="004769C8"/>
    <w:rsid w:val="00484186"/>
    <w:rsid w:val="004B6F47"/>
    <w:rsid w:val="004C737A"/>
    <w:rsid w:val="0050178F"/>
    <w:rsid w:val="0051372E"/>
    <w:rsid w:val="00515654"/>
    <w:rsid w:val="00530B67"/>
    <w:rsid w:val="0053382E"/>
    <w:rsid w:val="00556971"/>
    <w:rsid w:val="00595CF2"/>
    <w:rsid w:val="00596730"/>
    <w:rsid w:val="00596778"/>
    <w:rsid w:val="005A4382"/>
    <w:rsid w:val="005C29EB"/>
    <w:rsid w:val="005C6C05"/>
    <w:rsid w:val="005D21AC"/>
    <w:rsid w:val="005D682E"/>
    <w:rsid w:val="005F0132"/>
    <w:rsid w:val="005F1132"/>
    <w:rsid w:val="00605134"/>
    <w:rsid w:val="00621F55"/>
    <w:rsid w:val="00624C6D"/>
    <w:rsid w:val="00633F54"/>
    <w:rsid w:val="00637110"/>
    <w:rsid w:val="00643A15"/>
    <w:rsid w:val="00655F2C"/>
    <w:rsid w:val="00670E7E"/>
    <w:rsid w:val="00687E9E"/>
    <w:rsid w:val="00692786"/>
    <w:rsid w:val="00696C74"/>
    <w:rsid w:val="006A14BA"/>
    <w:rsid w:val="006A2BDC"/>
    <w:rsid w:val="006A64E3"/>
    <w:rsid w:val="006E1081"/>
    <w:rsid w:val="006F542B"/>
    <w:rsid w:val="00720585"/>
    <w:rsid w:val="00726E4C"/>
    <w:rsid w:val="00742511"/>
    <w:rsid w:val="007470A9"/>
    <w:rsid w:val="00762F7E"/>
    <w:rsid w:val="00773AF6"/>
    <w:rsid w:val="00795F71"/>
    <w:rsid w:val="007B3690"/>
    <w:rsid w:val="007B7348"/>
    <w:rsid w:val="007C5225"/>
    <w:rsid w:val="007C6A6F"/>
    <w:rsid w:val="007D650B"/>
    <w:rsid w:val="007E5F7A"/>
    <w:rsid w:val="007E73AB"/>
    <w:rsid w:val="00812338"/>
    <w:rsid w:val="00813B9E"/>
    <w:rsid w:val="00816C11"/>
    <w:rsid w:val="00834804"/>
    <w:rsid w:val="0084109A"/>
    <w:rsid w:val="00852876"/>
    <w:rsid w:val="0086613B"/>
    <w:rsid w:val="008854A5"/>
    <w:rsid w:val="00893274"/>
    <w:rsid w:val="00894C55"/>
    <w:rsid w:val="0089710B"/>
    <w:rsid w:val="008A09ED"/>
    <w:rsid w:val="008A4514"/>
    <w:rsid w:val="008B2E0C"/>
    <w:rsid w:val="008B3247"/>
    <w:rsid w:val="008E6001"/>
    <w:rsid w:val="008F0B48"/>
    <w:rsid w:val="008F3832"/>
    <w:rsid w:val="00905F22"/>
    <w:rsid w:val="00917165"/>
    <w:rsid w:val="009202F4"/>
    <w:rsid w:val="0092581B"/>
    <w:rsid w:val="0099316E"/>
    <w:rsid w:val="009A2654"/>
    <w:rsid w:val="009A68C7"/>
    <w:rsid w:val="009A7A49"/>
    <w:rsid w:val="009B3BE7"/>
    <w:rsid w:val="009C1FC5"/>
    <w:rsid w:val="009C2245"/>
    <w:rsid w:val="009C3E46"/>
    <w:rsid w:val="009D0282"/>
    <w:rsid w:val="009D46B4"/>
    <w:rsid w:val="009E4152"/>
    <w:rsid w:val="009E4880"/>
    <w:rsid w:val="009E5C86"/>
    <w:rsid w:val="009E7333"/>
    <w:rsid w:val="009F050D"/>
    <w:rsid w:val="009F07B4"/>
    <w:rsid w:val="009F1AFF"/>
    <w:rsid w:val="009F6151"/>
    <w:rsid w:val="00A03D54"/>
    <w:rsid w:val="00A10FC3"/>
    <w:rsid w:val="00A17C87"/>
    <w:rsid w:val="00A32E4B"/>
    <w:rsid w:val="00A36B31"/>
    <w:rsid w:val="00A412FA"/>
    <w:rsid w:val="00A503BC"/>
    <w:rsid w:val="00A56687"/>
    <w:rsid w:val="00A6073E"/>
    <w:rsid w:val="00A63DC6"/>
    <w:rsid w:val="00A67F04"/>
    <w:rsid w:val="00A7058D"/>
    <w:rsid w:val="00A74181"/>
    <w:rsid w:val="00AA01F7"/>
    <w:rsid w:val="00AA530F"/>
    <w:rsid w:val="00AC4070"/>
    <w:rsid w:val="00AD0411"/>
    <w:rsid w:val="00AE1BCC"/>
    <w:rsid w:val="00AE5567"/>
    <w:rsid w:val="00AF1239"/>
    <w:rsid w:val="00AF1D7C"/>
    <w:rsid w:val="00B00238"/>
    <w:rsid w:val="00B03E12"/>
    <w:rsid w:val="00B15014"/>
    <w:rsid w:val="00B16480"/>
    <w:rsid w:val="00B2165C"/>
    <w:rsid w:val="00B310A7"/>
    <w:rsid w:val="00B34708"/>
    <w:rsid w:val="00B51B55"/>
    <w:rsid w:val="00B6373D"/>
    <w:rsid w:val="00B73559"/>
    <w:rsid w:val="00B74C8F"/>
    <w:rsid w:val="00B87086"/>
    <w:rsid w:val="00BA20AA"/>
    <w:rsid w:val="00BD4425"/>
    <w:rsid w:val="00C15960"/>
    <w:rsid w:val="00C168DA"/>
    <w:rsid w:val="00C233A2"/>
    <w:rsid w:val="00C25B49"/>
    <w:rsid w:val="00C35E0D"/>
    <w:rsid w:val="00C425C5"/>
    <w:rsid w:val="00C42C02"/>
    <w:rsid w:val="00C43202"/>
    <w:rsid w:val="00C5439F"/>
    <w:rsid w:val="00C6741E"/>
    <w:rsid w:val="00C719AB"/>
    <w:rsid w:val="00C73000"/>
    <w:rsid w:val="00C77B33"/>
    <w:rsid w:val="00CB010D"/>
    <w:rsid w:val="00CB1BE0"/>
    <w:rsid w:val="00CC0D2D"/>
    <w:rsid w:val="00CE5657"/>
    <w:rsid w:val="00CF7B81"/>
    <w:rsid w:val="00D133F8"/>
    <w:rsid w:val="00D14A3E"/>
    <w:rsid w:val="00D24916"/>
    <w:rsid w:val="00D333C7"/>
    <w:rsid w:val="00D37D52"/>
    <w:rsid w:val="00D41BDF"/>
    <w:rsid w:val="00D455BB"/>
    <w:rsid w:val="00D66281"/>
    <w:rsid w:val="00D67637"/>
    <w:rsid w:val="00D847B6"/>
    <w:rsid w:val="00D93A5B"/>
    <w:rsid w:val="00D951B0"/>
    <w:rsid w:val="00DC02EA"/>
    <w:rsid w:val="00DC14A2"/>
    <w:rsid w:val="00DC4330"/>
    <w:rsid w:val="00DE6031"/>
    <w:rsid w:val="00DE697F"/>
    <w:rsid w:val="00E10AA3"/>
    <w:rsid w:val="00E17751"/>
    <w:rsid w:val="00E21637"/>
    <w:rsid w:val="00E2500E"/>
    <w:rsid w:val="00E263FD"/>
    <w:rsid w:val="00E3716B"/>
    <w:rsid w:val="00E45403"/>
    <w:rsid w:val="00E47282"/>
    <w:rsid w:val="00E5323B"/>
    <w:rsid w:val="00E63FFC"/>
    <w:rsid w:val="00E8619A"/>
    <w:rsid w:val="00E8749E"/>
    <w:rsid w:val="00E87CF8"/>
    <w:rsid w:val="00E9077F"/>
    <w:rsid w:val="00E90C01"/>
    <w:rsid w:val="00E92427"/>
    <w:rsid w:val="00E97CEA"/>
    <w:rsid w:val="00EA486E"/>
    <w:rsid w:val="00EB1946"/>
    <w:rsid w:val="00EB1D6F"/>
    <w:rsid w:val="00EB300E"/>
    <w:rsid w:val="00EB56C0"/>
    <w:rsid w:val="00EB7370"/>
    <w:rsid w:val="00EC27FF"/>
    <w:rsid w:val="00F073E9"/>
    <w:rsid w:val="00F10D4F"/>
    <w:rsid w:val="00F16C59"/>
    <w:rsid w:val="00F26E63"/>
    <w:rsid w:val="00F342A2"/>
    <w:rsid w:val="00F57B0C"/>
    <w:rsid w:val="00F6109E"/>
    <w:rsid w:val="00F63F68"/>
    <w:rsid w:val="00F6486B"/>
    <w:rsid w:val="00F85CC8"/>
    <w:rsid w:val="00FA1F0E"/>
    <w:rsid w:val="00FB1845"/>
    <w:rsid w:val="00FB282A"/>
    <w:rsid w:val="00FC734A"/>
    <w:rsid w:val="00FE66EC"/>
    <w:rsid w:val="00FF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CB667"/>
  <w15:docId w15:val="{C38D14B1-BC1C-4933-8757-CEA4C89A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C16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8DA"/>
    <w:rPr>
      <w:sz w:val="20"/>
      <w:szCs w:val="20"/>
    </w:rPr>
  </w:style>
  <w:style w:type="character" w:styleId="FootnoteReference">
    <w:name w:val="footnote reference"/>
    <w:basedOn w:val="DefaultParagraphFont"/>
    <w:uiPriority w:val="99"/>
    <w:semiHidden/>
    <w:unhideWhenUsed/>
    <w:rsid w:val="00C168DA"/>
    <w:rPr>
      <w:vertAlign w:val="superscript"/>
    </w:rPr>
  </w:style>
  <w:style w:type="character" w:styleId="Emphasis">
    <w:name w:val="Emphasis"/>
    <w:basedOn w:val="DefaultParagraphFont"/>
    <w:uiPriority w:val="20"/>
    <w:qFormat/>
    <w:rsid w:val="00762F7E"/>
    <w:rPr>
      <w:i/>
      <w:iCs/>
    </w:rPr>
  </w:style>
  <w:style w:type="character" w:styleId="CommentReference">
    <w:name w:val="annotation reference"/>
    <w:basedOn w:val="DefaultParagraphFont"/>
    <w:uiPriority w:val="99"/>
    <w:semiHidden/>
    <w:unhideWhenUsed/>
    <w:rsid w:val="00EB1946"/>
    <w:rPr>
      <w:sz w:val="16"/>
      <w:szCs w:val="16"/>
    </w:rPr>
  </w:style>
  <w:style w:type="paragraph" w:styleId="CommentText">
    <w:name w:val="annotation text"/>
    <w:basedOn w:val="Normal"/>
    <w:link w:val="CommentTextChar"/>
    <w:uiPriority w:val="99"/>
    <w:unhideWhenUsed/>
    <w:rsid w:val="00EB1946"/>
    <w:pPr>
      <w:spacing w:line="240" w:lineRule="auto"/>
    </w:pPr>
    <w:rPr>
      <w:sz w:val="20"/>
      <w:szCs w:val="20"/>
    </w:rPr>
  </w:style>
  <w:style w:type="character" w:customStyle="1" w:styleId="CommentTextChar">
    <w:name w:val="Comment Text Char"/>
    <w:basedOn w:val="DefaultParagraphFont"/>
    <w:link w:val="CommentText"/>
    <w:uiPriority w:val="99"/>
    <w:rsid w:val="00EB1946"/>
    <w:rPr>
      <w:sz w:val="20"/>
      <w:szCs w:val="20"/>
    </w:rPr>
  </w:style>
  <w:style w:type="paragraph" w:styleId="CommentSubject">
    <w:name w:val="annotation subject"/>
    <w:basedOn w:val="CommentText"/>
    <w:next w:val="CommentText"/>
    <w:link w:val="CommentSubjectChar"/>
    <w:uiPriority w:val="99"/>
    <w:semiHidden/>
    <w:unhideWhenUsed/>
    <w:rsid w:val="00EB1946"/>
    <w:rPr>
      <w:b/>
      <w:bCs/>
    </w:rPr>
  </w:style>
  <w:style w:type="character" w:customStyle="1" w:styleId="CommentSubjectChar">
    <w:name w:val="Comment Subject Char"/>
    <w:basedOn w:val="CommentTextChar"/>
    <w:link w:val="CommentSubject"/>
    <w:uiPriority w:val="99"/>
    <w:semiHidden/>
    <w:rsid w:val="00EB1946"/>
    <w:rPr>
      <w:b/>
      <w:bCs/>
      <w:sz w:val="20"/>
      <w:szCs w:val="20"/>
    </w:rPr>
  </w:style>
  <w:style w:type="paragraph" w:styleId="ListParagraph">
    <w:name w:val="List Paragraph"/>
    <w:basedOn w:val="Normal"/>
    <w:uiPriority w:val="34"/>
    <w:qFormat/>
    <w:rsid w:val="00334AEF"/>
    <w:pPr>
      <w:ind w:left="720"/>
      <w:contextualSpacing/>
    </w:pPr>
  </w:style>
  <w:style w:type="character" w:customStyle="1" w:styleId="UnresolvedMention1">
    <w:name w:val="Unresolved Mention1"/>
    <w:basedOn w:val="DefaultParagraphFont"/>
    <w:uiPriority w:val="99"/>
    <w:semiHidden/>
    <w:unhideWhenUsed/>
    <w:rsid w:val="00A503BC"/>
    <w:rPr>
      <w:color w:val="605E5C"/>
      <w:shd w:val="clear" w:color="auto" w:fill="E1DFDD"/>
    </w:rPr>
  </w:style>
  <w:style w:type="character" w:customStyle="1" w:styleId="normaltextrun">
    <w:name w:val="normaltextrun"/>
    <w:basedOn w:val="DefaultParagraphFont"/>
    <w:rsid w:val="00FB1845"/>
  </w:style>
  <w:style w:type="character" w:customStyle="1" w:styleId="eop">
    <w:name w:val="eop"/>
    <w:basedOn w:val="DefaultParagraphFont"/>
    <w:rsid w:val="00FB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4670">
      <w:bodyDiv w:val="1"/>
      <w:marLeft w:val="0"/>
      <w:marRight w:val="0"/>
      <w:marTop w:val="0"/>
      <w:marBottom w:val="0"/>
      <w:divBdr>
        <w:top w:val="none" w:sz="0" w:space="0" w:color="auto"/>
        <w:left w:val="none" w:sz="0" w:space="0" w:color="auto"/>
        <w:bottom w:val="none" w:sz="0" w:space="0" w:color="auto"/>
        <w:right w:val="none" w:sz="0" w:space="0" w:color="auto"/>
      </w:divBdr>
      <w:divsChild>
        <w:div w:id="164977331">
          <w:marLeft w:val="0"/>
          <w:marRight w:val="0"/>
          <w:marTop w:val="480"/>
          <w:marBottom w:val="240"/>
          <w:divBdr>
            <w:top w:val="none" w:sz="0" w:space="0" w:color="auto"/>
            <w:left w:val="none" w:sz="0" w:space="0" w:color="auto"/>
            <w:bottom w:val="none" w:sz="0" w:space="0" w:color="auto"/>
            <w:right w:val="none" w:sz="0" w:space="0" w:color="auto"/>
          </w:divBdr>
        </w:div>
        <w:div w:id="819543458">
          <w:marLeft w:val="0"/>
          <w:marRight w:val="0"/>
          <w:marTop w:val="0"/>
          <w:marBottom w:val="567"/>
          <w:divBdr>
            <w:top w:val="none" w:sz="0" w:space="0" w:color="auto"/>
            <w:left w:val="none" w:sz="0" w:space="0" w:color="auto"/>
            <w:bottom w:val="none" w:sz="0" w:space="0" w:color="auto"/>
            <w:right w:val="none" w:sz="0" w:space="0" w:color="auto"/>
          </w:divBdr>
        </w:div>
      </w:divsChild>
    </w:div>
    <w:div w:id="153761993">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67776309">
      <w:bodyDiv w:val="1"/>
      <w:marLeft w:val="0"/>
      <w:marRight w:val="0"/>
      <w:marTop w:val="0"/>
      <w:marBottom w:val="0"/>
      <w:divBdr>
        <w:top w:val="none" w:sz="0" w:space="0" w:color="auto"/>
        <w:left w:val="none" w:sz="0" w:space="0" w:color="auto"/>
        <w:bottom w:val="none" w:sz="0" w:space="0" w:color="auto"/>
        <w:right w:val="none" w:sz="0" w:space="0" w:color="auto"/>
      </w:divBdr>
    </w:div>
    <w:div w:id="15851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doc.php?id=20306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likumi.lv/doc.php?id=20306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doc.php?id=203061" TargetMode="External"/><Relationship Id="rId5" Type="http://schemas.openxmlformats.org/officeDocument/2006/relationships/numbering" Target="numbering.xml"/><Relationship Id="rId15" Type="http://schemas.openxmlformats.org/officeDocument/2006/relationships/hyperlink" Target="mailto:roberts.lauris@antidopings.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ita.lazdina@vm.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19775-par-pasaules-antidopinga-agenturas-2021-gada-pasaules-antidopinga-kodeksa-pienemsanu" TargetMode="External"/><Relationship Id="rId2" Type="http://schemas.openxmlformats.org/officeDocument/2006/relationships/hyperlink" Target="https://likumi.lv/ta/id/319775-par-pasaules-antidopinga-agenturas-2021-gada-pasaules-antidopinga-kodeksa-pienemsanu" TargetMode="External"/><Relationship Id="rId1" Type="http://schemas.openxmlformats.org/officeDocument/2006/relationships/hyperlink" Target="https://www.wada-ama.org/sites/default/files/resources/files/2021_wada_code.pdf" TargetMode="External"/><Relationship Id="rId5" Type="http://schemas.openxmlformats.org/officeDocument/2006/relationships/hyperlink" Target="https://www.wada-ama.org/en/resources/the-code/2021-international-standard-for-results-management-isrm" TargetMode="External"/><Relationship Id="rId4" Type="http://schemas.openxmlformats.org/officeDocument/2006/relationships/hyperlink" Target="https://www.wada-ama.org/en/resources/the-code/2021-international-standard-for-education-i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006EB"/>
    <w:rsid w:val="00057C8B"/>
    <w:rsid w:val="0006160B"/>
    <w:rsid w:val="00084514"/>
    <w:rsid w:val="000A581F"/>
    <w:rsid w:val="000B33CD"/>
    <w:rsid w:val="00115CAD"/>
    <w:rsid w:val="001549DA"/>
    <w:rsid w:val="0026362C"/>
    <w:rsid w:val="00344186"/>
    <w:rsid w:val="00472F39"/>
    <w:rsid w:val="00492F09"/>
    <w:rsid w:val="004A63C7"/>
    <w:rsid w:val="004E12F7"/>
    <w:rsid w:val="00523A63"/>
    <w:rsid w:val="00612336"/>
    <w:rsid w:val="00684F5C"/>
    <w:rsid w:val="00724D45"/>
    <w:rsid w:val="008B623B"/>
    <w:rsid w:val="008C614F"/>
    <w:rsid w:val="008D39C9"/>
    <w:rsid w:val="009C1B4C"/>
    <w:rsid w:val="00AD4A2F"/>
    <w:rsid w:val="00B15C2D"/>
    <w:rsid w:val="00B3767C"/>
    <w:rsid w:val="00BD5451"/>
    <w:rsid w:val="00C00671"/>
    <w:rsid w:val="00F848D3"/>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d72f480-ad49-4ca5-b9fb-b383de9c0d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A5349DA682D71459F65987774ADC839" ma:contentTypeVersion="13" ma:contentTypeDescription="Izveidot jaunu dokumentu." ma:contentTypeScope="" ma:versionID="899c46fc62b468de26860e22b5ff40fe">
  <xsd:schema xmlns:xsd="http://www.w3.org/2001/XMLSchema" xmlns:xs="http://www.w3.org/2001/XMLSchema" xmlns:p="http://schemas.microsoft.com/office/2006/metadata/properties" xmlns:ns2="cd72f480-ad49-4ca5-b9fb-b383de9c0d55" xmlns:ns3="fcc4b0d5-f93d-4bb2-8b48-0644f5855e83" targetNamespace="http://schemas.microsoft.com/office/2006/metadata/properties" ma:root="true" ma:fieldsID="5a0b2f081033fe5d07216d75c0d199fb" ns2:_="" ns3:_="">
    <xsd:import namespace="cd72f480-ad49-4ca5-b9fb-b383de9c0d55"/>
    <xsd:import namespace="fcc4b0d5-f93d-4bb2-8b48-0644f5855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f480-ad49-4ca5-b9fb-b383de9c0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4b0d5-f93d-4bb2-8b48-0644f5855e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D349F-9A4E-4DBF-9DFE-B2CB3B422B2C}">
  <ds:schemaRefs>
    <ds:schemaRef ds:uri="http://schemas.openxmlformats.org/officeDocument/2006/bibliography"/>
  </ds:schemaRefs>
</ds:datastoreItem>
</file>

<file path=customXml/itemProps2.xml><?xml version="1.0" encoding="utf-8"?>
<ds:datastoreItem xmlns:ds="http://schemas.openxmlformats.org/officeDocument/2006/customXml" ds:itemID="{727CEB26-8E5F-47E1-8798-497A4FDE5467}">
  <ds:schemaRefs>
    <ds:schemaRef ds:uri="http://schemas.microsoft.com/office/2006/metadata/properties"/>
    <ds:schemaRef ds:uri="http://schemas.microsoft.com/office/infopath/2007/PartnerControls"/>
    <ds:schemaRef ds:uri="cd72f480-ad49-4ca5-b9fb-b383de9c0d55"/>
  </ds:schemaRefs>
</ds:datastoreItem>
</file>

<file path=customXml/itemProps3.xml><?xml version="1.0" encoding="utf-8"?>
<ds:datastoreItem xmlns:ds="http://schemas.openxmlformats.org/officeDocument/2006/customXml" ds:itemID="{542F457D-8E51-45CB-9AAD-80826DA7D0C2}">
  <ds:schemaRefs>
    <ds:schemaRef ds:uri="http://schemas.microsoft.com/sharepoint/v3/contenttype/forms"/>
  </ds:schemaRefs>
</ds:datastoreItem>
</file>

<file path=customXml/itemProps4.xml><?xml version="1.0" encoding="utf-8"?>
<ds:datastoreItem xmlns:ds="http://schemas.openxmlformats.org/officeDocument/2006/customXml" ds:itemID="{8986FD38-73F3-445F-8FD9-4962A55AF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f480-ad49-4ca5-b9fb-b383de9c0d55"/>
    <ds:schemaRef ds:uri="fcc4b0d5-f93d-4bb2-8b48-0644f5855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17668</Words>
  <Characters>10071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Evita Bune</cp:lastModifiedBy>
  <cp:revision>2</cp:revision>
  <cp:lastPrinted>2020-10-05T08:48:00Z</cp:lastPrinted>
  <dcterms:created xsi:type="dcterms:W3CDTF">2021-02-15T07:36:00Z</dcterms:created>
  <dcterms:modified xsi:type="dcterms:W3CDTF">2021-02-15T07:36:00Z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0x0101007A5349DA682D71459F65987774ADC839</vt:lpwstr>
  </property>
</Properties>
</file>