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E55B5" w14:textId="77777777" w:rsidR="005B5F81" w:rsidRPr="006F06A4" w:rsidRDefault="005B5F81" w:rsidP="006F06A4">
      <w:pPr>
        <w:pStyle w:val="Bezatstarpm"/>
        <w:jc w:val="right"/>
        <w:rPr>
          <w:rFonts w:ascii="Times New Roman" w:eastAsia="Times New Roman" w:hAnsi="Times New Roman" w:cs="Times New Roman"/>
          <w:color w:val="000000" w:themeColor="text1"/>
        </w:rPr>
      </w:pPr>
      <w:r w:rsidRPr="006F06A4">
        <w:rPr>
          <w:rFonts w:ascii="Times New Roman" w:eastAsia="Times New Roman" w:hAnsi="Times New Roman" w:cs="Times New Roman"/>
          <w:color w:val="000000" w:themeColor="text1"/>
        </w:rPr>
        <w:t xml:space="preserve">Ministru kabineta </w:t>
      </w:r>
      <w:r w:rsidR="00582546" w:rsidRPr="006F06A4">
        <w:rPr>
          <w:rFonts w:ascii="Times New Roman" w:eastAsia="Times New Roman" w:hAnsi="Times New Roman" w:cs="Times New Roman"/>
          <w:color w:val="000000" w:themeColor="text1"/>
        </w:rPr>
        <w:t xml:space="preserve">rīkojuma </w:t>
      </w:r>
      <w:r w:rsidRPr="006F06A4">
        <w:rPr>
          <w:rFonts w:ascii="Times New Roman" w:eastAsia="Times New Roman" w:hAnsi="Times New Roman" w:cs="Times New Roman"/>
          <w:color w:val="000000" w:themeColor="text1"/>
        </w:rPr>
        <w:t>projekta</w:t>
      </w:r>
    </w:p>
    <w:p w14:paraId="318AAB9D" w14:textId="0202A047" w:rsidR="005B5F81" w:rsidRPr="006F06A4" w:rsidRDefault="005C1600" w:rsidP="006F06A4">
      <w:pPr>
        <w:spacing w:line="240" w:lineRule="auto"/>
        <w:jc w:val="right"/>
        <w:rPr>
          <w:rFonts w:ascii="Times New Roman" w:eastAsia="Times New Roman" w:hAnsi="Times New Roman" w:cs="Times New Roman"/>
          <w:color w:val="000000" w:themeColor="text1"/>
          <w:sz w:val="24"/>
          <w:szCs w:val="24"/>
          <w:lang w:eastAsia="lv-LV"/>
        </w:rPr>
      </w:pPr>
      <w:r w:rsidRPr="006F06A4">
        <w:rPr>
          <w:rFonts w:ascii="Times New Roman" w:eastAsia="Times New Roman" w:hAnsi="Times New Roman" w:cs="Times New Roman"/>
          <w:color w:val="000000" w:themeColor="text1"/>
          <w:sz w:val="24"/>
          <w:szCs w:val="24"/>
          <w:lang w:eastAsia="lv-LV"/>
        </w:rPr>
        <w:t>“Grozījum</w:t>
      </w:r>
      <w:r w:rsidR="00A5174F" w:rsidRPr="006F06A4">
        <w:rPr>
          <w:rFonts w:ascii="Times New Roman" w:eastAsia="Times New Roman" w:hAnsi="Times New Roman" w:cs="Times New Roman"/>
          <w:color w:val="000000" w:themeColor="text1"/>
          <w:sz w:val="24"/>
          <w:szCs w:val="24"/>
          <w:lang w:eastAsia="lv-LV"/>
        </w:rPr>
        <w:t>i</w:t>
      </w:r>
      <w:r w:rsidRPr="006F06A4">
        <w:rPr>
          <w:rFonts w:ascii="Times New Roman" w:eastAsia="Times New Roman" w:hAnsi="Times New Roman" w:cs="Times New Roman"/>
          <w:color w:val="000000" w:themeColor="text1"/>
          <w:sz w:val="24"/>
          <w:szCs w:val="24"/>
          <w:lang w:eastAsia="lv-LV"/>
        </w:rPr>
        <w:t xml:space="preserve"> Ministru kabineta 2020. gada 6.</w:t>
      </w:r>
      <w:r w:rsidR="00312880" w:rsidRPr="006F06A4">
        <w:rPr>
          <w:rFonts w:ascii="Times New Roman" w:eastAsia="Times New Roman" w:hAnsi="Times New Roman" w:cs="Times New Roman"/>
          <w:color w:val="000000" w:themeColor="text1"/>
          <w:sz w:val="24"/>
          <w:szCs w:val="24"/>
          <w:lang w:eastAsia="lv-LV"/>
        </w:rPr>
        <w:t> </w:t>
      </w:r>
      <w:r w:rsidRPr="006F06A4">
        <w:rPr>
          <w:rFonts w:ascii="Times New Roman" w:eastAsia="Times New Roman" w:hAnsi="Times New Roman" w:cs="Times New Roman"/>
          <w:color w:val="000000" w:themeColor="text1"/>
          <w:sz w:val="24"/>
          <w:szCs w:val="24"/>
          <w:lang w:eastAsia="lv-LV"/>
        </w:rPr>
        <w:t>novembra rīkojumā Nr.655 “Par ārkārtējās situācijas izsludināšanu””</w:t>
      </w:r>
      <w:r w:rsidR="005B5F81" w:rsidRPr="006F06A4">
        <w:rPr>
          <w:rFonts w:ascii="Times New Roman" w:eastAsia="Times New Roman" w:hAnsi="Times New Roman" w:cs="Times New Roman"/>
          <w:color w:val="000000" w:themeColor="text1"/>
          <w:sz w:val="24"/>
          <w:szCs w:val="24"/>
          <w:lang w:eastAsia="lv-LV"/>
        </w:rPr>
        <w:t xml:space="preserve"> sākotnēj</w:t>
      </w:r>
      <w:r w:rsidR="006F06A4" w:rsidRPr="006F06A4">
        <w:rPr>
          <w:rFonts w:ascii="Times New Roman" w:eastAsia="Times New Roman" w:hAnsi="Times New Roman" w:cs="Times New Roman"/>
          <w:color w:val="000000" w:themeColor="text1"/>
          <w:sz w:val="24"/>
          <w:szCs w:val="24"/>
          <w:lang w:eastAsia="lv-LV"/>
        </w:rPr>
        <w:t>ās ietekmes novērtējuma ziņojuma</w:t>
      </w:r>
      <w:r w:rsidR="005B5F81" w:rsidRPr="006F06A4">
        <w:rPr>
          <w:rFonts w:ascii="Times New Roman" w:eastAsia="Times New Roman" w:hAnsi="Times New Roman" w:cs="Times New Roman"/>
          <w:color w:val="000000" w:themeColor="text1"/>
          <w:sz w:val="24"/>
          <w:szCs w:val="24"/>
          <w:lang w:eastAsia="lv-LV"/>
        </w:rPr>
        <w:t xml:space="preserve"> (anotācija)</w:t>
      </w:r>
      <w:r w:rsidR="00FC0B00">
        <w:rPr>
          <w:rFonts w:ascii="Times New Roman" w:eastAsia="Times New Roman" w:hAnsi="Times New Roman" w:cs="Times New Roman"/>
          <w:color w:val="000000" w:themeColor="text1"/>
          <w:sz w:val="24"/>
          <w:szCs w:val="24"/>
          <w:lang w:eastAsia="lv-LV"/>
        </w:rPr>
        <w:t xml:space="preserve"> pielikums Nr.2</w:t>
      </w:r>
    </w:p>
    <w:p w14:paraId="454416AE"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 xml:space="preserve">Higiēnas preces, vadoties no </w:t>
      </w:r>
    </w:p>
    <w:p w14:paraId="6026FC22"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 xml:space="preserve">Kombinētās nomenklatūras, ko paredz </w:t>
      </w:r>
    </w:p>
    <w:p w14:paraId="52A385E8"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KOMISIJAS ĪSTENOŠANAS REGULA (ES) 2019/1776 (2019. gada 9. oktobris), ar ko groza I pielikumu Padomes Regulā (EEK) Nr. 2658/87 par tarifu un statistikas nomenklatūru un kopējo muitas tarifu</w:t>
      </w:r>
    </w:p>
    <w:p w14:paraId="694A9450" w14:textId="7526E5F1" w:rsidR="005B5F81" w:rsidRDefault="005B5F81" w:rsidP="006F06A4">
      <w:pPr>
        <w:spacing w:after="0" w:line="240" w:lineRule="auto"/>
        <w:rPr>
          <w:rFonts w:ascii="Times New Roman" w:eastAsia="Times New Roman" w:hAnsi="Times New Roman" w:cs="Times New Roman"/>
          <w:iCs/>
          <w:color w:val="000000" w:themeColor="text1"/>
          <w:sz w:val="24"/>
          <w:szCs w:val="24"/>
          <w:lang w:eastAsia="lv-LV"/>
        </w:rPr>
      </w:pPr>
    </w:p>
    <w:tbl>
      <w:tblPr>
        <w:tblStyle w:val="Reatabula"/>
        <w:tblW w:w="0" w:type="auto"/>
        <w:tblLook w:val="04A0" w:firstRow="1" w:lastRow="0" w:firstColumn="1" w:lastColumn="0" w:noHBand="0" w:noVBand="1"/>
      </w:tblPr>
      <w:tblGrid>
        <w:gridCol w:w="8642"/>
      </w:tblGrid>
      <w:tr w:rsidR="00FC0B00" w:rsidRPr="00FC0B00" w14:paraId="0C75459A" w14:textId="77777777" w:rsidTr="00FC0B00">
        <w:tc>
          <w:tcPr>
            <w:tcW w:w="8642" w:type="dxa"/>
          </w:tcPr>
          <w:p w14:paraId="51999851" w14:textId="77777777" w:rsidR="00FC0B00" w:rsidRPr="00FC0B00" w:rsidRDefault="00FC0B00" w:rsidP="00AB2AC4">
            <w:pPr>
              <w:rPr>
                <w:rFonts w:ascii="Times New Roman" w:hAnsi="Times New Roman" w:cs="Times New Roman"/>
                <w:b/>
                <w:bCs/>
                <w:sz w:val="24"/>
                <w:szCs w:val="24"/>
              </w:rPr>
            </w:pPr>
            <w:r w:rsidRPr="00FC0B00">
              <w:rPr>
                <w:rFonts w:ascii="Times New Roman" w:hAnsi="Times New Roman" w:cs="Times New Roman"/>
                <w:b/>
                <w:bCs/>
                <w:sz w:val="24"/>
                <w:szCs w:val="24"/>
              </w:rPr>
              <w:t>Higiēnas preces</w:t>
            </w:r>
          </w:p>
        </w:tc>
      </w:tr>
      <w:tr w:rsidR="00FC0B00" w:rsidRPr="00FC0B00" w14:paraId="43EA8DA8" w14:textId="77777777" w:rsidTr="00C0694E">
        <w:tc>
          <w:tcPr>
            <w:tcW w:w="8642" w:type="dxa"/>
            <w:shd w:val="clear" w:color="auto" w:fill="auto"/>
          </w:tcPr>
          <w:p w14:paraId="0C1CB223" w14:textId="0A685070" w:rsidR="00FC0B00" w:rsidRPr="008C1DFF" w:rsidRDefault="00FC0B00" w:rsidP="00AB2AC4">
            <w:pPr>
              <w:rPr>
                <w:rFonts w:ascii="Times New Roman" w:hAnsi="Times New Roman" w:cs="Times New Roman"/>
                <w:highlight w:val="yellow"/>
              </w:rPr>
            </w:pPr>
            <w:r w:rsidRPr="00C0694E">
              <w:rPr>
                <w:rFonts w:ascii="Times New Roman" w:hAnsi="Times New Roman" w:cs="Times New Roman"/>
              </w:rPr>
              <w:t xml:space="preserve">3305– </w:t>
            </w:r>
            <w:r w:rsidR="008C1DFF" w:rsidRPr="00C0694E">
              <w:rPr>
                <w:rFonts w:ascii="Times New Roman" w:hAnsi="Times New Roman" w:cs="Times New Roman"/>
              </w:rPr>
              <w:t xml:space="preserve">matu kopšanas līdzekļi </w:t>
            </w:r>
            <w:r w:rsidRPr="00C0694E">
              <w:rPr>
                <w:rFonts w:ascii="Times New Roman" w:hAnsi="Times New Roman" w:cs="Times New Roman"/>
              </w:rPr>
              <w:t xml:space="preserve"> </w:t>
            </w:r>
          </w:p>
        </w:tc>
      </w:tr>
      <w:tr w:rsidR="00FC0B00" w:rsidRPr="00FC0B00" w14:paraId="4A8C1D8F" w14:textId="77777777" w:rsidTr="00FC0B00">
        <w:tc>
          <w:tcPr>
            <w:tcW w:w="8642" w:type="dxa"/>
          </w:tcPr>
          <w:p w14:paraId="18492E91"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Mutes dobuma vai zobu higiēnas līdzekļi, ieskaitot protēžu fiksēšanas pastas un pulverus; zobu diegs (vaskots diegs </w:t>
            </w:r>
            <w:proofErr w:type="spellStart"/>
            <w:r w:rsidRPr="00FC0B00">
              <w:rPr>
                <w:rFonts w:ascii="Times New Roman" w:hAnsi="Times New Roman" w:cs="Times New Roman"/>
              </w:rPr>
              <w:t>zobstarpu</w:t>
            </w:r>
            <w:proofErr w:type="spellEnd"/>
            <w:r w:rsidRPr="00FC0B00">
              <w:rPr>
                <w:rFonts w:ascii="Times New Roman" w:hAnsi="Times New Roman" w:cs="Times New Roman"/>
              </w:rPr>
              <w:t xml:space="preserve"> tīrīšanai), atsevišķā mazumtirdzniecības iepakojumā: </w:t>
            </w:r>
          </w:p>
        </w:tc>
      </w:tr>
      <w:tr w:rsidR="00FC0B00" w:rsidRPr="00FC0B00" w14:paraId="58625AF0" w14:textId="77777777" w:rsidTr="00FC0B00">
        <w:tc>
          <w:tcPr>
            <w:tcW w:w="8642" w:type="dxa"/>
          </w:tcPr>
          <w:p w14:paraId="7C56C93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10 00 – zobu pastas </w:t>
            </w:r>
          </w:p>
          <w:p w14:paraId="2872541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20 00 – zobu diegs (vaskots diegs </w:t>
            </w:r>
            <w:proofErr w:type="spellStart"/>
            <w:r w:rsidRPr="00FC0B00">
              <w:rPr>
                <w:rFonts w:ascii="Times New Roman" w:hAnsi="Times New Roman" w:cs="Times New Roman"/>
              </w:rPr>
              <w:t>zobstarpu</w:t>
            </w:r>
            <w:proofErr w:type="spellEnd"/>
            <w:r w:rsidRPr="00FC0B00">
              <w:rPr>
                <w:rFonts w:ascii="Times New Roman" w:hAnsi="Times New Roman" w:cs="Times New Roman"/>
              </w:rPr>
              <w:t xml:space="preserve"> tīrīšanai) </w:t>
            </w:r>
          </w:p>
          <w:p w14:paraId="4511D69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3306 90 00 – citādi</w:t>
            </w:r>
          </w:p>
        </w:tc>
      </w:tr>
      <w:tr w:rsidR="00FC0B00" w:rsidRPr="00FC0B00" w14:paraId="437973DE" w14:textId="77777777" w:rsidTr="00764675">
        <w:trPr>
          <w:trHeight w:val="3736"/>
        </w:trPr>
        <w:tc>
          <w:tcPr>
            <w:tcW w:w="8642" w:type="dxa"/>
          </w:tcPr>
          <w:p w14:paraId="50477B3C"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3401 </w:t>
            </w:r>
            <w:r w:rsidRPr="00FC0B00">
              <w:rPr>
                <w:rFonts w:ascii="Times New Roman" w:hAnsi="Times New Roman" w:cs="Times New Roman"/>
              </w:rPr>
              <w:tab/>
              <w:t xml:space="preserve">Ziepes; organiskās virsmaktīvās vielas un līdzekļi, ko izmanto kā ziepes, stieņos, gabalos vai figūru veidā un kas satur vai nesatur ziepes; organiskās virsmaktīvās vielas un līdzekļi ķermeņa mazgāšanai, šķidri vai </w:t>
            </w:r>
            <w:proofErr w:type="spellStart"/>
            <w:r w:rsidRPr="00FC0B00">
              <w:rPr>
                <w:rFonts w:ascii="Times New Roman" w:hAnsi="Times New Roman" w:cs="Times New Roman"/>
              </w:rPr>
              <w:t>krēmveida</w:t>
            </w:r>
            <w:proofErr w:type="spellEnd"/>
            <w:r w:rsidRPr="00FC0B00">
              <w:rPr>
                <w:rFonts w:ascii="Times New Roman" w:hAnsi="Times New Roman" w:cs="Times New Roman"/>
              </w:rPr>
              <w:t>, safasēti mazumtirdzniecībai, kuri satur vai nesatur ziepes; papīrs, vate, filcs un neaustās drānas, piesūcināti, pārklāti vai apsmidzināti ar ziepēm vai mazgāšanas līdzekļiem:</w:t>
            </w:r>
          </w:p>
          <w:p w14:paraId="614F82AA" w14:textId="77777777" w:rsidR="00FC0B00" w:rsidRPr="00FC0B00" w:rsidRDefault="00FC0B00" w:rsidP="00FC0B00">
            <w:pPr>
              <w:pStyle w:val="Sarakstarindkopa"/>
              <w:numPr>
                <w:ilvl w:val="0"/>
                <w:numId w:val="36"/>
              </w:numPr>
              <w:spacing w:after="0" w:line="240" w:lineRule="auto"/>
              <w:rPr>
                <w:rFonts w:ascii="Times New Roman" w:hAnsi="Times New Roman"/>
                <w:b/>
                <w:bCs/>
                <w:lang w:val="lv-LV"/>
              </w:rPr>
            </w:pPr>
            <w:r w:rsidRPr="00FC0B00">
              <w:rPr>
                <w:rFonts w:ascii="Times New Roman" w:hAnsi="Times New Roman"/>
                <w:lang w:val="lv-LV"/>
              </w:rPr>
              <w:t>ziepes un organiskās virsmaktīvās vielas un līdzekļi stieņos, gabalos un figūru veidā un papīrs, vate, filcs un neaustās drānas, piesūcināti vai pārklāti ar ziepēm vai mazgāšanas līdzekļiem:</w:t>
            </w:r>
          </w:p>
          <w:p w14:paraId="425493B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3401 11 00 – – tualetes ziepes (ieskaitot ziepes ar medikamentiem)</w:t>
            </w:r>
          </w:p>
          <w:p w14:paraId="41B4ADA6"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3401 30 00 – organiskās virsmaktīvās vielas un līdzekļi ķermeņa mazgāšanai, šķidri vai </w:t>
            </w:r>
            <w:proofErr w:type="spellStart"/>
            <w:r w:rsidRPr="00FC0B00">
              <w:rPr>
                <w:rFonts w:ascii="Times New Roman" w:hAnsi="Times New Roman" w:cs="Times New Roman"/>
              </w:rPr>
              <w:t>krēmveida</w:t>
            </w:r>
            <w:proofErr w:type="spellEnd"/>
            <w:r w:rsidRPr="00FC0B00">
              <w:rPr>
                <w:rFonts w:ascii="Times New Roman" w:hAnsi="Times New Roman" w:cs="Times New Roman"/>
              </w:rPr>
              <w:t>, safasēti mazumtirdzniecībai, kuri satur vai nesatur ziepes</w:t>
            </w:r>
          </w:p>
          <w:p w14:paraId="4B769A09"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3402</w:t>
            </w:r>
            <w:r w:rsidRPr="00FC0B00">
              <w:rPr>
                <w:rFonts w:ascii="Times New Roman" w:hAnsi="Times New Roman" w:cs="Times New Roman"/>
              </w:rPr>
              <w:tab/>
              <w:t xml:space="preserve"> Organiskās virsmaktīvās vielas (izņemot ziepes); virsmaktīvie līdzekļi, mazgāšanas līdzekļi (ieskaitot mazgāšanas palīglīdzekļus) un tīrīšanas līdzekļi, kas satur vai nesatur ziepes, izņemot pozīcijā 3401 minētos: </w:t>
            </w:r>
          </w:p>
          <w:p w14:paraId="2000383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organiskās virsmaktīvās vielas, safasētas vai nefasētas mazumtirdzniecībai</w:t>
            </w:r>
          </w:p>
        </w:tc>
      </w:tr>
      <w:tr w:rsidR="00764675" w:rsidRPr="00FC0B00" w14:paraId="31E4825B" w14:textId="77777777" w:rsidTr="00FC0B00">
        <w:tc>
          <w:tcPr>
            <w:tcW w:w="8642" w:type="dxa"/>
          </w:tcPr>
          <w:p w14:paraId="134C5CDE" w14:textId="77777777" w:rsidR="00764675" w:rsidRPr="008C1DFF" w:rsidRDefault="00764675" w:rsidP="00AB2AC4">
            <w:pPr>
              <w:rPr>
                <w:rFonts w:ascii="Times New Roman" w:hAnsi="Times New Roman" w:cs="Times New Roman"/>
              </w:rPr>
            </w:pPr>
            <w:r w:rsidRPr="008C1DFF">
              <w:rPr>
                <w:rFonts w:ascii="Times New Roman" w:hAnsi="Times New Roman" w:cs="Times New Roman"/>
              </w:rPr>
              <w:t>3307 10 00 – pirms skūšanās, pēc skūšanās un skūšanās laikā izmantojamie līdzekļi</w:t>
            </w:r>
          </w:p>
          <w:p w14:paraId="3B5E7613" w14:textId="4E243618" w:rsidR="008C1DFF" w:rsidRPr="00FC0B00" w:rsidRDefault="00E80B8C" w:rsidP="00AB2AC4">
            <w:pPr>
              <w:rPr>
                <w:rFonts w:ascii="Times New Roman" w:hAnsi="Times New Roman" w:cs="Times New Roman"/>
              </w:rPr>
            </w:pPr>
            <w:r w:rsidRPr="008C1DFF">
              <w:rPr>
                <w:rFonts w:ascii="Times New Roman" w:hAnsi="Times New Roman" w:cs="Times New Roman"/>
              </w:rPr>
              <w:t>3307 20 00 – ķermeņa dezodoranti un pretsviedru līdzekļi</w:t>
            </w:r>
          </w:p>
        </w:tc>
      </w:tr>
      <w:tr w:rsidR="00FC0B00" w:rsidRPr="00FC0B00" w14:paraId="4243B8DA" w14:textId="77777777" w:rsidTr="00FC0B00">
        <w:tc>
          <w:tcPr>
            <w:tcW w:w="8642" w:type="dxa"/>
          </w:tcPr>
          <w:p w14:paraId="255ED5FB"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3808 94 – – dezinfekcijas līdzekļi</w:t>
            </w:r>
          </w:p>
        </w:tc>
      </w:tr>
      <w:tr w:rsidR="00FC0B00" w:rsidRPr="00FC0B00" w14:paraId="0BA38513" w14:textId="77777777" w:rsidTr="00FC0B00">
        <w:tc>
          <w:tcPr>
            <w:tcW w:w="8642" w:type="dxa"/>
          </w:tcPr>
          <w:p w14:paraId="3B1765A7"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4014. Higiēniskie vai farmaceitiskie izstrādājumi (ieskaitot knupīšus) no vulkanizēta kaučuka (izņemot cieto kaučuku, arī ar piederumiem no cietā kaučuka), kā arī prezervatīvi</w:t>
            </w:r>
          </w:p>
        </w:tc>
      </w:tr>
      <w:tr w:rsidR="00FC0B00" w:rsidRPr="00FC0B00" w14:paraId="161B444E" w14:textId="77777777" w:rsidTr="00FC0B00">
        <w:tc>
          <w:tcPr>
            <w:tcW w:w="8642" w:type="dxa"/>
          </w:tcPr>
          <w:p w14:paraId="1B34CF5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10 – tualetes papīrs</w:t>
            </w:r>
          </w:p>
          <w:p w14:paraId="54041C1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20 – kabatlakatiņi, kosmētikas salvetes un dvieļi:</w:t>
            </w:r>
          </w:p>
          <w:p w14:paraId="3CB6A17B"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20 10 – – kabatlakatiņi un kosmētikas salvetes;</w:t>
            </w:r>
          </w:p>
          <w:p w14:paraId="455DC094"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 roku dvieļi</w:t>
            </w:r>
          </w:p>
          <w:p w14:paraId="38B1BFE3"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30 00 – galdauti un galda salvetes</w:t>
            </w:r>
          </w:p>
        </w:tc>
      </w:tr>
      <w:tr w:rsidR="00FC0B00" w:rsidRPr="00FC0B00" w14:paraId="598B2679" w14:textId="77777777" w:rsidTr="00FC0B00">
        <w:tc>
          <w:tcPr>
            <w:tcW w:w="8642" w:type="dxa"/>
          </w:tcPr>
          <w:p w14:paraId="2F1819D6"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9603 10 00  – zobu sukas, skūšanas otiņas, matu sukas, nagu sukas, skropstu birstītes, citādas sukas ķermeņa kopšanai, ieskaitot sukas, kas ir ierīču sastāvdaļas;</w:t>
            </w:r>
          </w:p>
          <w:p w14:paraId="4AA3F4B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9603 21 00 – – zobu sukas, tai skaitā sukas zobu protēzēm</w:t>
            </w:r>
          </w:p>
          <w:p w14:paraId="0EF0FA3D"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9605 00 00 Ceļojuma komplekti, ko izmanto personiskai higiēnai, šūšanai, drēbju vai apavu tīrīšanai;</w:t>
            </w:r>
          </w:p>
          <w:p w14:paraId="4DBCA823"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9619 00 Sanitārie dvieļi (paketes) un tamponi, bērnu autiņi un autiņu ieliktņi, un tamlīdzīgi izstrādājumi no jebkāda materiāla</w:t>
            </w:r>
          </w:p>
        </w:tc>
      </w:tr>
    </w:tbl>
    <w:p w14:paraId="72F4924E" w14:textId="77777777" w:rsidR="00FC0B00" w:rsidRPr="006F06A4" w:rsidRDefault="00FC0B00" w:rsidP="006F06A4">
      <w:pPr>
        <w:spacing w:after="0" w:line="240" w:lineRule="auto"/>
        <w:rPr>
          <w:rFonts w:ascii="Times New Roman" w:eastAsia="Times New Roman" w:hAnsi="Times New Roman" w:cs="Times New Roman"/>
          <w:iCs/>
          <w:color w:val="000000" w:themeColor="text1"/>
          <w:sz w:val="24"/>
          <w:szCs w:val="24"/>
          <w:lang w:eastAsia="lv-LV"/>
        </w:rPr>
      </w:pPr>
    </w:p>
    <w:p w14:paraId="6D28C0AA" w14:textId="77777777" w:rsidR="005B5F81" w:rsidRPr="00A07928" w:rsidRDefault="005B5F81" w:rsidP="005B5F81">
      <w:pPr>
        <w:pStyle w:val="Bezatstarpm"/>
        <w:rPr>
          <w:rFonts w:ascii="Times New Roman" w:hAnsi="Times New Roman" w:cs="Times New Roman"/>
          <w:color w:val="000000" w:themeColor="text1"/>
          <w:sz w:val="28"/>
          <w:szCs w:val="28"/>
        </w:rPr>
      </w:pPr>
    </w:p>
    <w:p w14:paraId="4F742069" w14:textId="77777777" w:rsidR="00A07928" w:rsidRPr="00426EE3" w:rsidRDefault="00A07928" w:rsidP="00A07928">
      <w:pPr>
        <w:spacing w:after="0" w:line="240" w:lineRule="auto"/>
        <w:ind w:right="13"/>
        <w:jc w:val="both"/>
        <w:rPr>
          <w:rFonts w:ascii="Times New Roman" w:hAnsi="Times New Roman" w:cs="Times New Roman"/>
          <w:bCs/>
          <w:sz w:val="28"/>
          <w:szCs w:val="28"/>
        </w:rPr>
      </w:pPr>
      <w:r w:rsidRPr="00426EE3">
        <w:rPr>
          <w:rFonts w:ascii="Times New Roman" w:hAnsi="Times New Roman" w:cs="Times New Roman"/>
          <w:bCs/>
          <w:sz w:val="28"/>
          <w:szCs w:val="28"/>
        </w:rPr>
        <w:t>Veselības ministre</w:t>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426EE3">
        <w:rPr>
          <w:rFonts w:ascii="Times New Roman" w:hAnsi="Times New Roman" w:cs="Times New Roman"/>
          <w:bCs/>
          <w:sz w:val="28"/>
          <w:szCs w:val="28"/>
        </w:rPr>
        <w:t>I</w:t>
      </w:r>
      <w:r>
        <w:rPr>
          <w:rFonts w:ascii="Times New Roman" w:hAnsi="Times New Roman" w:cs="Times New Roman"/>
          <w:bCs/>
          <w:sz w:val="28"/>
          <w:szCs w:val="28"/>
        </w:rPr>
        <w:t>.</w:t>
      </w:r>
      <w:r w:rsidRPr="00426EE3">
        <w:rPr>
          <w:rFonts w:ascii="Times New Roman" w:hAnsi="Times New Roman" w:cs="Times New Roman"/>
          <w:bCs/>
          <w:sz w:val="28"/>
          <w:szCs w:val="28"/>
        </w:rPr>
        <w:t xml:space="preserve"> Viņķele</w:t>
      </w:r>
    </w:p>
    <w:p w14:paraId="350C304A"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2FA5600C"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76628C0A" w14:textId="77777777" w:rsidR="00A07928" w:rsidRPr="00E54CFF" w:rsidRDefault="00A07928" w:rsidP="00A07928">
      <w:pPr>
        <w:spacing w:after="0" w:line="240" w:lineRule="auto"/>
        <w:ind w:right="13"/>
        <w:jc w:val="both"/>
        <w:rPr>
          <w:rFonts w:ascii="Times New Roman" w:hAnsi="Times New Roman" w:cs="Times New Roman"/>
          <w:bCs/>
          <w:sz w:val="28"/>
          <w:szCs w:val="28"/>
        </w:rPr>
      </w:pPr>
      <w:r w:rsidRPr="00E54CFF">
        <w:rPr>
          <w:rFonts w:ascii="Times New Roman" w:hAnsi="Times New Roman" w:cs="Times New Roman"/>
          <w:bCs/>
          <w:sz w:val="28"/>
          <w:szCs w:val="28"/>
        </w:rPr>
        <w:t>Vīza: valsts sekretārs</w:t>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t xml:space="preserve">                D. </w:t>
      </w:r>
      <w:proofErr w:type="spellStart"/>
      <w:r w:rsidRPr="00E54CFF">
        <w:rPr>
          <w:rFonts w:ascii="Times New Roman" w:hAnsi="Times New Roman" w:cs="Times New Roman"/>
          <w:bCs/>
          <w:sz w:val="28"/>
          <w:szCs w:val="28"/>
        </w:rPr>
        <w:t>Mūrmane-Umbraško</w:t>
      </w:r>
      <w:proofErr w:type="spellEnd"/>
    </w:p>
    <w:p w14:paraId="3DA35A1D" w14:textId="77777777" w:rsidR="00A07928" w:rsidRPr="005B5F81" w:rsidRDefault="00A07928" w:rsidP="00A07928">
      <w:pPr>
        <w:spacing w:after="0" w:line="240" w:lineRule="auto"/>
        <w:ind w:right="-3228"/>
        <w:rPr>
          <w:rFonts w:ascii="Times New Roman" w:hAnsi="Times New Roman" w:cs="Times New Roman"/>
          <w:szCs w:val="24"/>
        </w:rPr>
      </w:pPr>
    </w:p>
    <w:p w14:paraId="3EC4D564" w14:textId="77777777" w:rsidR="00A07928" w:rsidRDefault="00A07928" w:rsidP="00A07928">
      <w:pPr>
        <w:spacing w:after="0" w:line="240" w:lineRule="auto"/>
        <w:ind w:right="-3228"/>
        <w:rPr>
          <w:rFonts w:ascii="Times New Roman" w:hAnsi="Times New Roman" w:cs="Times New Roman"/>
          <w:szCs w:val="24"/>
        </w:rPr>
      </w:pPr>
    </w:p>
    <w:p w14:paraId="203B226A" w14:textId="77777777" w:rsidR="00A07928" w:rsidRDefault="00A07928" w:rsidP="00A07928">
      <w:pPr>
        <w:spacing w:after="0" w:line="240" w:lineRule="auto"/>
        <w:ind w:right="-3228"/>
        <w:rPr>
          <w:rFonts w:ascii="Times New Roman" w:hAnsi="Times New Roman" w:cs="Times New Roman"/>
          <w:szCs w:val="24"/>
        </w:rPr>
      </w:pPr>
    </w:p>
    <w:p w14:paraId="17A4021E" w14:textId="77777777" w:rsidR="00A07928" w:rsidRDefault="00A07928" w:rsidP="00A07928">
      <w:pPr>
        <w:spacing w:after="0" w:line="240" w:lineRule="auto"/>
        <w:ind w:right="-3228"/>
        <w:rPr>
          <w:rFonts w:ascii="Times New Roman" w:hAnsi="Times New Roman" w:cs="Times New Roman"/>
          <w:szCs w:val="24"/>
        </w:rPr>
      </w:pPr>
    </w:p>
    <w:p w14:paraId="09F208ED" w14:textId="77777777" w:rsidR="00A07928" w:rsidRDefault="00A07928" w:rsidP="00A07928">
      <w:pPr>
        <w:spacing w:after="0" w:line="240" w:lineRule="auto"/>
        <w:ind w:right="-3228"/>
        <w:rPr>
          <w:rFonts w:ascii="Times New Roman" w:hAnsi="Times New Roman" w:cs="Times New Roman"/>
          <w:szCs w:val="24"/>
        </w:rPr>
      </w:pPr>
    </w:p>
    <w:p w14:paraId="113B108F" w14:textId="77777777" w:rsidR="006F06A4" w:rsidRDefault="006F06A4" w:rsidP="00A07928">
      <w:pPr>
        <w:spacing w:after="0" w:line="240" w:lineRule="auto"/>
        <w:ind w:right="-3228"/>
        <w:rPr>
          <w:rFonts w:ascii="Times New Roman" w:hAnsi="Times New Roman" w:cs="Times New Roman"/>
          <w:szCs w:val="24"/>
        </w:rPr>
      </w:pPr>
    </w:p>
    <w:p w14:paraId="21F6EB95" w14:textId="77777777" w:rsidR="006F06A4" w:rsidRDefault="006F06A4" w:rsidP="00A07928">
      <w:pPr>
        <w:spacing w:after="0" w:line="240" w:lineRule="auto"/>
        <w:ind w:right="-3228"/>
        <w:rPr>
          <w:rFonts w:ascii="Times New Roman" w:hAnsi="Times New Roman" w:cs="Times New Roman"/>
          <w:szCs w:val="24"/>
        </w:rPr>
      </w:pPr>
    </w:p>
    <w:p w14:paraId="18B87E5C" w14:textId="77777777" w:rsidR="006F06A4" w:rsidRDefault="006F06A4" w:rsidP="00A07928">
      <w:pPr>
        <w:spacing w:after="0" w:line="240" w:lineRule="auto"/>
        <w:ind w:right="-3228"/>
        <w:rPr>
          <w:rFonts w:ascii="Times New Roman" w:hAnsi="Times New Roman" w:cs="Times New Roman"/>
          <w:szCs w:val="24"/>
        </w:rPr>
      </w:pPr>
    </w:p>
    <w:p w14:paraId="78D450FB" w14:textId="77777777" w:rsidR="006F06A4" w:rsidRDefault="006F06A4" w:rsidP="00A07928">
      <w:pPr>
        <w:spacing w:after="0" w:line="240" w:lineRule="auto"/>
        <w:ind w:right="-3228"/>
        <w:rPr>
          <w:rFonts w:ascii="Times New Roman" w:hAnsi="Times New Roman" w:cs="Times New Roman"/>
          <w:szCs w:val="24"/>
        </w:rPr>
      </w:pPr>
    </w:p>
    <w:p w14:paraId="0433AAEB" w14:textId="77777777" w:rsidR="006F06A4" w:rsidRDefault="006F06A4" w:rsidP="00A07928">
      <w:pPr>
        <w:spacing w:after="0" w:line="240" w:lineRule="auto"/>
        <w:ind w:right="-3228"/>
        <w:rPr>
          <w:rFonts w:ascii="Times New Roman" w:hAnsi="Times New Roman" w:cs="Times New Roman"/>
          <w:szCs w:val="24"/>
        </w:rPr>
      </w:pPr>
    </w:p>
    <w:p w14:paraId="4D30A50E" w14:textId="77777777" w:rsidR="006F06A4" w:rsidRDefault="006F06A4" w:rsidP="00A07928">
      <w:pPr>
        <w:spacing w:after="0" w:line="240" w:lineRule="auto"/>
        <w:ind w:right="-3228"/>
        <w:rPr>
          <w:rFonts w:ascii="Times New Roman" w:hAnsi="Times New Roman" w:cs="Times New Roman"/>
          <w:szCs w:val="24"/>
        </w:rPr>
      </w:pPr>
    </w:p>
    <w:p w14:paraId="5E38DFF4" w14:textId="77777777" w:rsidR="006F06A4" w:rsidRDefault="006F06A4" w:rsidP="00A07928">
      <w:pPr>
        <w:spacing w:after="0" w:line="240" w:lineRule="auto"/>
        <w:ind w:right="-3228"/>
        <w:rPr>
          <w:rFonts w:ascii="Times New Roman" w:hAnsi="Times New Roman" w:cs="Times New Roman"/>
          <w:szCs w:val="24"/>
        </w:rPr>
      </w:pPr>
    </w:p>
    <w:p w14:paraId="46F473A0" w14:textId="77777777" w:rsidR="006F06A4" w:rsidRDefault="006F06A4" w:rsidP="00A07928">
      <w:pPr>
        <w:spacing w:after="0" w:line="240" w:lineRule="auto"/>
        <w:ind w:right="-3228"/>
        <w:rPr>
          <w:rFonts w:ascii="Times New Roman" w:hAnsi="Times New Roman" w:cs="Times New Roman"/>
          <w:szCs w:val="24"/>
        </w:rPr>
      </w:pPr>
    </w:p>
    <w:p w14:paraId="1AB59C98" w14:textId="7E1F41E4" w:rsidR="00C13A99" w:rsidRPr="00B85DF8" w:rsidRDefault="00C13A99" w:rsidP="00B85DF8">
      <w:pPr>
        <w:spacing w:after="0" w:line="240" w:lineRule="auto"/>
        <w:ind w:right="-3228"/>
        <w:rPr>
          <w:rFonts w:ascii="Times New Roman" w:hAnsi="Times New Roman" w:cs="Times New Roman"/>
          <w:sz w:val="24"/>
          <w:szCs w:val="28"/>
        </w:rPr>
      </w:pPr>
    </w:p>
    <w:sectPr w:rsidR="00C13A99" w:rsidRPr="00B85DF8" w:rsidSect="00C13A99">
      <w:headerReference w:type="default" r:id="rId8"/>
      <w:footerReference w:type="default" r:id="rId9"/>
      <w:headerReference w:type="first" r:id="rId10"/>
      <w:footerReference w:type="first" r:id="rId11"/>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A2D9" w14:textId="77777777" w:rsidR="00630990" w:rsidRDefault="00630990">
      <w:pPr>
        <w:spacing w:after="0" w:line="240" w:lineRule="auto"/>
      </w:pPr>
      <w:r>
        <w:separator/>
      </w:r>
    </w:p>
  </w:endnote>
  <w:endnote w:type="continuationSeparator" w:id="0">
    <w:p w14:paraId="403759CD" w14:textId="77777777" w:rsidR="00630990" w:rsidRDefault="0063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728" w14:textId="16BA24B7" w:rsidR="007F499B" w:rsidRPr="00C13A99" w:rsidRDefault="007F499B" w:rsidP="00C13A99">
    <w:pPr>
      <w:pStyle w:val="Kjene"/>
      <w:rPr>
        <w:rFonts w:ascii="Times New Roman" w:hAnsi="Times New Roman" w:cs="Times New Roman"/>
        <w:sz w:val="20"/>
        <w:szCs w:val="20"/>
      </w:rPr>
    </w:pPr>
    <w:r>
      <w:rPr>
        <w:rFonts w:ascii="Times New Roman" w:hAnsi="Times New Roman" w:cs="Times New Roman"/>
        <w:sz w:val="20"/>
        <w:szCs w:val="20"/>
      </w:rPr>
      <w:t>VManot</w:t>
    </w:r>
    <w:r w:rsidR="00FC0B00">
      <w:rPr>
        <w:rFonts w:ascii="Times New Roman" w:hAnsi="Times New Roman" w:cs="Times New Roman"/>
        <w:sz w:val="20"/>
        <w:szCs w:val="20"/>
      </w:rPr>
      <w:t>p2</w:t>
    </w:r>
    <w:r>
      <w:rPr>
        <w:rFonts w:ascii="Times New Roman" w:hAnsi="Times New Roman" w:cs="Times New Roman"/>
        <w:sz w:val="20"/>
        <w:szCs w:val="20"/>
      </w:rPr>
      <w:t>_</w:t>
    </w:r>
    <w:r w:rsidR="009B1C17">
      <w:rPr>
        <w:rFonts w:ascii="Times New Roman" w:hAnsi="Times New Roman" w:cs="Times New Roman"/>
        <w:sz w:val="20"/>
        <w:szCs w:val="20"/>
      </w:rPr>
      <w:t>060121</w:t>
    </w:r>
    <w:r w:rsidR="00A07928">
      <w:rPr>
        <w:rFonts w:ascii="Times New Roman" w:hAnsi="Times New Roman" w:cs="Times New Roman"/>
        <w:sz w:val="20"/>
        <w:szCs w:val="20"/>
      </w:rPr>
      <w:t>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FC9A" w14:textId="1732E6A1" w:rsidR="007F499B" w:rsidRPr="00C152A2" w:rsidRDefault="00C152A2" w:rsidP="00C152A2">
    <w:pPr>
      <w:pStyle w:val="Kjene"/>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FC0B00">
      <w:rPr>
        <w:rFonts w:ascii="Times New Roman" w:hAnsi="Times New Roman" w:cs="Times New Roman"/>
        <w:sz w:val="20"/>
        <w:szCs w:val="20"/>
      </w:rPr>
      <w:t>p2</w:t>
    </w:r>
    <w:r>
      <w:rPr>
        <w:rFonts w:ascii="Times New Roman" w:hAnsi="Times New Roman" w:cs="Times New Roman"/>
        <w:sz w:val="20"/>
        <w:szCs w:val="20"/>
      </w:rPr>
      <w:t>_</w:t>
    </w:r>
    <w:r w:rsidR="009B1C17">
      <w:rPr>
        <w:rFonts w:ascii="Times New Roman" w:hAnsi="Times New Roman" w:cs="Times New Roman"/>
        <w:sz w:val="20"/>
        <w:szCs w:val="20"/>
      </w:rPr>
      <w:t>060121</w:t>
    </w:r>
    <w:r>
      <w:rPr>
        <w:rFonts w:ascii="Times New Roman" w:hAnsi="Times New Roman" w:cs="Times New Roman"/>
        <w:sz w:val="20"/>
        <w:szCs w:val="20"/>
      </w:rPr>
      <w:t>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BE0D" w14:textId="77777777" w:rsidR="00630990" w:rsidRDefault="00630990" w:rsidP="00894C55">
      <w:pPr>
        <w:spacing w:after="0" w:line="240" w:lineRule="auto"/>
      </w:pPr>
      <w:r>
        <w:separator/>
      </w:r>
    </w:p>
  </w:footnote>
  <w:footnote w:type="continuationSeparator" w:id="0">
    <w:p w14:paraId="08B6A690" w14:textId="77777777" w:rsidR="00630990" w:rsidRDefault="0063099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612896CC" w:rsidR="00405892" w:rsidRPr="00405892" w:rsidRDefault="00405892" w:rsidP="00405892">
        <w:pPr>
          <w:pStyle w:val="Galvene"/>
          <w:jc w:val="center"/>
          <w:rPr>
            <w:rFonts w:ascii="Times New Roman" w:hAnsi="Times New Roman" w:cs="Times New Roman"/>
          </w:rPr>
        </w:pPr>
      </w:p>
      <w:p w14:paraId="15B8631C" w14:textId="7B1582B5" w:rsidR="007F499B" w:rsidRPr="00C25B49" w:rsidRDefault="00432EBB">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C0B00">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1E7A4" w14:textId="3B024547" w:rsidR="00405892" w:rsidRPr="00D03E5C" w:rsidRDefault="00405892" w:rsidP="00405892">
    <w:pPr>
      <w:pStyle w:val="Galvene"/>
      <w:jc w:val="center"/>
      <w:rPr>
        <w:rFonts w:ascii="Times New Roman" w:hAnsi="Times New Roman" w:cs="Times New Roman"/>
      </w:rPr>
    </w:pPr>
  </w:p>
  <w:p w14:paraId="1BF983BA" w14:textId="77777777" w:rsidR="00405892" w:rsidRDefault="004058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1"/>
  </w:num>
  <w:num w:numId="4">
    <w:abstractNumId w:val="33"/>
  </w:num>
  <w:num w:numId="5">
    <w:abstractNumId w:val="5"/>
  </w:num>
  <w:num w:numId="6">
    <w:abstractNumId w:val="20"/>
  </w:num>
  <w:num w:numId="7">
    <w:abstractNumId w:val="7"/>
  </w:num>
  <w:num w:numId="8">
    <w:abstractNumId w:val="9"/>
  </w:num>
  <w:num w:numId="9">
    <w:abstractNumId w:val="24"/>
  </w:num>
  <w:num w:numId="10">
    <w:abstractNumId w:val="25"/>
  </w:num>
  <w:num w:numId="11">
    <w:abstractNumId w:val="28"/>
  </w:num>
  <w:num w:numId="12">
    <w:abstractNumId w:val="30"/>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9"/>
  </w:num>
  <w:num w:numId="20">
    <w:abstractNumId w:val="3"/>
  </w:num>
  <w:num w:numId="21">
    <w:abstractNumId w:val="22"/>
  </w:num>
  <w:num w:numId="22">
    <w:abstractNumId w:val="35"/>
  </w:num>
  <w:num w:numId="23">
    <w:abstractNumId w:val="11"/>
  </w:num>
  <w:num w:numId="24">
    <w:abstractNumId w:val="32"/>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60B6"/>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76BF6"/>
    <w:rsid w:val="0009124A"/>
    <w:rsid w:val="00091B8D"/>
    <w:rsid w:val="00092E43"/>
    <w:rsid w:val="00096D45"/>
    <w:rsid w:val="000A2D05"/>
    <w:rsid w:val="000A6F4B"/>
    <w:rsid w:val="000A7030"/>
    <w:rsid w:val="000B2741"/>
    <w:rsid w:val="000B2FB1"/>
    <w:rsid w:val="000B4DD0"/>
    <w:rsid w:val="000B5D94"/>
    <w:rsid w:val="000B7702"/>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B769B"/>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0693"/>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062A"/>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099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4675"/>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1DFF"/>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B1C17"/>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694E"/>
    <w:rsid w:val="00C07422"/>
    <w:rsid w:val="00C074B3"/>
    <w:rsid w:val="00C1083A"/>
    <w:rsid w:val="00C13A99"/>
    <w:rsid w:val="00C152A2"/>
    <w:rsid w:val="00C21775"/>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0B8C"/>
    <w:rsid w:val="00E8178F"/>
    <w:rsid w:val="00E838F4"/>
    <w:rsid w:val="00E868ED"/>
    <w:rsid w:val="00E8749E"/>
    <w:rsid w:val="00E9035D"/>
    <w:rsid w:val="00E903B6"/>
    <w:rsid w:val="00E90C01"/>
    <w:rsid w:val="00E9102C"/>
    <w:rsid w:val="00E916C6"/>
    <w:rsid w:val="00E937A1"/>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0B00"/>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5F8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Izteiksmgs">
    <w:name w:val="Strong"/>
    <w:basedOn w:val="Noklusjumarindkopasfonts"/>
    <w:uiPriority w:val="22"/>
    <w:qFormat/>
    <w:rsid w:val="00D77DF6"/>
    <w:rPr>
      <w:b/>
      <w:bCs/>
    </w:rPr>
  </w:style>
  <w:style w:type="paragraph" w:styleId="Sarakstarindkopa">
    <w:name w:val="List Paragraph"/>
    <w:basedOn w:val="Parasts"/>
    <w:uiPriority w:val="34"/>
    <w:qFormat/>
    <w:rsid w:val="00D77DF6"/>
    <w:pPr>
      <w:spacing w:after="200" w:line="276" w:lineRule="auto"/>
      <w:ind w:left="720"/>
      <w:contextualSpacing/>
    </w:pPr>
    <w:rPr>
      <w:rFonts w:ascii="Calibri" w:eastAsia="Calibri" w:hAnsi="Calibri" w:cs="Times New Roman"/>
      <w:lang w:val="en-US"/>
    </w:rPr>
  </w:style>
  <w:style w:type="paragraph" w:styleId="Vresteksts">
    <w:name w:val="footnote text"/>
    <w:aliases w:val="Footnote Text Char Char Char Char Char Char,Footnote Text Char Char1 Char,Footnote Text Char1 Char Char Char Char,Footnote Text Char2 Char,Footnote Text Char2 Char Char Char,footnotes"/>
    <w:basedOn w:val="Parasts"/>
    <w:link w:val="VrestekstsRakstz"/>
    <w:uiPriority w:val="99"/>
    <w:unhideWhenUsed/>
    <w:rsid w:val="00D77DF6"/>
    <w:pPr>
      <w:spacing w:after="0" w:line="240" w:lineRule="auto"/>
    </w:pPr>
    <w:rPr>
      <w:rFonts w:ascii="Times New Roman" w:hAnsi="Times New Roman"/>
      <w:sz w:val="20"/>
      <w:szCs w:val="20"/>
    </w:rPr>
  </w:style>
  <w:style w:type="character" w:customStyle="1" w:styleId="VrestekstsRakstz">
    <w:name w:val="Vēres teksts Rakstz."/>
    <w:aliases w:val="Footnote Text Char Char Char Char Char Char Rakstz.,Footnote Text Char Char1 Char Rakstz.,Footnote Text Char1 Char Char Char Char Rakstz.,Footnote Text Char2 Char Rakstz.,Footnote Text Char2 Char Char Char Rakstz.,footnotes Rakstz."/>
    <w:basedOn w:val="Noklusjumarindkopasfonts"/>
    <w:link w:val="Vresteksts"/>
    <w:uiPriority w:val="99"/>
    <w:rsid w:val="00D77DF6"/>
    <w:rPr>
      <w:rFonts w:ascii="Times New Roman" w:hAnsi="Times New Roman"/>
      <w:sz w:val="20"/>
      <w:szCs w:val="20"/>
    </w:rPr>
  </w:style>
  <w:style w:type="character" w:styleId="Vresatsauce">
    <w:name w:val="footnote reference"/>
    <w:aliases w:val="16 Point,Superscript 6 Point,Footnote Refernece,Footnote Reference Number,Footnote symbol,SUPERS,ftref,stylish,BVI fnr,Fußnotenzeichen_Raxen,callout,Footnote Reference Superscript"/>
    <w:basedOn w:val="Noklusjumarindkopasfonts"/>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Noklusjumarindkopasfonts"/>
    <w:rsid w:val="00D77DF6"/>
  </w:style>
  <w:style w:type="character" w:customStyle="1" w:styleId="articlecitationyear">
    <w:name w:val="articlecitation_year"/>
    <w:basedOn w:val="Noklusjumarindkopasfonts"/>
    <w:rsid w:val="00D77DF6"/>
  </w:style>
  <w:style w:type="character" w:customStyle="1" w:styleId="articlecitationvolume">
    <w:name w:val="articlecitation_volume"/>
    <w:basedOn w:val="Noklusjumarindkopasfonts"/>
    <w:rsid w:val="00D77DF6"/>
  </w:style>
  <w:style w:type="paragraph" w:styleId="Paraststmeklis">
    <w:name w:val="Normal (Web)"/>
    <w:basedOn w:val="Parasts"/>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A51BFE"/>
    <w:rPr>
      <w:color w:val="808080"/>
      <w:shd w:val="clear" w:color="auto" w:fill="E6E6E6"/>
    </w:rPr>
  </w:style>
  <w:style w:type="character" w:customStyle="1" w:styleId="BezatstarpmRakstz">
    <w:name w:val="Bez atstarpēm Rakstz."/>
    <w:link w:val="Bezatstarpm"/>
    <w:uiPriority w:val="1"/>
    <w:locked/>
    <w:rsid w:val="00A51BFE"/>
    <w:rPr>
      <w:sz w:val="24"/>
      <w:szCs w:val="24"/>
      <w:lang w:eastAsia="lv-LV"/>
    </w:rPr>
  </w:style>
  <w:style w:type="paragraph" w:styleId="Bezatstarpm">
    <w:name w:val="No Spacing"/>
    <w:link w:val="BezatstarpmRakstz"/>
    <w:uiPriority w:val="1"/>
    <w:qFormat/>
    <w:rsid w:val="00A51BFE"/>
    <w:pPr>
      <w:spacing w:after="0" w:line="240" w:lineRule="auto"/>
    </w:pPr>
    <w:rPr>
      <w:sz w:val="24"/>
      <w:szCs w:val="24"/>
      <w:lang w:eastAsia="lv-LV"/>
    </w:rPr>
  </w:style>
  <w:style w:type="character" w:styleId="Komentraatsauce">
    <w:name w:val="annotation reference"/>
    <w:basedOn w:val="Noklusjumarindkopasfonts"/>
    <w:uiPriority w:val="99"/>
    <w:semiHidden/>
    <w:unhideWhenUsed/>
    <w:rsid w:val="003C4E8E"/>
    <w:rPr>
      <w:sz w:val="16"/>
      <w:szCs w:val="16"/>
    </w:rPr>
  </w:style>
  <w:style w:type="paragraph" w:styleId="Komentrateksts">
    <w:name w:val="annotation text"/>
    <w:basedOn w:val="Parasts"/>
    <w:link w:val="KomentratekstsRakstz"/>
    <w:uiPriority w:val="99"/>
    <w:unhideWhenUsed/>
    <w:rsid w:val="003C4E8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C4E8E"/>
    <w:rPr>
      <w:sz w:val="20"/>
      <w:szCs w:val="20"/>
    </w:rPr>
  </w:style>
  <w:style w:type="paragraph" w:styleId="Komentratma">
    <w:name w:val="annotation subject"/>
    <w:basedOn w:val="Komentrateksts"/>
    <w:next w:val="Komentrateksts"/>
    <w:link w:val="KomentratmaRakstz"/>
    <w:uiPriority w:val="99"/>
    <w:semiHidden/>
    <w:unhideWhenUsed/>
    <w:rsid w:val="003C4E8E"/>
    <w:rPr>
      <w:b/>
      <w:bCs/>
    </w:rPr>
  </w:style>
  <w:style w:type="character" w:customStyle="1" w:styleId="KomentratmaRakstz">
    <w:name w:val="Komentāra tēma Rakstz."/>
    <w:basedOn w:val="KomentratekstsRakstz"/>
    <w:link w:val="Komentratma"/>
    <w:uiPriority w:val="99"/>
    <w:semiHidden/>
    <w:rsid w:val="003C4E8E"/>
    <w:rPr>
      <w:b/>
      <w:bCs/>
      <w:sz w:val="20"/>
      <w:szCs w:val="20"/>
    </w:rPr>
  </w:style>
  <w:style w:type="character" w:customStyle="1" w:styleId="UnresolvedMention2">
    <w:name w:val="Unresolved Mention2"/>
    <w:basedOn w:val="Noklusjumarindkopasfonts"/>
    <w:uiPriority w:val="99"/>
    <w:rsid w:val="00BB5ECA"/>
    <w:rPr>
      <w:color w:val="808080"/>
      <w:shd w:val="clear" w:color="auto" w:fill="E6E6E6"/>
    </w:rPr>
  </w:style>
  <w:style w:type="paragraph" w:styleId="Prskatjums">
    <w:name w:val="Revision"/>
    <w:hidden/>
    <w:uiPriority w:val="99"/>
    <w:semiHidden/>
    <w:rsid w:val="002B446B"/>
    <w:pPr>
      <w:spacing w:after="0" w:line="240" w:lineRule="auto"/>
    </w:pPr>
  </w:style>
  <w:style w:type="character" w:customStyle="1" w:styleId="BodytextBold">
    <w:name w:val="Body text + Bold"/>
    <w:basedOn w:val="Noklusjumarindkopasfonts"/>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Parasts"/>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B61869"/>
    <w:rPr>
      <w:i/>
      <w:iCs/>
    </w:rPr>
  </w:style>
  <w:style w:type="paragraph" w:customStyle="1" w:styleId="pamattekststabul">
    <w:name w:val="pamattekststabul"/>
    <w:basedOn w:val="Parasts"/>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Parasts"/>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Noklusjumarindkopasfonts"/>
    <w:rsid w:val="00381E2E"/>
  </w:style>
  <w:style w:type="paragraph" w:customStyle="1" w:styleId="tv213">
    <w:name w:val="tv213"/>
    <w:basedOn w:val="Parasts"/>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Noklusjumarindkopasfonts"/>
    <w:uiPriority w:val="99"/>
    <w:semiHidden/>
    <w:unhideWhenUsed/>
    <w:rsid w:val="00AD0E20"/>
    <w:rPr>
      <w:color w:val="605E5C"/>
      <w:shd w:val="clear" w:color="auto" w:fill="E1DFDD"/>
    </w:rPr>
  </w:style>
  <w:style w:type="paragraph" w:styleId="Vienkrsteksts">
    <w:name w:val="Plain Text"/>
    <w:basedOn w:val="Parasts"/>
    <w:link w:val="VienkrstekstsRakstz"/>
    <w:rsid w:val="007472DD"/>
    <w:pPr>
      <w:snapToGrid w:val="0"/>
      <w:spacing w:after="0" w:line="240" w:lineRule="auto"/>
    </w:pPr>
    <w:rPr>
      <w:rFonts w:ascii="Courier New" w:eastAsia="Times New Roman" w:hAnsi="Courier New" w:cs="Times New Roman"/>
      <w:sz w:val="28"/>
      <w:szCs w:val="20"/>
    </w:rPr>
  </w:style>
  <w:style w:type="character" w:customStyle="1" w:styleId="VienkrstekstsRakstz">
    <w:name w:val="Vienkāršs teksts Rakstz."/>
    <w:basedOn w:val="Noklusjumarindkopasfonts"/>
    <w:link w:val="Vienkrsteksts"/>
    <w:rsid w:val="007472DD"/>
    <w:rPr>
      <w:rFonts w:ascii="Courier New" w:eastAsia="Times New Roman" w:hAnsi="Courier New" w:cs="Times New Roman"/>
      <w:sz w:val="28"/>
      <w:szCs w:val="20"/>
    </w:rPr>
  </w:style>
  <w:style w:type="character" w:customStyle="1" w:styleId="normaltextrun">
    <w:name w:val="normaltextrun"/>
    <w:basedOn w:val="Noklusjumarindkopasfonts"/>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Reatabula">
    <w:name w:val="Table Grid"/>
    <w:basedOn w:val="Parastatabula"/>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4CF7D-A2F0-4508-875D-654E9D48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1953</Words>
  <Characters>1114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Ministru kabineta rīkojuma projekta “Grozījumi Ministru kabineta 2020. gada 6. novembra rīkojumā Nr.655 “Par ārkārtējās situācijas izsludināšanu”” sākotnējās ietekmes novērtējuma ziņojuma (anotācija) pielikums  </vt:lpstr>
    </vt:vector>
  </TitlesOfParts>
  <Company>Veselības ministrija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“Grozījumi Ministru kabineta 2020. gada 6. novembra rīkojumā Nr.655 “Par ārkārtējās situācijas izsludināšanu”” sākotnējās ietekmes novērtējuma ziņojuma (anotācija) pielikums</dc:title>
  <dc:subject>Anotācijas pielikums</dc:subject>
  <dc:creator>Dace Būmane</dc:creator>
  <dc:description>dace.bumane@vm.gov.lv</dc:description>
  <cp:lastModifiedBy>Anna Strapcāne</cp:lastModifiedBy>
  <cp:revision>2</cp:revision>
  <cp:lastPrinted>2020-06-04T16:18:00Z</cp:lastPrinted>
  <dcterms:created xsi:type="dcterms:W3CDTF">2021-01-07T14:27:00Z</dcterms:created>
  <dcterms:modified xsi:type="dcterms:W3CDTF">2021-01-07T14:27:00Z</dcterms:modified>
</cp:coreProperties>
</file>