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53CB2" w14:textId="7E0E6932" w:rsidR="00380F7B" w:rsidRPr="00B22C79" w:rsidRDefault="00380F7B" w:rsidP="00AC3554">
      <w:pPr>
        <w:spacing w:after="0" w:line="240" w:lineRule="auto"/>
        <w:jc w:val="center"/>
        <w:rPr>
          <w:rFonts w:ascii="Times New Roman" w:hAnsi="Times New Roman" w:cs="Times New Roman"/>
          <w:b/>
          <w:sz w:val="28"/>
          <w:szCs w:val="28"/>
          <w:lang w:eastAsia="lv-LV"/>
        </w:rPr>
      </w:pPr>
      <w:bookmarkStart w:id="0" w:name="_GoBack"/>
      <w:bookmarkEnd w:id="0"/>
      <w:r w:rsidRPr="00B22C79">
        <w:rPr>
          <w:rFonts w:ascii="Times New Roman" w:hAnsi="Times New Roman" w:cs="Times New Roman"/>
          <w:b/>
          <w:sz w:val="28"/>
          <w:szCs w:val="28"/>
          <w:lang w:eastAsia="lv-LV"/>
        </w:rPr>
        <w:t xml:space="preserve">Ministru kabineta noteikumu projekta </w:t>
      </w:r>
      <w:bookmarkStart w:id="1" w:name="_Hlk528921762"/>
      <w:r w:rsidR="00AC3554">
        <w:rPr>
          <w:rFonts w:ascii="Times New Roman" w:hAnsi="Times New Roman" w:cs="Times New Roman"/>
          <w:b/>
          <w:sz w:val="28"/>
          <w:szCs w:val="28"/>
          <w:lang w:eastAsia="lv-LV"/>
        </w:rPr>
        <w:t>“G</w:t>
      </w:r>
      <w:r w:rsidR="00AC3554">
        <w:rPr>
          <w:rFonts w:ascii="Times New Roman" w:eastAsia="Times New Roman" w:hAnsi="Times New Roman" w:cs="Times New Roman"/>
          <w:b/>
          <w:sz w:val="28"/>
          <w:szCs w:val="28"/>
        </w:rPr>
        <w:t xml:space="preserve">rozījumi Ministru kabineta 2012. gada 3. aprīļa noteikumos Nr. 241 </w:t>
      </w:r>
      <w:r w:rsidR="001719CA">
        <w:rPr>
          <w:rFonts w:ascii="Times New Roman" w:eastAsia="Times New Roman" w:hAnsi="Times New Roman" w:cs="Times New Roman"/>
          <w:b/>
          <w:sz w:val="28"/>
          <w:szCs w:val="28"/>
        </w:rPr>
        <w:t>“</w:t>
      </w:r>
      <w:r w:rsidR="00AC3554">
        <w:rPr>
          <w:rFonts w:ascii="Times New Roman" w:eastAsia="Times New Roman" w:hAnsi="Times New Roman" w:cs="Times New Roman"/>
          <w:b/>
          <w:sz w:val="28"/>
          <w:szCs w:val="28"/>
        </w:rPr>
        <w:t>Slimību profilakses un kontroles centra nolikums</w:t>
      </w:r>
      <w:bookmarkEnd w:id="1"/>
      <w:r w:rsidR="001719CA">
        <w:rPr>
          <w:rFonts w:ascii="Times New Roman" w:eastAsia="Times New Roman" w:hAnsi="Times New Roman" w:cs="Times New Roman"/>
          <w:b/>
          <w:sz w:val="28"/>
          <w:szCs w:val="28"/>
        </w:rPr>
        <w:t>””</w:t>
      </w:r>
      <w:r w:rsidR="00AC3554">
        <w:rPr>
          <w:rFonts w:ascii="Times New Roman" w:eastAsia="Times New Roman" w:hAnsi="Times New Roman" w:cs="Times New Roman"/>
          <w:b/>
          <w:sz w:val="28"/>
          <w:szCs w:val="28"/>
        </w:rPr>
        <w:t xml:space="preserve"> </w:t>
      </w:r>
      <w:r w:rsidR="00AC3554">
        <w:rPr>
          <w:rFonts w:ascii="Times New Roman" w:hAnsi="Times New Roman" w:cs="Times New Roman"/>
          <w:b/>
          <w:sz w:val="28"/>
          <w:szCs w:val="28"/>
          <w:lang w:eastAsia="lv-LV"/>
        </w:rPr>
        <w:t>s</w:t>
      </w:r>
      <w:r w:rsidRPr="00B22C79">
        <w:rPr>
          <w:rFonts w:ascii="Times New Roman" w:hAnsi="Times New Roman" w:cs="Times New Roman"/>
          <w:b/>
          <w:sz w:val="28"/>
          <w:szCs w:val="28"/>
          <w:lang w:eastAsia="lv-LV"/>
        </w:rPr>
        <w:t>ākotnējās ietekmes novērtējuma ziņojums (anotācija)</w:t>
      </w:r>
    </w:p>
    <w:p w14:paraId="27DEFC67" w14:textId="77777777" w:rsidR="00162590" w:rsidRPr="00B22C79" w:rsidRDefault="00162590" w:rsidP="00E579A1">
      <w:pPr>
        <w:shd w:val="clear" w:color="auto" w:fill="FFFFFF"/>
        <w:spacing w:after="0" w:line="240" w:lineRule="auto"/>
        <w:jc w:val="both"/>
        <w:rPr>
          <w:rFonts w:ascii="Times New Roman" w:eastAsia="Times New Roman" w:hAnsi="Times New Roman" w:cs="Times New Roman"/>
          <w:b/>
          <w:bCs/>
          <w:color w:val="414142"/>
          <w:sz w:val="24"/>
          <w:szCs w:val="24"/>
          <w:lang w:eastAsia="lv-LV"/>
        </w:rPr>
      </w:pPr>
    </w:p>
    <w:tbl>
      <w:tblPr>
        <w:tblW w:w="5009"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8"/>
        <w:gridCol w:w="5963"/>
      </w:tblGrid>
      <w:tr w:rsidR="00626CD6" w:rsidRPr="00626CD6" w14:paraId="195C71E9" w14:textId="77777777" w:rsidTr="00CB25F8">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6530BA00" w14:textId="77777777" w:rsidR="00655F2C" w:rsidRPr="00626CD6" w:rsidRDefault="00910840" w:rsidP="00626CD6">
            <w:pPr>
              <w:spacing w:before="120" w:after="0" w:line="240" w:lineRule="auto"/>
              <w:jc w:val="both"/>
              <w:rPr>
                <w:rFonts w:ascii="Times New Roman" w:eastAsia="Times New Roman" w:hAnsi="Times New Roman" w:cs="Times New Roman"/>
                <w:b/>
                <w:bCs/>
                <w:iCs/>
                <w:sz w:val="24"/>
                <w:szCs w:val="24"/>
                <w:lang w:eastAsia="lv-LV"/>
              </w:rPr>
            </w:pPr>
            <w:r w:rsidRPr="00626CD6">
              <w:rPr>
                <w:rFonts w:ascii="Times New Roman" w:eastAsia="Times New Roman" w:hAnsi="Times New Roman" w:cs="Times New Roman"/>
                <w:b/>
                <w:bCs/>
                <w:iCs/>
                <w:sz w:val="24"/>
                <w:szCs w:val="24"/>
                <w:lang w:eastAsia="lv-LV"/>
              </w:rPr>
              <w:t>Tiesību akta projekta anotācijas kopsavilkums</w:t>
            </w:r>
          </w:p>
        </w:tc>
      </w:tr>
      <w:tr w:rsidR="00626CD6" w:rsidRPr="00626CD6" w14:paraId="0A95AF3A" w14:textId="77777777" w:rsidTr="00CB25F8">
        <w:trPr>
          <w:tblCellSpacing w:w="15" w:type="dxa"/>
        </w:trPr>
        <w:tc>
          <w:tcPr>
            <w:tcW w:w="1694" w:type="pct"/>
            <w:tcBorders>
              <w:top w:val="outset" w:sz="6" w:space="0" w:color="auto"/>
              <w:left w:val="outset" w:sz="6" w:space="0" w:color="auto"/>
              <w:bottom w:val="outset" w:sz="6" w:space="0" w:color="auto"/>
              <w:right w:val="outset" w:sz="6" w:space="0" w:color="auto"/>
            </w:tcBorders>
            <w:hideMark/>
          </w:tcPr>
          <w:p w14:paraId="0A8ABE4E" w14:textId="77777777" w:rsidR="00E5323B" w:rsidRPr="00626CD6" w:rsidRDefault="00910840" w:rsidP="00626CD6">
            <w:pPr>
              <w:spacing w:before="120" w:after="0" w:line="240" w:lineRule="auto"/>
              <w:jc w:val="both"/>
              <w:rPr>
                <w:rFonts w:ascii="Times New Roman" w:eastAsia="Times New Roman" w:hAnsi="Times New Roman" w:cs="Times New Roman"/>
                <w:iCs/>
                <w:sz w:val="24"/>
                <w:szCs w:val="24"/>
                <w:lang w:eastAsia="lv-LV"/>
              </w:rPr>
            </w:pPr>
            <w:r w:rsidRPr="00626CD6">
              <w:rPr>
                <w:rFonts w:ascii="Times New Roman" w:eastAsia="Times New Roman" w:hAnsi="Times New Roman" w:cs="Times New Roman"/>
                <w:iCs/>
                <w:sz w:val="24"/>
                <w:szCs w:val="24"/>
                <w:lang w:eastAsia="lv-LV"/>
              </w:rPr>
              <w:t>Mērķis, risinājums un projekta spēkā stāšanās laiks (500 zīmes bez atstarpēm)</w:t>
            </w:r>
          </w:p>
        </w:tc>
        <w:tc>
          <w:tcPr>
            <w:tcW w:w="3256" w:type="pct"/>
            <w:tcBorders>
              <w:top w:val="outset" w:sz="6" w:space="0" w:color="auto"/>
              <w:left w:val="outset" w:sz="6" w:space="0" w:color="auto"/>
              <w:bottom w:val="outset" w:sz="6" w:space="0" w:color="auto"/>
              <w:right w:val="outset" w:sz="6" w:space="0" w:color="auto"/>
            </w:tcBorders>
            <w:hideMark/>
          </w:tcPr>
          <w:p w14:paraId="18156A36" w14:textId="77777777" w:rsidR="005E2D18" w:rsidRDefault="00872DDE" w:rsidP="005E2D18">
            <w:pPr>
              <w:pStyle w:val="naiskr"/>
              <w:tabs>
                <w:tab w:val="left" w:pos="360"/>
              </w:tabs>
              <w:spacing w:before="0" w:beforeAutospacing="0" w:after="0" w:afterAutospacing="0"/>
              <w:ind w:left="51" w:right="57"/>
              <w:jc w:val="both"/>
            </w:pPr>
            <w:r w:rsidRPr="007024F9">
              <w:rPr>
                <w:color w:val="000000"/>
              </w:rPr>
              <w:t xml:space="preserve">Ministru kabineta noteikumu </w:t>
            </w:r>
            <w:r w:rsidR="0042280A">
              <w:rPr>
                <w:color w:val="000000"/>
              </w:rPr>
              <w:t>“</w:t>
            </w:r>
            <w:r w:rsidRPr="007024F9">
              <w:rPr>
                <w:color w:val="000000"/>
              </w:rPr>
              <w:t>Grozījumi</w:t>
            </w:r>
            <w:r w:rsidRPr="007024F9">
              <w:t xml:space="preserve"> Ministru kabineta 2012.gada 3.aprīļa noteikumu Nr.241 </w:t>
            </w:r>
            <w:r w:rsidR="007024F9" w:rsidRPr="007024F9">
              <w:t>“</w:t>
            </w:r>
            <w:r w:rsidRPr="007024F9">
              <w:t xml:space="preserve">Slimību profilakses un kontroles centra nolikums”” projekts (turpmāk </w:t>
            </w:r>
            <w:r w:rsidR="007024F9" w:rsidRPr="007024F9">
              <w:t xml:space="preserve">– </w:t>
            </w:r>
            <w:r w:rsidR="003F136E" w:rsidRPr="007024F9">
              <w:t>N</w:t>
            </w:r>
            <w:r w:rsidRPr="007024F9">
              <w:t xml:space="preserve">oteikumu projekts) izstrādāts </w:t>
            </w:r>
            <w:r w:rsidR="00ED1593">
              <w:t>a</w:t>
            </w:r>
            <w:r w:rsidRPr="007024F9">
              <w:t>tbilstoši</w:t>
            </w:r>
            <w:r w:rsidR="007024F9" w:rsidRPr="007024F9">
              <w:t xml:space="preserve"> Valsts pārvaldes iekārtas likuma 16.panta pirm</w:t>
            </w:r>
            <w:r w:rsidR="00C02BBF">
              <w:t>ajai</w:t>
            </w:r>
            <w:r w:rsidR="007024F9" w:rsidRPr="007024F9">
              <w:t xml:space="preserve"> daļai, Ministru Kabineta 2008.gada 15.septembra noteikumu Nr. 746 “Ar noteiktām slimībām slimojošu pacientu reģistra izveides, papildināšanas un uzturēšanas kārtība” 6.2. un 7.11.</w:t>
            </w:r>
            <w:r w:rsidR="001719CA">
              <w:t>apakš</w:t>
            </w:r>
            <w:r w:rsidR="007024F9" w:rsidRPr="007024F9">
              <w:t>punktam,</w:t>
            </w:r>
            <w:r w:rsidR="004632F9">
              <w:t xml:space="preserve"> </w:t>
            </w:r>
          </w:p>
          <w:p w14:paraId="07B374D4" w14:textId="3D4AA418" w:rsidR="00952B2C" w:rsidRPr="00952B2C" w:rsidRDefault="007024F9" w:rsidP="005E2D18">
            <w:pPr>
              <w:pStyle w:val="naiskr"/>
              <w:tabs>
                <w:tab w:val="left" w:pos="360"/>
              </w:tabs>
              <w:spacing w:before="0" w:beforeAutospacing="0" w:after="0" w:afterAutospacing="0"/>
              <w:ind w:left="51" w:right="57"/>
              <w:jc w:val="both"/>
              <w:rPr>
                <w:i/>
                <w:iCs/>
              </w:rPr>
            </w:pPr>
            <w:r w:rsidRPr="007024F9">
              <w:rPr>
                <w:b/>
              </w:rPr>
              <w:t>N</w:t>
            </w:r>
            <w:r w:rsidR="00AC3554" w:rsidRPr="007024F9">
              <w:rPr>
                <w:b/>
              </w:rPr>
              <w:t>oteikumu projekta</w:t>
            </w:r>
            <w:r w:rsidR="00132C38" w:rsidRPr="007024F9">
              <w:t xml:space="preserve"> </w:t>
            </w:r>
            <w:r w:rsidR="00132C38" w:rsidRPr="0042280A">
              <w:rPr>
                <w:b/>
                <w:bCs/>
              </w:rPr>
              <w:t>mērķis</w:t>
            </w:r>
            <w:r w:rsidRPr="007024F9">
              <w:t xml:space="preserve"> ir</w:t>
            </w:r>
            <w:r w:rsidR="00ED1593">
              <w:t xml:space="preserve"> </w:t>
            </w:r>
            <w:r w:rsidR="00ED1593" w:rsidRPr="00ED1593">
              <w:t>precizēt Slimību profilakses un kontroles centra uzdevumus, svītrojot uzdevumus, kas ietverti cita uzdevuma sastāvā vai zaudējuši aktualitāti</w:t>
            </w:r>
            <w:r w:rsidR="006A04E7">
              <w:t>.</w:t>
            </w:r>
            <w:r w:rsidR="00ED1593" w:rsidRPr="00ED1593">
              <w:t xml:space="preserve"> </w:t>
            </w:r>
            <w:r w:rsidR="00952B2C" w:rsidRPr="00952B2C">
              <w:t xml:space="preserve">Atbilstoši Oficiālo </w:t>
            </w:r>
            <w:r w:rsidR="00952B2C" w:rsidRPr="00744CAB">
              <w:t xml:space="preserve">publikāciju un tiesiskās informācijas likuma 7. panta </w:t>
            </w:r>
            <w:r w:rsidR="00744CAB" w:rsidRPr="00744CAB">
              <w:t>otra</w:t>
            </w:r>
            <w:r w:rsidR="00952B2C" w:rsidRPr="00744CAB">
              <w:t xml:space="preserve">jai daļai Ministru kabineta noteikumi stājas spēkā </w:t>
            </w:r>
            <w:r w:rsidR="00744CAB" w:rsidRPr="00744CAB">
              <w:rPr>
                <w:shd w:val="clear" w:color="auto" w:fill="FFFFFF"/>
              </w:rPr>
              <w:t>nākamajā dienā pēc to izsludināšanas, ja pašā tiesību aktā nav noteikts cits tā spēkā stāšanās termiņš</w:t>
            </w:r>
            <w:r w:rsidR="004632F9">
              <w:rPr>
                <w:shd w:val="clear" w:color="auto" w:fill="FFFFFF"/>
              </w:rPr>
              <w:t>.</w:t>
            </w:r>
          </w:p>
        </w:tc>
      </w:tr>
    </w:tbl>
    <w:p w14:paraId="2B6FFF1E" w14:textId="77777777" w:rsidR="00E5323B" w:rsidRPr="00B22C79" w:rsidRDefault="00910840" w:rsidP="00E579A1">
      <w:pPr>
        <w:spacing w:after="0" w:line="240" w:lineRule="auto"/>
        <w:jc w:val="both"/>
        <w:rPr>
          <w:rFonts w:ascii="Times New Roman" w:eastAsia="Times New Roman" w:hAnsi="Times New Roman" w:cs="Times New Roman"/>
          <w:iCs/>
          <w:sz w:val="24"/>
          <w:szCs w:val="24"/>
          <w:lang w:eastAsia="lv-LV"/>
        </w:rPr>
      </w:pPr>
      <w:r w:rsidRPr="00B22C79">
        <w:rPr>
          <w:rFonts w:ascii="Times New Roman" w:eastAsia="Times New Roman" w:hAnsi="Times New Roman" w:cs="Times New Roman"/>
          <w:iCs/>
          <w:sz w:val="24"/>
          <w:szCs w:val="24"/>
          <w:lang w:eastAsia="lv-LV"/>
        </w:rPr>
        <w:t xml:space="preserve">  </w:t>
      </w:r>
    </w:p>
    <w:tbl>
      <w:tblPr>
        <w:tblW w:w="5000"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2541"/>
        <w:gridCol w:w="6096"/>
      </w:tblGrid>
      <w:tr w:rsidR="005A40D0" w:rsidRPr="00B22C79" w14:paraId="09BC0CC2" w14:textId="77777777" w:rsidTr="00A84E9E">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29ADA79" w14:textId="77777777" w:rsidR="00655F2C" w:rsidRPr="00B22C79" w:rsidRDefault="00910840" w:rsidP="00E579A1">
            <w:pPr>
              <w:spacing w:after="0" w:line="240" w:lineRule="auto"/>
              <w:jc w:val="both"/>
              <w:rPr>
                <w:rFonts w:ascii="Times New Roman" w:eastAsia="Times New Roman" w:hAnsi="Times New Roman" w:cs="Times New Roman"/>
                <w:b/>
                <w:bCs/>
                <w:iCs/>
                <w:sz w:val="24"/>
                <w:szCs w:val="24"/>
                <w:lang w:eastAsia="lv-LV"/>
              </w:rPr>
            </w:pPr>
            <w:r w:rsidRPr="00B22C79">
              <w:rPr>
                <w:rFonts w:ascii="Times New Roman" w:eastAsia="Times New Roman" w:hAnsi="Times New Roman" w:cs="Times New Roman"/>
                <w:b/>
                <w:bCs/>
                <w:iCs/>
                <w:sz w:val="24"/>
                <w:szCs w:val="24"/>
                <w:lang w:eastAsia="lv-LV"/>
              </w:rPr>
              <w:t>I. Tiesību akta projekta izstrādes nepieciešamība</w:t>
            </w:r>
          </w:p>
        </w:tc>
      </w:tr>
      <w:tr w:rsidR="005A40D0" w:rsidRPr="00B22C79" w14:paraId="3B1DF27A" w14:textId="77777777" w:rsidTr="000C67EB">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14:paraId="0E4215D2" w14:textId="77777777" w:rsidR="00655F2C" w:rsidRPr="00B22C79" w:rsidRDefault="00910840" w:rsidP="00E579A1">
            <w:pPr>
              <w:spacing w:after="0" w:line="240" w:lineRule="auto"/>
              <w:jc w:val="both"/>
              <w:rPr>
                <w:rFonts w:ascii="Times New Roman" w:eastAsia="Times New Roman" w:hAnsi="Times New Roman" w:cs="Times New Roman"/>
                <w:iCs/>
                <w:sz w:val="24"/>
                <w:szCs w:val="24"/>
                <w:lang w:eastAsia="lv-LV"/>
              </w:rPr>
            </w:pPr>
            <w:r w:rsidRPr="00B22C79">
              <w:rPr>
                <w:rFonts w:ascii="Times New Roman" w:eastAsia="Times New Roman" w:hAnsi="Times New Roman" w:cs="Times New Roman"/>
                <w:iCs/>
                <w:sz w:val="24"/>
                <w:szCs w:val="24"/>
                <w:lang w:eastAsia="lv-LV"/>
              </w:rPr>
              <w:t>1.</w:t>
            </w:r>
          </w:p>
        </w:tc>
        <w:tc>
          <w:tcPr>
            <w:tcW w:w="1396" w:type="pct"/>
            <w:tcBorders>
              <w:top w:val="outset" w:sz="6" w:space="0" w:color="auto"/>
              <w:left w:val="outset" w:sz="6" w:space="0" w:color="auto"/>
              <w:bottom w:val="outset" w:sz="6" w:space="0" w:color="auto"/>
              <w:right w:val="outset" w:sz="6" w:space="0" w:color="auto"/>
            </w:tcBorders>
            <w:hideMark/>
          </w:tcPr>
          <w:p w14:paraId="2ABC5AA8" w14:textId="77777777" w:rsidR="00E5323B" w:rsidRDefault="00910840" w:rsidP="00E579A1">
            <w:pPr>
              <w:spacing w:after="0" w:line="240" w:lineRule="auto"/>
              <w:jc w:val="both"/>
              <w:rPr>
                <w:rFonts w:ascii="Times New Roman" w:eastAsia="Times New Roman" w:hAnsi="Times New Roman" w:cs="Times New Roman"/>
                <w:iCs/>
                <w:sz w:val="24"/>
                <w:szCs w:val="24"/>
                <w:lang w:eastAsia="lv-LV"/>
              </w:rPr>
            </w:pPr>
            <w:r w:rsidRPr="00B22C79">
              <w:rPr>
                <w:rFonts w:ascii="Times New Roman" w:eastAsia="Times New Roman" w:hAnsi="Times New Roman" w:cs="Times New Roman"/>
                <w:iCs/>
                <w:sz w:val="24"/>
                <w:szCs w:val="24"/>
                <w:lang w:eastAsia="lv-LV"/>
              </w:rPr>
              <w:t>Pamatojums</w:t>
            </w:r>
          </w:p>
          <w:p w14:paraId="5B93BE95" w14:textId="77777777" w:rsidR="00371C99" w:rsidRPr="00371C99" w:rsidRDefault="00371C99" w:rsidP="00371C99">
            <w:pPr>
              <w:rPr>
                <w:rFonts w:ascii="Times New Roman" w:eastAsia="Times New Roman" w:hAnsi="Times New Roman" w:cs="Times New Roman"/>
                <w:sz w:val="24"/>
                <w:szCs w:val="24"/>
                <w:lang w:eastAsia="lv-LV"/>
              </w:rPr>
            </w:pPr>
          </w:p>
          <w:p w14:paraId="184BCB42" w14:textId="756A6233" w:rsidR="00371C99" w:rsidRPr="00371C99" w:rsidRDefault="00371C99" w:rsidP="00147C2D">
            <w:pPr>
              <w:ind w:firstLine="720"/>
              <w:rPr>
                <w:rFonts w:ascii="Times New Roman" w:eastAsia="Times New Roman" w:hAnsi="Times New Roman" w:cs="Times New Roman"/>
                <w:sz w:val="24"/>
                <w:szCs w:val="24"/>
                <w:lang w:eastAsia="lv-LV"/>
              </w:rPr>
            </w:pPr>
          </w:p>
        </w:tc>
        <w:tc>
          <w:tcPr>
            <w:tcW w:w="3331" w:type="pct"/>
            <w:tcBorders>
              <w:top w:val="outset" w:sz="6" w:space="0" w:color="auto"/>
              <w:left w:val="outset" w:sz="6" w:space="0" w:color="auto"/>
              <w:bottom w:val="outset" w:sz="6" w:space="0" w:color="auto"/>
              <w:right w:val="outset" w:sz="6" w:space="0" w:color="auto"/>
            </w:tcBorders>
            <w:hideMark/>
          </w:tcPr>
          <w:p w14:paraId="7C0AABA1" w14:textId="047C5E49" w:rsidR="002F46E2" w:rsidRDefault="00132C38" w:rsidP="003F136E">
            <w:pPr>
              <w:pStyle w:val="naiskr"/>
              <w:tabs>
                <w:tab w:val="left" w:pos="360"/>
              </w:tabs>
              <w:spacing w:before="0" w:beforeAutospacing="0" w:after="0" w:afterAutospacing="0"/>
              <w:ind w:left="51" w:right="57"/>
              <w:jc w:val="both"/>
            </w:pPr>
            <w:r w:rsidRPr="00B22C79">
              <w:t xml:space="preserve">Noteikumu projekts izstrādāts pamatojoties uz </w:t>
            </w:r>
            <w:r w:rsidR="00165434" w:rsidRPr="00D10357">
              <w:t>Valsts pārvaldes iekārtas likuma 16.panta pirm</w:t>
            </w:r>
            <w:r w:rsidR="003F136E">
              <w:t>o</w:t>
            </w:r>
            <w:r w:rsidR="00165434" w:rsidRPr="00D10357">
              <w:t xml:space="preserve"> daļ</w:t>
            </w:r>
            <w:r w:rsidR="003F136E">
              <w:t>u</w:t>
            </w:r>
            <w:r w:rsidR="00D6251D">
              <w:t xml:space="preserve"> </w:t>
            </w:r>
          </w:p>
          <w:p w14:paraId="78965A95" w14:textId="7832080F" w:rsidR="00FE148D" w:rsidRPr="00B22C79" w:rsidRDefault="00D6251D" w:rsidP="005E2D18">
            <w:pPr>
              <w:pStyle w:val="naiskr"/>
              <w:tabs>
                <w:tab w:val="left" w:pos="360"/>
              </w:tabs>
              <w:spacing w:before="0" w:beforeAutospacing="0" w:after="0" w:afterAutospacing="0"/>
              <w:ind w:left="51" w:right="57"/>
              <w:jc w:val="both"/>
              <w:rPr>
                <w:iCs/>
              </w:rPr>
            </w:pPr>
            <w:r w:rsidRPr="00D10357">
              <w:t>Ministru Kabineta 2008.gada 15.septembra noteikum</w:t>
            </w:r>
            <w:r>
              <w:t>u</w:t>
            </w:r>
            <w:r w:rsidRPr="00D10357">
              <w:t xml:space="preserve"> </w:t>
            </w:r>
            <w:r w:rsidR="00C12CE8">
              <w:t>N</w:t>
            </w:r>
            <w:r w:rsidRPr="00D10357">
              <w:t>r.</w:t>
            </w:r>
            <w:r w:rsidR="00C12CE8">
              <w:t> </w:t>
            </w:r>
            <w:r w:rsidRPr="00D10357">
              <w:t>746 “Ar noteiktām slimībām slimojošu pacientu reģistra izveides, papildināšanas un uzturēšanas kārtība” 6.2. un 7.11.</w:t>
            </w:r>
            <w:r w:rsidR="004A260B">
              <w:t>apakš</w:t>
            </w:r>
            <w:r w:rsidRPr="00D10357">
              <w:t>punkt</w:t>
            </w:r>
            <w:r w:rsidR="004A260B">
              <w:t>u</w:t>
            </w:r>
            <w:r w:rsidR="006A04E7">
              <w:t>.</w:t>
            </w:r>
          </w:p>
        </w:tc>
      </w:tr>
      <w:tr w:rsidR="005A40D0" w:rsidRPr="00B22C79" w14:paraId="32CC59BB" w14:textId="77777777" w:rsidTr="000C67EB">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14:paraId="06EBFEFA" w14:textId="77777777" w:rsidR="00655F2C" w:rsidRPr="00B22C79" w:rsidRDefault="00910840" w:rsidP="00E579A1">
            <w:pPr>
              <w:spacing w:after="0" w:line="240" w:lineRule="auto"/>
              <w:jc w:val="both"/>
              <w:rPr>
                <w:rFonts w:ascii="Times New Roman" w:eastAsia="Times New Roman" w:hAnsi="Times New Roman" w:cs="Times New Roman"/>
                <w:iCs/>
                <w:sz w:val="24"/>
                <w:szCs w:val="24"/>
                <w:lang w:eastAsia="lv-LV"/>
              </w:rPr>
            </w:pPr>
            <w:r w:rsidRPr="00B22C79">
              <w:rPr>
                <w:rFonts w:ascii="Times New Roman" w:eastAsia="Times New Roman" w:hAnsi="Times New Roman" w:cs="Times New Roman"/>
                <w:iCs/>
                <w:sz w:val="24"/>
                <w:szCs w:val="24"/>
                <w:lang w:eastAsia="lv-LV"/>
              </w:rPr>
              <w:t>2.</w:t>
            </w:r>
          </w:p>
        </w:tc>
        <w:tc>
          <w:tcPr>
            <w:tcW w:w="1396" w:type="pct"/>
            <w:tcBorders>
              <w:top w:val="outset" w:sz="6" w:space="0" w:color="auto"/>
              <w:left w:val="outset" w:sz="6" w:space="0" w:color="auto"/>
              <w:bottom w:val="outset" w:sz="6" w:space="0" w:color="auto"/>
              <w:right w:val="outset" w:sz="6" w:space="0" w:color="auto"/>
            </w:tcBorders>
            <w:hideMark/>
          </w:tcPr>
          <w:p w14:paraId="5B537D1F" w14:textId="21BE126A" w:rsidR="00474932" w:rsidRDefault="00910840" w:rsidP="00E579A1">
            <w:pPr>
              <w:spacing w:after="0" w:line="240" w:lineRule="auto"/>
              <w:jc w:val="both"/>
              <w:rPr>
                <w:rFonts w:ascii="Times New Roman" w:eastAsia="Times New Roman" w:hAnsi="Times New Roman" w:cs="Times New Roman"/>
                <w:iCs/>
                <w:sz w:val="24"/>
                <w:szCs w:val="24"/>
                <w:lang w:eastAsia="lv-LV"/>
              </w:rPr>
            </w:pPr>
            <w:r w:rsidRPr="00B22C79">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6FCF2A8B" w14:textId="09C5CAC1" w:rsidR="006363E2" w:rsidRPr="00B22C79" w:rsidRDefault="006363E2" w:rsidP="00E579A1">
            <w:pPr>
              <w:ind w:firstLine="720"/>
              <w:jc w:val="both"/>
              <w:rPr>
                <w:rFonts w:ascii="Times New Roman" w:eastAsia="Times New Roman" w:hAnsi="Times New Roman" w:cs="Times New Roman"/>
                <w:sz w:val="24"/>
                <w:szCs w:val="24"/>
                <w:lang w:eastAsia="lv-LV"/>
              </w:rPr>
            </w:pPr>
          </w:p>
        </w:tc>
        <w:tc>
          <w:tcPr>
            <w:tcW w:w="3331" w:type="pct"/>
            <w:tcBorders>
              <w:top w:val="outset" w:sz="6" w:space="0" w:color="auto"/>
              <w:left w:val="outset" w:sz="6" w:space="0" w:color="auto"/>
              <w:bottom w:val="outset" w:sz="6" w:space="0" w:color="auto"/>
              <w:right w:val="outset" w:sz="6" w:space="0" w:color="auto"/>
            </w:tcBorders>
            <w:hideMark/>
          </w:tcPr>
          <w:p w14:paraId="4C263351" w14:textId="449392E9" w:rsidR="00B23182" w:rsidRPr="007355C7" w:rsidRDefault="0042280A" w:rsidP="00B23182">
            <w:pPr>
              <w:shd w:val="clear" w:color="auto" w:fill="FFFFFF"/>
              <w:spacing w:after="0" w:line="293" w:lineRule="atLeast"/>
              <w:jc w:val="both"/>
              <w:rPr>
                <w:rFonts w:ascii="Times New Roman" w:eastAsia="Times New Roman" w:hAnsi="Times New Roman" w:cs="Times New Roman"/>
                <w:color w:val="414142"/>
                <w:sz w:val="24"/>
                <w:szCs w:val="24"/>
              </w:rPr>
            </w:pPr>
            <w:r w:rsidRPr="007024F9">
              <w:rPr>
                <w:rFonts w:ascii="Times New Roman" w:hAnsi="Times New Roman" w:cs="Times New Roman"/>
                <w:sz w:val="24"/>
                <w:szCs w:val="24"/>
              </w:rPr>
              <w:t xml:space="preserve">Ministru kabineta 2012.gada 3.aprīļa noteikumu Nr.241 </w:t>
            </w:r>
            <w:r w:rsidRPr="007024F9">
              <w:rPr>
                <w:sz w:val="24"/>
                <w:szCs w:val="24"/>
              </w:rPr>
              <w:t>“</w:t>
            </w:r>
            <w:r w:rsidRPr="007024F9">
              <w:rPr>
                <w:rFonts w:ascii="Times New Roman" w:hAnsi="Times New Roman" w:cs="Times New Roman"/>
                <w:sz w:val="24"/>
                <w:szCs w:val="24"/>
              </w:rPr>
              <w:t>Slimību profilakses un kontroles centra nolikums”</w:t>
            </w:r>
            <w:r>
              <w:rPr>
                <w:rFonts w:ascii="Times New Roman" w:hAnsi="Times New Roman" w:cs="Times New Roman"/>
                <w:sz w:val="24"/>
                <w:szCs w:val="24"/>
              </w:rPr>
              <w:t xml:space="preserve"> (turpmāk – Noteikumi Nr.241) </w:t>
            </w:r>
            <w:r w:rsidR="00B23182" w:rsidRPr="007355C7">
              <w:rPr>
                <w:rFonts w:ascii="Times New Roman" w:eastAsia="Times New Roman" w:hAnsi="Times New Roman" w:cs="Times New Roman"/>
                <w:color w:val="414142"/>
                <w:sz w:val="24"/>
                <w:szCs w:val="24"/>
              </w:rPr>
              <w:t>4.12.</w:t>
            </w:r>
            <w:r>
              <w:rPr>
                <w:rFonts w:ascii="Times New Roman" w:eastAsia="Times New Roman" w:hAnsi="Times New Roman" w:cs="Times New Roman"/>
                <w:color w:val="414142"/>
                <w:sz w:val="24"/>
                <w:szCs w:val="24"/>
              </w:rPr>
              <w:t> </w:t>
            </w:r>
            <w:r w:rsidR="00B23182" w:rsidRPr="007355C7">
              <w:rPr>
                <w:rFonts w:ascii="Times New Roman" w:eastAsia="Times New Roman" w:hAnsi="Times New Roman" w:cs="Times New Roman"/>
                <w:color w:val="414142"/>
                <w:sz w:val="24"/>
                <w:szCs w:val="24"/>
              </w:rPr>
              <w:t>ap</w:t>
            </w:r>
            <w:r>
              <w:rPr>
                <w:rFonts w:ascii="Times New Roman" w:eastAsia="Times New Roman" w:hAnsi="Times New Roman" w:cs="Times New Roman"/>
                <w:color w:val="414142"/>
                <w:sz w:val="24"/>
                <w:szCs w:val="24"/>
              </w:rPr>
              <w:t>akš</w:t>
            </w:r>
            <w:r w:rsidR="00B23182" w:rsidRPr="007355C7">
              <w:rPr>
                <w:rFonts w:ascii="Times New Roman" w:eastAsia="Times New Roman" w:hAnsi="Times New Roman" w:cs="Times New Roman"/>
                <w:color w:val="414142"/>
                <w:sz w:val="24"/>
                <w:szCs w:val="24"/>
              </w:rPr>
              <w:t>p</w:t>
            </w:r>
            <w:r>
              <w:rPr>
                <w:rFonts w:ascii="Times New Roman" w:eastAsia="Times New Roman" w:hAnsi="Times New Roman" w:cs="Times New Roman"/>
                <w:color w:val="414142"/>
                <w:sz w:val="24"/>
                <w:szCs w:val="24"/>
              </w:rPr>
              <w:t>unkts n</w:t>
            </w:r>
            <w:r w:rsidR="00B23182" w:rsidRPr="007355C7">
              <w:rPr>
                <w:rFonts w:ascii="Times New Roman" w:eastAsia="Times New Roman" w:hAnsi="Times New Roman" w:cs="Times New Roman"/>
                <w:color w:val="414142"/>
                <w:sz w:val="24"/>
                <w:szCs w:val="24"/>
              </w:rPr>
              <w:t>osaka</w:t>
            </w:r>
            <w:r>
              <w:rPr>
                <w:rFonts w:ascii="Times New Roman" w:eastAsia="Times New Roman" w:hAnsi="Times New Roman" w:cs="Times New Roman"/>
                <w:color w:val="414142"/>
                <w:sz w:val="24"/>
                <w:szCs w:val="24"/>
              </w:rPr>
              <w:t>:</w:t>
            </w:r>
          </w:p>
          <w:p w14:paraId="61E39376" w14:textId="35562641" w:rsidR="00B23182" w:rsidRPr="00744CAB" w:rsidRDefault="00B23182" w:rsidP="003F136E">
            <w:p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7355C7">
              <w:rPr>
                <w:rFonts w:ascii="Times New Roman" w:eastAsia="Times New Roman" w:hAnsi="Times New Roman" w:cs="Times New Roman"/>
                <w:color w:val="414142"/>
                <w:sz w:val="24"/>
                <w:szCs w:val="24"/>
              </w:rPr>
              <w:t>4.</w:t>
            </w:r>
            <w:r w:rsidR="004A260B">
              <w:rPr>
                <w:rFonts w:ascii="Times New Roman" w:eastAsia="Times New Roman" w:hAnsi="Times New Roman" w:cs="Times New Roman"/>
                <w:color w:val="414142"/>
                <w:sz w:val="24"/>
                <w:szCs w:val="24"/>
              </w:rPr>
              <w:t> </w:t>
            </w:r>
            <w:r w:rsidRPr="007355C7">
              <w:rPr>
                <w:rFonts w:ascii="Times New Roman" w:eastAsia="Times New Roman" w:hAnsi="Times New Roman" w:cs="Times New Roman"/>
                <w:color w:val="414142"/>
                <w:sz w:val="24"/>
                <w:szCs w:val="24"/>
              </w:rPr>
              <w:t>Lai nodrošinātu šo noteikumu</w:t>
            </w:r>
            <w:r w:rsidR="00D6251D" w:rsidRPr="007355C7">
              <w:rPr>
                <w:rFonts w:ascii="Times New Roman" w:eastAsia="Times New Roman" w:hAnsi="Times New Roman" w:cs="Times New Roman"/>
                <w:color w:val="414142"/>
                <w:sz w:val="24"/>
                <w:szCs w:val="24"/>
              </w:rPr>
              <w:t xml:space="preserve"> </w:t>
            </w:r>
            <w:hyperlink r:id="rId8" w:anchor="p3" w:history="1">
              <w:r w:rsidRPr="00C12CE8">
                <w:rPr>
                  <w:rFonts w:ascii="Times New Roman" w:eastAsia="Times New Roman" w:hAnsi="Times New Roman" w:cs="Times New Roman"/>
                  <w:sz w:val="24"/>
                  <w:szCs w:val="24"/>
                </w:rPr>
                <w:t>3.punktā</w:t>
              </w:r>
            </w:hyperlink>
            <w:r w:rsidR="00D6251D" w:rsidRPr="00C12CE8">
              <w:rPr>
                <w:rFonts w:ascii="Times New Roman" w:eastAsia="Times New Roman" w:hAnsi="Times New Roman" w:cs="Times New Roman"/>
                <w:sz w:val="24"/>
                <w:szCs w:val="24"/>
              </w:rPr>
              <w:t xml:space="preserve"> </w:t>
            </w:r>
            <w:r w:rsidRPr="007355C7">
              <w:rPr>
                <w:rFonts w:ascii="Times New Roman" w:eastAsia="Times New Roman" w:hAnsi="Times New Roman" w:cs="Times New Roman"/>
                <w:color w:val="414142"/>
                <w:sz w:val="24"/>
                <w:szCs w:val="24"/>
              </w:rPr>
              <w:t xml:space="preserve">minēto funkciju izpildi, centrs veic šādus uzdevumus -veido, uztur un papildina šādas centra pārziņā esošas valsts informācijas sistēmas un datubāzes </w:t>
            </w:r>
            <w:r w:rsidRPr="007355C7">
              <w:rPr>
                <w:rFonts w:ascii="Times New Roman" w:eastAsia="Times New Roman" w:hAnsi="Times New Roman" w:cs="Times New Roman"/>
                <w:i/>
                <w:iCs/>
                <w:color w:val="414142"/>
                <w:sz w:val="24"/>
                <w:szCs w:val="24"/>
              </w:rPr>
              <w:t>(tajā skaitā):</w:t>
            </w:r>
            <w:r w:rsidR="00744CAB">
              <w:rPr>
                <w:rFonts w:ascii="Times New Roman" w:eastAsia="Times New Roman" w:hAnsi="Times New Roman" w:cs="Times New Roman"/>
                <w:i/>
                <w:iCs/>
                <w:color w:val="414142"/>
                <w:sz w:val="24"/>
                <w:szCs w:val="24"/>
              </w:rPr>
              <w:t xml:space="preserve"> </w:t>
            </w:r>
            <w:r w:rsidRPr="00744CAB">
              <w:rPr>
                <w:rFonts w:ascii="Times New Roman" w:eastAsia="Times New Roman" w:hAnsi="Times New Roman" w:cs="Times New Roman"/>
                <w:color w:val="000000" w:themeColor="text1"/>
                <w:sz w:val="24"/>
                <w:szCs w:val="24"/>
              </w:rPr>
              <w:t>4.12.2. HIV/AIDS gadījumu valsts reģistru;</w:t>
            </w:r>
            <w:r w:rsidR="00744CAB">
              <w:rPr>
                <w:rFonts w:ascii="Times New Roman" w:eastAsia="Times New Roman" w:hAnsi="Times New Roman" w:cs="Times New Roman"/>
                <w:color w:val="000000" w:themeColor="text1"/>
                <w:sz w:val="24"/>
                <w:szCs w:val="24"/>
              </w:rPr>
              <w:t xml:space="preserve"> </w:t>
            </w:r>
            <w:r w:rsidRPr="00744CAB">
              <w:rPr>
                <w:rFonts w:ascii="Times New Roman" w:eastAsia="Times New Roman" w:hAnsi="Times New Roman" w:cs="Times New Roman"/>
                <w:color w:val="000000" w:themeColor="text1"/>
                <w:sz w:val="24"/>
                <w:szCs w:val="24"/>
              </w:rPr>
              <w:t>4.12.10. sabiedrības veselības monitoringa un ziņošanas sistēmu;</w:t>
            </w:r>
            <w:r w:rsidR="00744CAB">
              <w:rPr>
                <w:rFonts w:ascii="Times New Roman" w:eastAsia="Times New Roman" w:hAnsi="Times New Roman" w:cs="Times New Roman"/>
                <w:color w:val="000000" w:themeColor="text1"/>
                <w:sz w:val="24"/>
                <w:szCs w:val="24"/>
              </w:rPr>
              <w:t xml:space="preserve"> </w:t>
            </w:r>
            <w:r w:rsidRPr="00744CAB">
              <w:rPr>
                <w:rFonts w:ascii="Times New Roman" w:eastAsia="Times New Roman" w:hAnsi="Times New Roman" w:cs="Times New Roman"/>
                <w:color w:val="000000" w:themeColor="text1"/>
                <w:sz w:val="24"/>
                <w:szCs w:val="24"/>
              </w:rPr>
              <w:t>4.12.12. datu prezentācijas sistēmu</w:t>
            </w:r>
            <w:r w:rsidR="003F136E" w:rsidRPr="00744CAB">
              <w:rPr>
                <w:rFonts w:ascii="Times New Roman" w:eastAsia="Times New Roman" w:hAnsi="Times New Roman" w:cs="Times New Roman"/>
                <w:color w:val="000000" w:themeColor="text1"/>
                <w:sz w:val="24"/>
                <w:szCs w:val="24"/>
              </w:rPr>
              <w:t>.</w:t>
            </w:r>
          </w:p>
          <w:p w14:paraId="7D6B0018" w14:textId="77777777" w:rsidR="00B23182" w:rsidRPr="00744CAB" w:rsidRDefault="00B23182" w:rsidP="00B23182">
            <w:pPr>
              <w:shd w:val="clear" w:color="auto" w:fill="FFFFFF"/>
              <w:spacing w:after="0" w:line="293" w:lineRule="atLeast"/>
              <w:ind w:left="900" w:firstLine="300"/>
              <w:jc w:val="both"/>
              <w:rPr>
                <w:rFonts w:ascii="Times New Roman" w:eastAsia="Times New Roman" w:hAnsi="Times New Roman" w:cs="Times New Roman"/>
                <w:sz w:val="24"/>
                <w:szCs w:val="24"/>
              </w:rPr>
            </w:pPr>
          </w:p>
          <w:p w14:paraId="79977B1F" w14:textId="308D52B9" w:rsidR="00B23182" w:rsidRPr="007355C7" w:rsidRDefault="00AF49AE" w:rsidP="00AF49AE">
            <w:pPr>
              <w:shd w:val="clear" w:color="auto" w:fill="FFFFFF"/>
              <w:spacing w:after="0" w:line="293" w:lineRule="atLeast"/>
              <w:jc w:val="both"/>
              <w:rPr>
                <w:rFonts w:ascii="Times New Roman" w:eastAsia="Times New Roman" w:hAnsi="Times New Roman" w:cs="Times New Roman"/>
                <w:b/>
                <w:i/>
                <w:iCs/>
                <w:sz w:val="24"/>
                <w:szCs w:val="24"/>
                <w:lang w:eastAsia="lv-LV"/>
              </w:rPr>
            </w:pPr>
            <w:r w:rsidRPr="007355C7">
              <w:rPr>
                <w:rFonts w:ascii="Times New Roman" w:hAnsi="Times New Roman" w:cs="Times New Roman"/>
                <w:b/>
                <w:bCs/>
                <w:sz w:val="24"/>
                <w:szCs w:val="24"/>
              </w:rPr>
              <w:t>1.</w:t>
            </w:r>
            <w:r w:rsidRPr="007355C7">
              <w:rPr>
                <w:rFonts w:ascii="Times New Roman" w:hAnsi="Times New Roman" w:cs="Times New Roman"/>
                <w:sz w:val="24"/>
                <w:szCs w:val="24"/>
              </w:rPr>
              <w:t> </w:t>
            </w:r>
            <w:r w:rsidR="004A260B">
              <w:rPr>
                <w:rFonts w:ascii="Times New Roman" w:hAnsi="Times New Roman" w:cs="Times New Roman"/>
                <w:sz w:val="24"/>
                <w:szCs w:val="24"/>
              </w:rPr>
              <w:t>N</w:t>
            </w:r>
            <w:r w:rsidRPr="007355C7">
              <w:rPr>
                <w:rFonts w:ascii="Times New Roman" w:hAnsi="Times New Roman" w:cs="Times New Roman"/>
                <w:sz w:val="24"/>
                <w:szCs w:val="24"/>
              </w:rPr>
              <w:t xml:space="preserve">oteikumu projekts paredz svītrot </w:t>
            </w:r>
            <w:r w:rsidR="0042280A">
              <w:rPr>
                <w:rFonts w:ascii="Times New Roman" w:hAnsi="Times New Roman" w:cs="Times New Roman"/>
                <w:sz w:val="24"/>
                <w:szCs w:val="24"/>
              </w:rPr>
              <w:t>N</w:t>
            </w:r>
            <w:r w:rsidRPr="007355C7">
              <w:rPr>
                <w:rFonts w:ascii="Times New Roman" w:hAnsi="Times New Roman" w:cs="Times New Roman"/>
                <w:sz w:val="24"/>
                <w:szCs w:val="24"/>
              </w:rPr>
              <w:t xml:space="preserve">oteikumu Nr.241 4.12.2. apakšpunktu </w:t>
            </w:r>
            <w:r w:rsidRPr="007355C7">
              <w:rPr>
                <w:rFonts w:ascii="Times New Roman" w:hAnsi="Times New Roman" w:cs="Times New Roman"/>
                <w:b/>
                <w:bCs/>
                <w:sz w:val="24"/>
                <w:szCs w:val="24"/>
              </w:rPr>
              <w:t>“</w:t>
            </w:r>
            <w:r w:rsidRPr="007355C7">
              <w:rPr>
                <w:rFonts w:ascii="Times New Roman" w:eastAsia="Times New Roman" w:hAnsi="Times New Roman" w:cs="Times New Roman"/>
                <w:b/>
                <w:bCs/>
                <w:sz w:val="24"/>
                <w:szCs w:val="24"/>
              </w:rPr>
              <w:t>HIV/AIDS gadījumu valsts reģistrs”</w:t>
            </w:r>
            <w:r w:rsidR="007355C7">
              <w:rPr>
                <w:rFonts w:ascii="Times New Roman" w:eastAsia="Times New Roman" w:hAnsi="Times New Roman" w:cs="Times New Roman"/>
                <w:b/>
                <w:bCs/>
                <w:sz w:val="24"/>
                <w:szCs w:val="24"/>
              </w:rPr>
              <w:t>.</w:t>
            </w:r>
          </w:p>
          <w:p w14:paraId="66E194E9" w14:textId="491DFE1B" w:rsidR="00AC280C" w:rsidRPr="00D10357" w:rsidRDefault="00AC280C" w:rsidP="007355C7">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D10357">
              <w:rPr>
                <w:rFonts w:ascii="Times New Roman" w:eastAsia="Times New Roman" w:hAnsi="Times New Roman" w:cs="Times New Roman"/>
                <w:sz w:val="24"/>
                <w:szCs w:val="24"/>
                <w:lang w:eastAsia="lv-LV"/>
              </w:rPr>
              <w:t xml:space="preserve">Atbilstoši Ministru Kabineta 2008.gada 15.septembra noteikumiem </w:t>
            </w:r>
            <w:r w:rsidR="006A04E7">
              <w:rPr>
                <w:rFonts w:ascii="Times New Roman" w:eastAsia="Times New Roman" w:hAnsi="Times New Roman" w:cs="Times New Roman"/>
                <w:sz w:val="24"/>
                <w:szCs w:val="24"/>
                <w:lang w:eastAsia="lv-LV"/>
              </w:rPr>
              <w:t>N</w:t>
            </w:r>
            <w:r w:rsidRPr="00D10357">
              <w:rPr>
                <w:rFonts w:ascii="Times New Roman" w:eastAsia="Times New Roman" w:hAnsi="Times New Roman" w:cs="Times New Roman"/>
                <w:sz w:val="24"/>
                <w:szCs w:val="24"/>
                <w:lang w:eastAsia="lv-LV"/>
              </w:rPr>
              <w:t>r.746 “Ar noteiktām slimībām slimojošu pacientu reģistra izveides, papildināšanas un uzturēšanas kārtība” 6.2. un 7.11.</w:t>
            </w:r>
            <w:r w:rsidR="004A260B">
              <w:rPr>
                <w:rFonts w:ascii="Times New Roman" w:eastAsia="Times New Roman" w:hAnsi="Times New Roman" w:cs="Times New Roman"/>
                <w:sz w:val="24"/>
                <w:szCs w:val="24"/>
                <w:lang w:eastAsia="lv-LV"/>
              </w:rPr>
              <w:t>apakš</w:t>
            </w:r>
            <w:r w:rsidRPr="00D10357">
              <w:rPr>
                <w:rFonts w:ascii="Times New Roman" w:eastAsia="Times New Roman" w:hAnsi="Times New Roman" w:cs="Times New Roman"/>
                <w:sz w:val="24"/>
                <w:szCs w:val="24"/>
                <w:lang w:eastAsia="lv-LV"/>
              </w:rPr>
              <w:t xml:space="preserve">punktam - HIV/AIDS gadījumu valsts reģistrs ir iekļauts Ar noteiktām slimībām slimojošu </w:t>
            </w:r>
            <w:r w:rsidRPr="00D10357">
              <w:rPr>
                <w:rFonts w:ascii="Times New Roman" w:eastAsia="Times New Roman" w:hAnsi="Times New Roman" w:cs="Times New Roman"/>
                <w:sz w:val="24"/>
                <w:szCs w:val="24"/>
                <w:lang w:eastAsia="lv-LV"/>
              </w:rPr>
              <w:lastRenderedPageBreak/>
              <w:t>pacientu reģistrā. Tādējādi t</w:t>
            </w:r>
            <w:r w:rsidR="006A04E7">
              <w:rPr>
                <w:rFonts w:ascii="Times New Roman" w:eastAsia="Times New Roman" w:hAnsi="Times New Roman" w:cs="Times New Roman"/>
                <w:sz w:val="24"/>
                <w:szCs w:val="24"/>
                <w:lang w:eastAsia="lv-LV"/>
              </w:rPr>
              <w:t>as</w:t>
            </w:r>
            <w:r w:rsidRPr="00D10357">
              <w:rPr>
                <w:rFonts w:ascii="Times New Roman" w:eastAsia="Times New Roman" w:hAnsi="Times New Roman" w:cs="Times New Roman"/>
                <w:sz w:val="24"/>
                <w:szCs w:val="24"/>
                <w:lang w:eastAsia="lv-LV"/>
              </w:rPr>
              <w:t xml:space="preserve"> vairs nav Centra nolikumā norād</w:t>
            </w:r>
            <w:r w:rsidR="00D6251D">
              <w:rPr>
                <w:rFonts w:ascii="Times New Roman" w:eastAsia="Times New Roman" w:hAnsi="Times New Roman" w:cs="Times New Roman"/>
                <w:sz w:val="24"/>
                <w:szCs w:val="24"/>
                <w:lang w:eastAsia="lv-LV"/>
              </w:rPr>
              <w:t>āms</w:t>
            </w:r>
            <w:r w:rsidRPr="00D10357">
              <w:rPr>
                <w:rFonts w:ascii="Times New Roman" w:eastAsia="Times New Roman" w:hAnsi="Times New Roman" w:cs="Times New Roman"/>
                <w:sz w:val="24"/>
                <w:szCs w:val="24"/>
                <w:lang w:eastAsia="lv-LV"/>
              </w:rPr>
              <w:t xml:space="preserve"> kā atsevišķ</w:t>
            </w:r>
            <w:r w:rsidR="00D6251D">
              <w:rPr>
                <w:rFonts w:ascii="Times New Roman" w:eastAsia="Times New Roman" w:hAnsi="Times New Roman" w:cs="Times New Roman"/>
                <w:sz w:val="24"/>
                <w:szCs w:val="24"/>
                <w:lang w:eastAsia="lv-LV"/>
              </w:rPr>
              <w:t>s</w:t>
            </w:r>
            <w:r w:rsidRPr="00D10357">
              <w:rPr>
                <w:rFonts w:ascii="Times New Roman" w:eastAsia="Times New Roman" w:hAnsi="Times New Roman" w:cs="Times New Roman"/>
                <w:sz w:val="24"/>
                <w:szCs w:val="24"/>
                <w:lang w:eastAsia="lv-LV"/>
              </w:rPr>
              <w:t xml:space="preserve"> reģistr</w:t>
            </w:r>
            <w:r w:rsidR="00D6251D">
              <w:rPr>
                <w:rFonts w:ascii="Times New Roman" w:eastAsia="Times New Roman" w:hAnsi="Times New Roman" w:cs="Times New Roman"/>
                <w:sz w:val="24"/>
                <w:szCs w:val="24"/>
                <w:lang w:eastAsia="lv-LV"/>
              </w:rPr>
              <w:t>s</w:t>
            </w:r>
            <w:r w:rsidRPr="00D10357">
              <w:rPr>
                <w:rFonts w:ascii="Times New Roman" w:eastAsia="Times New Roman" w:hAnsi="Times New Roman" w:cs="Times New Roman"/>
                <w:sz w:val="24"/>
                <w:szCs w:val="24"/>
                <w:lang w:eastAsia="lv-LV"/>
              </w:rPr>
              <w:t xml:space="preserve">. </w:t>
            </w:r>
          </w:p>
          <w:p w14:paraId="771A9A50" w14:textId="53CFB88E" w:rsidR="00AC280C" w:rsidRDefault="00AC280C" w:rsidP="00AC280C">
            <w:pPr>
              <w:autoSpaceDE w:val="0"/>
              <w:autoSpaceDN w:val="0"/>
              <w:adjustRightInd w:val="0"/>
              <w:spacing w:after="0" w:line="240" w:lineRule="auto"/>
              <w:jc w:val="both"/>
              <w:rPr>
                <w:rFonts w:ascii="Times New Roman" w:eastAsia="Times New Roman" w:hAnsi="Times New Roman" w:cs="Times New Roman"/>
                <w:b/>
                <w:sz w:val="24"/>
                <w:szCs w:val="24"/>
                <w:lang w:eastAsia="lv-LV"/>
              </w:rPr>
            </w:pPr>
          </w:p>
          <w:p w14:paraId="0E380B3F" w14:textId="52844F35" w:rsidR="00AF49AE" w:rsidRPr="007355C7" w:rsidRDefault="00AF49AE" w:rsidP="00AF49AE">
            <w:pPr>
              <w:shd w:val="clear" w:color="auto" w:fill="FFFFFF"/>
              <w:spacing w:after="0" w:line="293" w:lineRule="atLeast"/>
              <w:jc w:val="both"/>
              <w:rPr>
                <w:rFonts w:ascii="Times New Roman" w:eastAsia="Times New Roman" w:hAnsi="Times New Roman" w:cs="Times New Roman"/>
                <w:b/>
                <w:bCs/>
                <w:sz w:val="24"/>
                <w:szCs w:val="24"/>
              </w:rPr>
            </w:pPr>
            <w:r w:rsidRPr="003F136E">
              <w:rPr>
                <w:rFonts w:ascii="Times New Roman" w:eastAsia="Times New Roman" w:hAnsi="Times New Roman" w:cs="Times New Roman"/>
                <w:b/>
                <w:sz w:val="28"/>
                <w:szCs w:val="28"/>
                <w:lang w:eastAsia="lv-LV"/>
              </w:rPr>
              <w:t>2</w:t>
            </w:r>
            <w:r w:rsidRPr="007355C7">
              <w:rPr>
                <w:rFonts w:ascii="Times New Roman" w:eastAsia="Times New Roman" w:hAnsi="Times New Roman" w:cs="Times New Roman"/>
                <w:b/>
                <w:sz w:val="24"/>
                <w:szCs w:val="24"/>
                <w:lang w:eastAsia="lv-LV"/>
              </w:rPr>
              <w:t>. N</w:t>
            </w:r>
            <w:r w:rsidRPr="007355C7">
              <w:rPr>
                <w:rFonts w:ascii="Times New Roman" w:hAnsi="Times New Roman" w:cs="Times New Roman"/>
                <w:sz w:val="24"/>
                <w:szCs w:val="24"/>
              </w:rPr>
              <w:t xml:space="preserve">oteikumu projekts paredz svītrot </w:t>
            </w:r>
            <w:r w:rsidR="0042280A">
              <w:rPr>
                <w:rFonts w:ascii="Times New Roman" w:hAnsi="Times New Roman" w:cs="Times New Roman"/>
                <w:sz w:val="24"/>
                <w:szCs w:val="24"/>
              </w:rPr>
              <w:t>N</w:t>
            </w:r>
            <w:r w:rsidRPr="007355C7">
              <w:rPr>
                <w:rFonts w:ascii="Times New Roman" w:hAnsi="Times New Roman" w:cs="Times New Roman"/>
                <w:sz w:val="24"/>
                <w:szCs w:val="24"/>
              </w:rPr>
              <w:t xml:space="preserve">oteikumu Nr.241 4.12.10. apakšpunktu </w:t>
            </w:r>
            <w:r w:rsidRPr="007355C7">
              <w:rPr>
                <w:rFonts w:ascii="Times New Roman" w:hAnsi="Times New Roman" w:cs="Times New Roman"/>
                <w:b/>
                <w:bCs/>
                <w:sz w:val="24"/>
                <w:szCs w:val="24"/>
              </w:rPr>
              <w:t>“</w:t>
            </w:r>
            <w:r w:rsidRPr="007355C7">
              <w:rPr>
                <w:rFonts w:ascii="Times New Roman" w:eastAsia="Times New Roman" w:hAnsi="Times New Roman" w:cs="Times New Roman"/>
                <w:b/>
                <w:bCs/>
                <w:sz w:val="24"/>
                <w:szCs w:val="24"/>
              </w:rPr>
              <w:t>sabiedrības veselības monitoringa un ziņošanas sistēma”</w:t>
            </w:r>
            <w:r w:rsidR="001B7F51" w:rsidRPr="007355C7">
              <w:rPr>
                <w:rFonts w:ascii="Times New Roman" w:eastAsia="Times New Roman" w:hAnsi="Times New Roman" w:cs="Times New Roman"/>
                <w:b/>
                <w:bCs/>
                <w:sz w:val="24"/>
                <w:szCs w:val="24"/>
              </w:rPr>
              <w:t>.</w:t>
            </w:r>
          </w:p>
          <w:p w14:paraId="3667B436" w14:textId="2617DE24" w:rsidR="00AC280C" w:rsidRPr="00D10357" w:rsidRDefault="00AC280C" w:rsidP="007355C7">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D10357">
              <w:rPr>
                <w:rFonts w:ascii="Times New Roman" w:eastAsia="Calibri" w:hAnsi="Times New Roman" w:cs="Times New Roman"/>
                <w:sz w:val="24"/>
                <w:szCs w:val="24"/>
              </w:rPr>
              <w:t xml:space="preserve">2008. gadā ES Pārejas līdzekļu administratīvās spējas stiprināšanas programmas </w:t>
            </w:r>
            <w:proofErr w:type="spellStart"/>
            <w:r w:rsidRPr="00D10357">
              <w:rPr>
                <w:rFonts w:ascii="Times New Roman" w:eastAsia="Calibri" w:hAnsi="Times New Roman" w:cs="Times New Roman"/>
                <w:i/>
                <w:iCs/>
                <w:sz w:val="24"/>
                <w:szCs w:val="24"/>
              </w:rPr>
              <w:t>Transition</w:t>
            </w:r>
            <w:proofErr w:type="spellEnd"/>
            <w:r w:rsidRPr="00D10357">
              <w:rPr>
                <w:rFonts w:ascii="Times New Roman" w:eastAsia="Calibri" w:hAnsi="Times New Roman" w:cs="Times New Roman"/>
                <w:i/>
                <w:iCs/>
                <w:sz w:val="24"/>
                <w:szCs w:val="24"/>
              </w:rPr>
              <w:t xml:space="preserve"> </w:t>
            </w:r>
            <w:proofErr w:type="spellStart"/>
            <w:r w:rsidRPr="00D10357">
              <w:rPr>
                <w:rFonts w:ascii="Times New Roman" w:eastAsia="Calibri" w:hAnsi="Times New Roman" w:cs="Times New Roman"/>
                <w:i/>
                <w:iCs/>
                <w:sz w:val="24"/>
                <w:szCs w:val="24"/>
              </w:rPr>
              <w:t>Facility</w:t>
            </w:r>
            <w:proofErr w:type="spellEnd"/>
            <w:r w:rsidRPr="00D10357">
              <w:rPr>
                <w:rFonts w:ascii="Times New Roman" w:eastAsia="Calibri" w:hAnsi="Times New Roman" w:cs="Times New Roman"/>
                <w:sz w:val="24"/>
                <w:szCs w:val="24"/>
              </w:rPr>
              <w:t xml:space="preserve"> projekta </w:t>
            </w:r>
            <w:r w:rsidR="001B7F51">
              <w:rPr>
                <w:rFonts w:ascii="Times New Roman" w:eastAsia="Calibri" w:hAnsi="Times New Roman" w:cs="Times New Roman"/>
                <w:sz w:val="24"/>
                <w:szCs w:val="24"/>
              </w:rPr>
              <w:t>“</w:t>
            </w:r>
            <w:r w:rsidRPr="00D10357">
              <w:rPr>
                <w:rFonts w:ascii="Times New Roman" w:eastAsia="Calibri" w:hAnsi="Times New Roman" w:cs="Times New Roman"/>
                <w:sz w:val="24"/>
                <w:szCs w:val="24"/>
              </w:rPr>
              <w:t xml:space="preserve">Sabiedrības veselības monitoringa un ziņošanas sistēmas attīstīšana” ietvaros, lai veicinātu sabiedrības veselības informācijas pieejamību un kvalitāti, tika izveidota </w:t>
            </w:r>
            <w:r w:rsidRPr="001B7F51">
              <w:rPr>
                <w:rFonts w:ascii="Times New Roman" w:eastAsia="Calibri" w:hAnsi="Times New Roman" w:cs="Times New Roman"/>
                <w:sz w:val="24"/>
                <w:szCs w:val="24"/>
                <w:u w:val="single"/>
              </w:rPr>
              <w:t>Sabiedrības veselības monitoringa un ziņošanas sistēma (turpmāk – Sistēma</w:t>
            </w:r>
            <w:r w:rsidRPr="00D10357">
              <w:rPr>
                <w:rFonts w:ascii="Times New Roman" w:eastAsia="Calibri" w:hAnsi="Times New Roman" w:cs="Times New Roman"/>
                <w:sz w:val="24"/>
                <w:szCs w:val="24"/>
              </w:rPr>
              <w:t xml:space="preserve">). Tās mērķis bija </w:t>
            </w:r>
            <w:r w:rsidRPr="00D10357">
              <w:rPr>
                <w:rFonts w:ascii="Times New Roman" w:eastAsia="Times New Roman" w:hAnsi="Times New Roman" w:cs="Times New Roman"/>
                <w:sz w:val="24"/>
                <w:szCs w:val="24"/>
                <w:lang w:eastAsia="lv-LV"/>
              </w:rPr>
              <w:t xml:space="preserve">vienuviet apkopot tolaik atsevišķi atrodamu sabiedrības veselības informāciju </w:t>
            </w:r>
            <w:r w:rsidRPr="00D10357">
              <w:rPr>
                <w:rFonts w:ascii="Times New Roman" w:eastAsia="Calibri" w:hAnsi="Times New Roman" w:cs="Times New Roman"/>
                <w:sz w:val="24"/>
                <w:szCs w:val="24"/>
              </w:rPr>
              <w:t>par dažādiem sabiedrības veselības rādītājiem, to ietekmējošiem faktoriem, datu un citiem informācijas avotiem, kā arī kalpot par darba platformu v/a “Sabiedrības veselības aģentūra” darbiniekiem. Pēc Sistēmas izveides tā bija v</w:t>
            </w:r>
            <w:r w:rsidRPr="00D10357">
              <w:rPr>
                <w:rFonts w:ascii="Times New Roman" w:eastAsia="Times New Roman" w:hAnsi="Times New Roman" w:cs="Times New Roman"/>
                <w:sz w:val="24"/>
                <w:szCs w:val="24"/>
                <w:lang w:eastAsia="lv-LV"/>
              </w:rPr>
              <w:t xml:space="preserve">ienīgā šāda veida datu bāze sabiedrības veselībā, un tā sastāvēja no divām daļām – </w:t>
            </w:r>
            <w:r w:rsidRPr="00D10357">
              <w:rPr>
                <w:rFonts w:ascii="Times New Roman" w:eastAsia="Times New Roman" w:hAnsi="Times New Roman" w:cs="Times New Roman"/>
                <w:b/>
                <w:bCs/>
                <w:sz w:val="24"/>
                <w:szCs w:val="24"/>
                <w:lang w:eastAsia="lv-LV"/>
              </w:rPr>
              <w:t>publiskās</w:t>
            </w:r>
            <w:r w:rsidRPr="00D10357">
              <w:rPr>
                <w:rFonts w:ascii="Times New Roman" w:eastAsia="Times New Roman" w:hAnsi="Times New Roman" w:cs="Times New Roman"/>
                <w:sz w:val="24"/>
                <w:szCs w:val="24"/>
                <w:lang w:eastAsia="lv-LV"/>
              </w:rPr>
              <w:t xml:space="preserve"> un </w:t>
            </w:r>
            <w:r w:rsidRPr="00D10357">
              <w:rPr>
                <w:rFonts w:ascii="Times New Roman" w:eastAsia="Times New Roman" w:hAnsi="Times New Roman" w:cs="Times New Roman"/>
                <w:b/>
                <w:bCs/>
                <w:sz w:val="24"/>
                <w:szCs w:val="24"/>
                <w:lang w:eastAsia="lv-LV"/>
              </w:rPr>
              <w:t>slēgtās</w:t>
            </w:r>
            <w:r w:rsidRPr="00D10357">
              <w:rPr>
                <w:rFonts w:ascii="Times New Roman" w:eastAsia="Times New Roman" w:hAnsi="Times New Roman" w:cs="Times New Roman"/>
                <w:sz w:val="24"/>
                <w:szCs w:val="24"/>
                <w:lang w:eastAsia="lv-LV"/>
              </w:rPr>
              <w:t xml:space="preserve"> daļas.</w:t>
            </w:r>
          </w:p>
          <w:p w14:paraId="43795648" w14:textId="48DDA91E" w:rsidR="00AC280C" w:rsidRPr="00D10357" w:rsidRDefault="00AC280C" w:rsidP="00AC280C">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0357">
              <w:rPr>
                <w:rFonts w:ascii="Times New Roman" w:eastAsia="Calibri" w:hAnsi="Times New Roman" w:cs="Times New Roman"/>
                <w:sz w:val="24"/>
                <w:szCs w:val="24"/>
              </w:rPr>
              <w:t xml:space="preserve">Sistēmas publiskā daļa ir pieejama jebkuram interneta lietotājam (šobrīd SPKC mājaslapā </w:t>
            </w:r>
            <w:r w:rsidR="001B7F51" w:rsidRPr="00D10357">
              <w:rPr>
                <w:rFonts w:ascii="Times New Roman" w:eastAsia="Calibri" w:hAnsi="Times New Roman" w:cs="Times New Roman"/>
                <w:sz w:val="24"/>
                <w:szCs w:val="24"/>
              </w:rPr>
              <w:t>uz Sistēmu</w:t>
            </w:r>
            <w:r w:rsidR="001B7F51">
              <w:rPr>
                <w:rFonts w:ascii="Times New Roman" w:eastAsia="Calibri" w:hAnsi="Times New Roman" w:cs="Times New Roman"/>
                <w:sz w:val="24"/>
                <w:szCs w:val="24"/>
              </w:rPr>
              <w:t xml:space="preserve"> </w:t>
            </w:r>
            <w:r w:rsidRPr="00D10357">
              <w:rPr>
                <w:rFonts w:ascii="Times New Roman" w:eastAsia="Calibri" w:hAnsi="Times New Roman" w:cs="Times New Roman"/>
                <w:sz w:val="24"/>
                <w:szCs w:val="24"/>
              </w:rPr>
              <w:t>ir saite</w:t>
            </w:r>
            <w:r w:rsidR="001B7F51">
              <w:rPr>
                <w:rFonts w:ascii="Times New Roman" w:eastAsia="Calibri" w:hAnsi="Times New Roman" w:cs="Times New Roman"/>
                <w:sz w:val="24"/>
                <w:szCs w:val="24"/>
              </w:rPr>
              <w:t>:</w:t>
            </w:r>
            <w:r w:rsidRPr="00D10357">
              <w:rPr>
                <w:rFonts w:ascii="Times New Roman" w:eastAsia="Calibri" w:hAnsi="Times New Roman" w:cs="Times New Roman"/>
                <w:sz w:val="24"/>
                <w:szCs w:val="24"/>
              </w:rPr>
              <w:t xml:space="preserve"> </w:t>
            </w:r>
            <w:hyperlink r:id="rId9" w:history="1">
              <w:r w:rsidRPr="00D10357">
                <w:rPr>
                  <w:rFonts w:ascii="Times New Roman" w:eastAsia="Calibri" w:hAnsi="Times New Roman" w:cs="Times New Roman"/>
                  <w:sz w:val="24"/>
                  <w:szCs w:val="24"/>
                  <w:u w:val="single"/>
                </w:rPr>
                <w:t>https://www.spkc.gov.lv/lv/statistika-un-petijumi/datu-bazes</w:t>
              </w:r>
            </w:hyperlink>
            <w:r w:rsidRPr="00D10357">
              <w:rPr>
                <w:rFonts w:ascii="Times New Roman" w:eastAsia="Calibri" w:hAnsi="Times New Roman" w:cs="Times New Roman"/>
                <w:sz w:val="24"/>
                <w:szCs w:val="24"/>
              </w:rPr>
              <w:t xml:space="preserve">) un tajā atrodami gan SPKC pārskati, ziņojumi, pētījumu rezultāti, nelieli datu analīzes izvilkumi, secinājumi/faktu lapas (šobrīd šo funkciju pilda SPKC mājaslapa), gan  informācija par sabiedrības veselības datu avotiem (rutīnas statistika, reģistri, datu bāzes, pētījumi utt.) un tajos pieejamajiem datiem (indikatoriem); cita veida informācija, piem., normatīvie akti, politikas plānošanas dokumenti (programmas, plāni, stratēģijas), ziņojumi, pārskati, u.tml. </w:t>
            </w:r>
          </w:p>
          <w:p w14:paraId="20EFD9C1" w14:textId="77777777" w:rsidR="00AC280C" w:rsidRPr="00D10357" w:rsidRDefault="00AC280C" w:rsidP="00AC280C">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0357">
              <w:rPr>
                <w:rFonts w:ascii="Times New Roman" w:eastAsia="Calibri" w:hAnsi="Times New Roman" w:cs="Times New Roman"/>
                <w:sz w:val="24"/>
                <w:szCs w:val="24"/>
              </w:rPr>
              <w:t>Sistēmas slēgtā daļa ir bijusi pieejama tikai SPKC (iepriekš v/a “Sabiedrības veselības aģentūra”) darbiniekiem caur speciāli izveidotiem lietotāju kontiem. Tā bija paredzēta kā</w:t>
            </w:r>
            <w:r w:rsidRPr="00D10357">
              <w:rPr>
                <w:rFonts w:ascii="Times New Roman" w:eastAsia="Calibri" w:hAnsi="Times New Roman" w:cs="Times New Roman"/>
                <w:sz w:val="24"/>
                <w:szCs w:val="24"/>
                <w:shd w:val="clear" w:color="auto" w:fill="FFFFFF"/>
              </w:rPr>
              <w:t xml:space="preserve"> kopīga </w:t>
            </w:r>
            <w:r w:rsidRPr="00D10357">
              <w:rPr>
                <w:rFonts w:ascii="Times New Roman" w:eastAsia="Calibri" w:hAnsi="Times New Roman" w:cs="Times New Roman"/>
                <w:i/>
                <w:iCs/>
                <w:sz w:val="24"/>
                <w:szCs w:val="24"/>
                <w:shd w:val="clear" w:color="auto" w:fill="FFFFFF"/>
              </w:rPr>
              <w:t>darba platforma</w:t>
            </w:r>
            <w:r w:rsidRPr="00D10357">
              <w:rPr>
                <w:rFonts w:ascii="Times New Roman" w:eastAsia="Calibri" w:hAnsi="Times New Roman" w:cs="Times New Roman"/>
                <w:sz w:val="24"/>
                <w:szCs w:val="24"/>
                <w:shd w:val="clear" w:color="auto" w:fill="FFFFFF"/>
              </w:rPr>
              <w:t xml:space="preserve"> iestādes darbiniekiem – ziņojumu sagatavotājiem (glabāt ziņojumu melnrakstus, izmantojamo datu failus, savstarpēji komentēt u.c.). Šobrīd šo funkcionalitāti nodrošina iestādes iekšējais tīkls (koplietošanas mapes uz failu servera, kurām tiek piešķirtas piekļuves tiesības SPKC noteiktajā kārtībā).</w:t>
            </w:r>
          </w:p>
          <w:p w14:paraId="2C819389" w14:textId="77777777" w:rsidR="00AC280C" w:rsidRPr="00D10357" w:rsidRDefault="00AC280C" w:rsidP="00AC280C">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rPr>
            </w:pPr>
          </w:p>
          <w:p w14:paraId="31CE6747" w14:textId="48F7C444" w:rsidR="00AC280C" w:rsidRPr="00D10357" w:rsidRDefault="00AC280C" w:rsidP="004A260B">
            <w:p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D10357">
              <w:rPr>
                <w:rFonts w:ascii="Times New Roman" w:eastAsia="Calibri" w:hAnsi="Times New Roman" w:cs="Times New Roman"/>
                <w:sz w:val="24"/>
                <w:szCs w:val="24"/>
                <w:shd w:val="clear" w:color="auto" w:fill="FFFFFF"/>
              </w:rPr>
              <w:t xml:space="preserve">Lai uzlabotu </w:t>
            </w:r>
            <w:r w:rsidR="00E048D2">
              <w:rPr>
                <w:rFonts w:ascii="Times New Roman" w:eastAsia="Calibri" w:hAnsi="Times New Roman" w:cs="Times New Roman"/>
                <w:sz w:val="24"/>
                <w:szCs w:val="24"/>
                <w:shd w:val="clear" w:color="auto" w:fill="FFFFFF"/>
              </w:rPr>
              <w:t>S</w:t>
            </w:r>
            <w:r w:rsidRPr="00D10357">
              <w:rPr>
                <w:rFonts w:ascii="Times New Roman" w:eastAsia="Calibri" w:hAnsi="Times New Roman" w:cs="Times New Roman"/>
                <w:sz w:val="24"/>
                <w:szCs w:val="24"/>
                <w:shd w:val="clear" w:color="auto" w:fill="FFFFFF"/>
              </w:rPr>
              <w:t>istēmas funkcionalitāti, 2013.</w:t>
            </w:r>
            <w:r w:rsidR="004A260B">
              <w:rPr>
                <w:rFonts w:ascii="Times New Roman" w:eastAsia="Calibri" w:hAnsi="Times New Roman" w:cs="Times New Roman"/>
                <w:sz w:val="24"/>
                <w:szCs w:val="24"/>
                <w:shd w:val="clear" w:color="auto" w:fill="FFFFFF"/>
              </w:rPr>
              <w:t> </w:t>
            </w:r>
            <w:r w:rsidRPr="00D10357">
              <w:rPr>
                <w:rFonts w:ascii="Times New Roman" w:eastAsia="Calibri" w:hAnsi="Times New Roman" w:cs="Times New Roman"/>
                <w:sz w:val="24"/>
                <w:szCs w:val="24"/>
                <w:shd w:val="clear" w:color="auto" w:fill="FFFFFF"/>
              </w:rPr>
              <w:t>gada 21.</w:t>
            </w:r>
            <w:r w:rsidR="00C12CE8">
              <w:rPr>
                <w:rFonts w:ascii="Times New Roman" w:eastAsia="Calibri" w:hAnsi="Times New Roman" w:cs="Times New Roman"/>
                <w:sz w:val="24"/>
                <w:szCs w:val="24"/>
                <w:shd w:val="clear" w:color="auto" w:fill="FFFFFF"/>
              </w:rPr>
              <w:t> </w:t>
            </w:r>
            <w:r w:rsidRPr="00D10357">
              <w:rPr>
                <w:rFonts w:ascii="Times New Roman" w:eastAsia="Calibri" w:hAnsi="Times New Roman" w:cs="Times New Roman"/>
                <w:sz w:val="24"/>
                <w:szCs w:val="24"/>
                <w:shd w:val="clear" w:color="auto" w:fill="FFFFFF"/>
              </w:rPr>
              <w:t xml:space="preserve">martā starp SPKC un SIA “Lattelecom </w:t>
            </w:r>
            <w:proofErr w:type="spellStart"/>
            <w:r w:rsidRPr="00D10357">
              <w:rPr>
                <w:rFonts w:ascii="Times New Roman" w:eastAsia="Calibri" w:hAnsi="Times New Roman" w:cs="Times New Roman"/>
                <w:sz w:val="24"/>
                <w:szCs w:val="24"/>
                <w:shd w:val="clear" w:color="auto" w:fill="FFFFFF"/>
              </w:rPr>
              <w:t>Technology</w:t>
            </w:r>
            <w:proofErr w:type="spellEnd"/>
            <w:r w:rsidRPr="00D10357">
              <w:rPr>
                <w:rFonts w:ascii="Times New Roman" w:eastAsia="Calibri" w:hAnsi="Times New Roman" w:cs="Times New Roman"/>
                <w:sz w:val="24"/>
                <w:szCs w:val="24"/>
                <w:shd w:val="clear" w:color="auto" w:fill="FFFFFF"/>
              </w:rPr>
              <w:t>” tika noslēgts līgums Nr.</w:t>
            </w:r>
            <w:r w:rsidR="00C12CE8">
              <w:rPr>
                <w:rFonts w:ascii="Times New Roman" w:eastAsia="Calibri" w:hAnsi="Times New Roman" w:cs="Times New Roman"/>
                <w:sz w:val="24"/>
                <w:szCs w:val="24"/>
                <w:shd w:val="clear" w:color="auto" w:fill="FFFFFF"/>
              </w:rPr>
              <w:t> </w:t>
            </w:r>
            <w:r w:rsidRPr="00D10357">
              <w:rPr>
                <w:rFonts w:ascii="Times New Roman" w:eastAsia="Calibri" w:hAnsi="Times New Roman" w:cs="Times New Roman"/>
                <w:sz w:val="24"/>
                <w:szCs w:val="24"/>
                <w:shd w:val="clear" w:color="auto" w:fill="FFFFFF"/>
              </w:rPr>
              <w:t>P/2013-9 (LTT-13-000061) par iespējamajām izmaiņām Sistēmā. Saņemtajās rekomendācijas tika secināts, ka nav pieejams Sistēmas pirmkods (</w:t>
            </w:r>
            <w:proofErr w:type="spellStart"/>
            <w:r w:rsidRPr="00D10357">
              <w:rPr>
                <w:rFonts w:ascii="Times New Roman" w:eastAsia="Calibri" w:hAnsi="Times New Roman" w:cs="Times New Roman"/>
                <w:i/>
                <w:sz w:val="24"/>
                <w:szCs w:val="24"/>
                <w:shd w:val="clear" w:color="auto" w:fill="FFFFFF"/>
              </w:rPr>
              <w:t>source</w:t>
            </w:r>
            <w:proofErr w:type="spellEnd"/>
            <w:r w:rsidRPr="00D10357">
              <w:rPr>
                <w:rFonts w:ascii="Times New Roman" w:eastAsia="Calibri" w:hAnsi="Times New Roman" w:cs="Times New Roman"/>
                <w:i/>
                <w:sz w:val="24"/>
                <w:szCs w:val="24"/>
                <w:shd w:val="clear" w:color="auto" w:fill="FFFFFF"/>
              </w:rPr>
              <w:t xml:space="preserve"> </w:t>
            </w:r>
            <w:proofErr w:type="spellStart"/>
            <w:r w:rsidRPr="00D10357">
              <w:rPr>
                <w:rFonts w:ascii="Times New Roman" w:eastAsia="Calibri" w:hAnsi="Times New Roman" w:cs="Times New Roman"/>
                <w:i/>
                <w:sz w:val="24"/>
                <w:szCs w:val="24"/>
                <w:shd w:val="clear" w:color="auto" w:fill="FFFFFF"/>
              </w:rPr>
              <w:t>code</w:t>
            </w:r>
            <w:proofErr w:type="spellEnd"/>
            <w:r w:rsidRPr="00D10357">
              <w:rPr>
                <w:rFonts w:ascii="Times New Roman" w:eastAsia="Calibri" w:hAnsi="Times New Roman" w:cs="Times New Roman"/>
                <w:sz w:val="24"/>
                <w:szCs w:val="24"/>
                <w:shd w:val="clear" w:color="auto" w:fill="FFFFFF"/>
              </w:rPr>
              <w:t>), nepastāv autoruzraudzība un sistēmas uzturēšana no sistēmas izstrādātāja (jo programmas izstrādātāja SIA “</w:t>
            </w:r>
            <w:proofErr w:type="spellStart"/>
            <w:r w:rsidRPr="00D10357">
              <w:rPr>
                <w:rFonts w:ascii="Times New Roman" w:eastAsia="Calibri" w:hAnsi="Times New Roman" w:cs="Times New Roman"/>
                <w:sz w:val="24"/>
                <w:szCs w:val="24"/>
                <w:shd w:val="clear" w:color="auto" w:fill="FFFFFF"/>
              </w:rPr>
              <w:t>Mebius</w:t>
            </w:r>
            <w:proofErr w:type="spellEnd"/>
            <w:r w:rsidRPr="00D10357">
              <w:rPr>
                <w:rFonts w:ascii="Times New Roman" w:eastAsia="Calibri" w:hAnsi="Times New Roman" w:cs="Times New Roman"/>
                <w:sz w:val="24"/>
                <w:szCs w:val="24"/>
                <w:shd w:val="clear" w:color="auto" w:fill="FFFFFF"/>
              </w:rPr>
              <w:t xml:space="preserve"> IT”</w:t>
            </w:r>
            <w:r w:rsidR="00E048D2">
              <w:rPr>
                <w:rFonts w:ascii="Times New Roman" w:eastAsia="Calibri" w:hAnsi="Times New Roman" w:cs="Times New Roman"/>
                <w:sz w:val="24"/>
                <w:szCs w:val="24"/>
                <w:shd w:val="clear" w:color="auto" w:fill="FFFFFF"/>
              </w:rPr>
              <w:t>,</w:t>
            </w:r>
            <w:r w:rsidRPr="00D10357">
              <w:rPr>
                <w:rFonts w:ascii="Times New Roman" w:eastAsia="Calibri" w:hAnsi="Times New Roman" w:cs="Times New Roman"/>
                <w:sz w:val="24"/>
                <w:szCs w:val="24"/>
                <w:shd w:val="clear" w:color="auto" w:fill="FFFFFF"/>
              </w:rPr>
              <w:t xml:space="preserve"> likvidācijas procesā netika noteikts saistību pārņēmējs), līdz ar to nav iespējams Sistēmu attīstīt. Esošais risinājums ir novecojis, kā arī 2017.</w:t>
            </w:r>
            <w:r w:rsidR="00C12CE8">
              <w:rPr>
                <w:rFonts w:ascii="Times New Roman" w:eastAsia="Calibri" w:hAnsi="Times New Roman" w:cs="Times New Roman"/>
                <w:sz w:val="24"/>
                <w:szCs w:val="24"/>
                <w:shd w:val="clear" w:color="auto" w:fill="FFFFFF"/>
              </w:rPr>
              <w:t> </w:t>
            </w:r>
            <w:r w:rsidRPr="00D10357">
              <w:rPr>
                <w:rFonts w:ascii="Times New Roman" w:eastAsia="Calibri" w:hAnsi="Times New Roman" w:cs="Times New Roman"/>
                <w:sz w:val="24"/>
                <w:szCs w:val="24"/>
                <w:shd w:val="clear" w:color="auto" w:fill="FFFFFF"/>
              </w:rPr>
              <w:t xml:space="preserve">gadā tika pārtraukts tehnoloģijas </w:t>
            </w:r>
            <w:r w:rsidRPr="00D10357">
              <w:rPr>
                <w:rFonts w:ascii="Times New Roman" w:eastAsia="Calibri" w:hAnsi="Times New Roman" w:cs="Times New Roman"/>
                <w:sz w:val="24"/>
                <w:szCs w:val="24"/>
                <w:shd w:val="clear" w:color="auto" w:fill="FFFFFF"/>
              </w:rPr>
              <w:lastRenderedPageBreak/>
              <w:t>izstrādātāja atbalsts, tāpēc tika rekomendēts šīs Sistēmas vietā izstrādāt jaunu sistēmu. Arī serveris, uz kura atrodas Sistēma, ir novecojis.</w:t>
            </w:r>
            <w:r w:rsidR="00E048D2">
              <w:rPr>
                <w:rFonts w:ascii="Times New Roman" w:eastAsia="Calibri" w:hAnsi="Times New Roman" w:cs="Times New Roman"/>
                <w:sz w:val="24"/>
                <w:szCs w:val="24"/>
                <w:shd w:val="clear" w:color="auto" w:fill="FFFFFF"/>
              </w:rPr>
              <w:t xml:space="preserve"> </w:t>
            </w:r>
            <w:r w:rsidRPr="00D10357">
              <w:rPr>
                <w:rFonts w:ascii="Times New Roman" w:eastAsia="Calibri" w:hAnsi="Times New Roman" w:cs="Times New Roman"/>
                <w:sz w:val="24"/>
                <w:szCs w:val="24"/>
                <w:shd w:val="clear" w:color="auto" w:fill="FFFFFF"/>
              </w:rPr>
              <w:t xml:space="preserve">Jāņem vērā arī šādi papildus fakti: </w:t>
            </w:r>
          </w:p>
          <w:p w14:paraId="565CDE4B" w14:textId="77777777" w:rsidR="00AC280C" w:rsidRPr="00D10357" w:rsidRDefault="00AC280C" w:rsidP="00AC280C">
            <w:pPr>
              <w:numPr>
                <w:ilvl w:val="0"/>
                <w:numId w:val="13"/>
              </w:numPr>
              <w:spacing w:after="0" w:line="240" w:lineRule="auto"/>
              <w:ind w:left="821" w:hanging="284"/>
              <w:contextualSpacing/>
              <w:jc w:val="both"/>
              <w:rPr>
                <w:rFonts w:ascii="Times New Roman" w:eastAsia="Calibri" w:hAnsi="Times New Roman" w:cs="Times New Roman"/>
                <w:sz w:val="24"/>
                <w:szCs w:val="24"/>
              </w:rPr>
            </w:pPr>
            <w:r w:rsidRPr="00D10357">
              <w:rPr>
                <w:rFonts w:ascii="Times New Roman" w:eastAsia="Calibri" w:hAnsi="Times New Roman" w:cs="Times New Roman"/>
                <w:sz w:val="24"/>
                <w:szCs w:val="24"/>
              </w:rPr>
              <w:t>Sistēmā esošā informācija daļēji novecojusi (datu avoti, atbildīgie utt.);</w:t>
            </w:r>
          </w:p>
          <w:p w14:paraId="43C8C960" w14:textId="77777777" w:rsidR="00AC280C" w:rsidRPr="00D10357" w:rsidRDefault="00AC280C" w:rsidP="00AC280C">
            <w:pPr>
              <w:numPr>
                <w:ilvl w:val="0"/>
                <w:numId w:val="13"/>
              </w:numPr>
              <w:spacing w:after="0" w:line="240" w:lineRule="auto"/>
              <w:ind w:left="821" w:hanging="284"/>
              <w:contextualSpacing/>
              <w:jc w:val="both"/>
              <w:rPr>
                <w:rFonts w:ascii="Times New Roman" w:eastAsia="Calibri" w:hAnsi="Times New Roman" w:cs="Times New Roman"/>
                <w:sz w:val="24"/>
                <w:szCs w:val="24"/>
              </w:rPr>
            </w:pPr>
            <w:r w:rsidRPr="00D10357">
              <w:rPr>
                <w:rFonts w:ascii="Times New Roman" w:eastAsia="Calibri" w:hAnsi="Times New Roman" w:cs="Times New Roman"/>
                <w:sz w:val="24"/>
                <w:szCs w:val="24"/>
              </w:rPr>
              <w:t>Informācijas aktualizēšana un regulāra uzturēšana prasa apjomīgu darbu (faktiski viena darbinieka pilnas slodzes darbs);</w:t>
            </w:r>
          </w:p>
          <w:p w14:paraId="08E23175" w14:textId="0E2639C6" w:rsidR="00AC280C" w:rsidRPr="00D10357" w:rsidRDefault="00AC280C" w:rsidP="00AC280C">
            <w:pPr>
              <w:numPr>
                <w:ilvl w:val="0"/>
                <w:numId w:val="13"/>
              </w:numPr>
              <w:spacing w:after="0" w:line="240" w:lineRule="auto"/>
              <w:ind w:left="821"/>
              <w:contextualSpacing/>
              <w:jc w:val="both"/>
              <w:rPr>
                <w:rFonts w:ascii="Times New Roman" w:eastAsia="Calibri" w:hAnsi="Times New Roman" w:cs="Times New Roman"/>
                <w:sz w:val="24"/>
                <w:szCs w:val="24"/>
              </w:rPr>
            </w:pPr>
            <w:r w:rsidRPr="00D10357">
              <w:rPr>
                <w:rFonts w:ascii="Times New Roman" w:eastAsia="Calibri" w:hAnsi="Times New Roman" w:cs="Times New Roman"/>
                <w:sz w:val="24"/>
                <w:szCs w:val="24"/>
              </w:rPr>
              <w:t xml:space="preserve">Iestādei deleģēto jauno funkciju dēļ daļa </w:t>
            </w:r>
            <w:proofErr w:type="spellStart"/>
            <w:r w:rsidRPr="00D10357">
              <w:rPr>
                <w:rFonts w:ascii="Times New Roman" w:eastAsia="Calibri" w:hAnsi="Times New Roman" w:cs="Times New Roman"/>
                <w:sz w:val="24"/>
                <w:szCs w:val="24"/>
              </w:rPr>
              <w:t>neinfekciju</w:t>
            </w:r>
            <w:proofErr w:type="spellEnd"/>
            <w:r w:rsidRPr="00D10357">
              <w:rPr>
                <w:rFonts w:ascii="Times New Roman" w:eastAsia="Calibri" w:hAnsi="Times New Roman" w:cs="Times New Roman"/>
                <w:sz w:val="24"/>
                <w:szCs w:val="24"/>
              </w:rPr>
              <w:t xml:space="preserve"> slimību datu analīzes un pētījumu nodaļas (turpmāk – NSDAPN) darbinieku iesaistīti prioritārāku uzdevumu izpildē, mainījušies SPKC darbības akcenti, un š</w:t>
            </w:r>
            <w:r w:rsidR="00E048D2">
              <w:rPr>
                <w:rFonts w:ascii="Times New Roman" w:eastAsia="Calibri" w:hAnsi="Times New Roman" w:cs="Times New Roman"/>
                <w:sz w:val="24"/>
                <w:szCs w:val="24"/>
              </w:rPr>
              <w:t>ā</w:t>
            </w:r>
            <w:r w:rsidRPr="00D10357">
              <w:rPr>
                <w:rFonts w:ascii="Times New Roman" w:eastAsia="Calibri" w:hAnsi="Times New Roman" w:cs="Times New Roman"/>
                <w:sz w:val="24"/>
                <w:szCs w:val="24"/>
              </w:rPr>
              <w:t xml:space="preserve"> uzdevuma veikšanai </w:t>
            </w:r>
            <w:r w:rsidR="00E048D2">
              <w:rPr>
                <w:rFonts w:ascii="Times New Roman" w:eastAsia="Calibri" w:hAnsi="Times New Roman" w:cs="Times New Roman"/>
                <w:sz w:val="24"/>
                <w:szCs w:val="24"/>
              </w:rPr>
              <w:t>k</w:t>
            </w:r>
            <w:r w:rsidRPr="00D10357">
              <w:rPr>
                <w:rFonts w:ascii="Times New Roman" w:eastAsia="Calibri" w:hAnsi="Times New Roman" w:cs="Times New Roman"/>
                <w:sz w:val="24"/>
                <w:szCs w:val="24"/>
              </w:rPr>
              <w:t>opš 2015.gada vairs nav kapacitātes;</w:t>
            </w:r>
          </w:p>
          <w:p w14:paraId="68901737" w14:textId="66A24EEB" w:rsidR="00AC280C" w:rsidRPr="00D10357" w:rsidRDefault="00AC280C" w:rsidP="00AC280C">
            <w:pPr>
              <w:numPr>
                <w:ilvl w:val="0"/>
                <w:numId w:val="13"/>
              </w:numPr>
              <w:spacing w:after="0" w:line="240" w:lineRule="auto"/>
              <w:ind w:left="821" w:hanging="284"/>
              <w:contextualSpacing/>
              <w:jc w:val="both"/>
              <w:rPr>
                <w:rFonts w:ascii="Times New Roman" w:eastAsia="Calibri" w:hAnsi="Times New Roman" w:cs="Times New Roman"/>
                <w:sz w:val="24"/>
                <w:szCs w:val="24"/>
              </w:rPr>
            </w:pPr>
            <w:r w:rsidRPr="00D10357">
              <w:rPr>
                <w:rFonts w:ascii="Times New Roman" w:eastAsia="Calibri" w:hAnsi="Times New Roman" w:cs="Times New Roman"/>
                <w:sz w:val="24"/>
                <w:szCs w:val="24"/>
                <w:shd w:val="clear" w:color="auto" w:fill="FFFFFF"/>
              </w:rPr>
              <w:t>kopš 2008. gada, kad tika izveidota Sistēma, būtiski uzlabojusies sabiedrības veselības informācijas pieejamība internetā (reti kurš dokuments, k</w:t>
            </w:r>
            <w:r w:rsidR="00E048D2">
              <w:rPr>
                <w:rFonts w:ascii="Times New Roman" w:eastAsia="Calibri" w:hAnsi="Times New Roman" w:cs="Times New Roman"/>
                <w:sz w:val="24"/>
                <w:szCs w:val="24"/>
                <w:shd w:val="clear" w:color="auto" w:fill="FFFFFF"/>
              </w:rPr>
              <w:t>as</w:t>
            </w:r>
            <w:r w:rsidRPr="00D10357">
              <w:rPr>
                <w:rFonts w:ascii="Times New Roman" w:eastAsia="Calibri" w:hAnsi="Times New Roman" w:cs="Times New Roman"/>
                <w:sz w:val="24"/>
                <w:szCs w:val="24"/>
                <w:shd w:val="clear" w:color="auto" w:fill="FFFFFF"/>
              </w:rPr>
              <w:t xml:space="preserve"> atrodas sistēmā, šobrīd būs unikāls, neatrodams parastajā meklēšanas procesā);</w:t>
            </w:r>
          </w:p>
          <w:p w14:paraId="7AD77E48" w14:textId="3CCDC97C" w:rsidR="00AC280C" w:rsidRPr="00D10357" w:rsidRDefault="00AC280C" w:rsidP="00AC280C">
            <w:pPr>
              <w:numPr>
                <w:ilvl w:val="0"/>
                <w:numId w:val="13"/>
              </w:numPr>
              <w:spacing w:after="0" w:line="240" w:lineRule="auto"/>
              <w:ind w:left="821" w:hanging="284"/>
              <w:contextualSpacing/>
              <w:jc w:val="both"/>
              <w:rPr>
                <w:rFonts w:ascii="Times New Roman" w:eastAsia="Calibri" w:hAnsi="Times New Roman" w:cs="Times New Roman"/>
                <w:sz w:val="24"/>
                <w:szCs w:val="24"/>
              </w:rPr>
            </w:pPr>
            <w:r w:rsidRPr="00D10357">
              <w:rPr>
                <w:rFonts w:ascii="Times New Roman" w:eastAsia="Calibri" w:hAnsi="Times New Roman" w:cs="Times New Roman"/>
                <w:sz w:val="24"/>
                <w:szCs w:val="24"/>
              </w:rPr>
              <w:t xml:space="preserve">Vienīgais dokuments, kurā minēta </w:t>
            </w:r>
            <w:r w:rsidRPr="00D10357">
              <w:rPr>
                <w:rFonts w:ascii="Times New Roman" w:eastAsia="Calibri" w:hAnsi="Times New Roman" w:cs="Times New Roman"/>
                <w:sz w:val="24"/>
                <w:szCs w:val="24"/>
                <w:shd w:val="clear" w:color="auto" w:fill="FFFFFF"/>
              </w:rPr>
              <w:t>Sistēma,</w:t>
            </w:r>
            <w:r w:rsidRPr="00D10357">
              <w:rPr>
                <w:rFonts w:ascii="Times New Roman" w:eastAsia="Calibri" w:hAnsi="Times New Roman" w:cs="Times New Roman"/>
                <w:sz w:val="24"/>
                <w:szCs w:val="24"/>
              </w:rPr>
              <w:t xml:space="preserve"> ir SPKC nolikums (skat. 4.12. apakšpunktu “</w:t>
            </w:r>
            <w:r w:rsidRPr="00D10357">
              <w:rPr>
                <w:rFonts w:ascii="Times New Roman" w:eastAsia="Calibri" w:hAnsi="Times New Roman" w:cs="Times New Roman"/>
                <w:sz w:val="24"/>
                <w:szCs w:val="24"/>
                <w:shd w:val="clear" w:color="auto" w:fill="FFFFFF"/>
              </w:rPr>
              <w:t xml:space="preserve">veido, uztur un papildina šādas centra pārziņā esošas valsts informācijas sistēmas un datubāzes: 4.12.10. sabiedrības veselības monitoringa un ziņošanas sistēmu”). </w:t>
            </w:r>
            <w:r w:rsidRPr="00D10357">
              <w:rPr>
                <w:rFonts w:ascii="Times New Roman" w:eastAsia="Calibri" w:hAnsi="Times New Roman" w:cs="Times New Roman"/>
                <w:sz w:val="24"/>
                <w:szCs w:val="24"/>
              </w:rPr>
              <w:t xml:space="preserve">Nekādi citi normatīvi akti vai starptautiskās saistības nenosaka </w:t>
            </w:r>
            <w:r w:rsidR="00E048D2">
              <w:rPr>
                <w:rFonts w:ascii="Times New Roman" w:eastAsia="Calibri" w:hAnsi="Times New Roman" w:cs="Times New Roman"/>
                <w:sz w:val="24"/>
                <w:szCs w:val="24"/>
              </w:rPr>
              <w:t>S</w:t>
            </w:r>
            <w:r w:rsidRPr="00D10357">
              <w:rPr>
                <w:rFonts w:ascii="Times New Roman" w:eastAsia="Calibri" w:hAnsi="Times New Roman" w:cs="Times New Roman"/>
                <w:sz w:val="24"/>
                <w:szCs w:val="24"/>
              </w:rPr>
              <w:t xml:space="preserve">istēmas nepieciešamību. </w:t>
            </w:r>
          </w:p>
          <w:p w14:paraId="3814802D" w14:textId="1B930350" w:rsidR="00AC280C" w:rsidRPr="00D10357" w:rsidRDefault="00AC280C" w:rsidP="00AC280C">
            <w:pPr>
              <w:numPr>
                <w:ilvl w:val="0"/>
                <w:numId w:val="13"/>
              </w:numPr>
              <w:spacing w:after="0" w:line="240" w:lineRule="auto"/>
              <w:ind w:left="821" w:hanging="284"/>
              <w:contextualSpacing/>
              <w:jc w:val="both"/>
              <w:rPr>
                <w:rFonts w:ascii="Times New Roman" w:eastAsia="Calibri" w:hAnsi="Times New Roman" w:cs="Times New Roman"/>
                <w:sz w:val="24"/>
                <w:szCs w:val="24"/>
              </w:rPr>
            </w:pPr>
            <w:r w:rsidRPr="00D10357">
              <w:rPr>
                <w:rFonts w:ascii="Times New Roman" w:eastAsia="Calibri" w:hAnsi="Times New Roman" w:cs="Times New Roman"/>
                <w:sz w:val="24"/>
                <w:szCs w:val="24"/>
              </w:rPr>
              <w:t>SPKC N</w:t>
            </w:r>
            <w:r w:rsidRPr="00D10357">
              <w:rPr>
                <w:rFonts w:ascii="Times New Roman" w:eastAsia="Calibri" w:hAnsi="Times New Roman" w:cs="Times New Roman"/>
                <w:sz w:val="24"/>
                <w:szCs w:val="24"/>
                <w:shd w:val="clear" w:color="auto" w:fill="FFFFFF"/>
              </w:rPr>
              <w:t xml:space="preserve">olikuma 3.7. punktā minētās funkcijas “veikt sabiedrības veselības monitoringu” nodrošināšana iespējama arī bez Sistēmas līdzdalības, jo </w:t>
            </w:r>
            <w:r w:rsidRPr="00D10357">
              <w:rPr>
                <w:rFonts w:ascii="Times New Roman" w:eastAsia="Calibri" w:hAnsi="Times New Roman" w:cs="Times New Roman"/>
                <w:sz w:val="24"/>
                <w:szCs w:val="24"/>
              </w:rPr>
              <w:t xml:space="preserve">datu atspoguļošana ir tikai daļa no visas monitoringa funkcijas; Sistēma, kas </w:t>
            </w:r>
            <w:r w:rsidR="00E048D2">
              <w:rPr>
                <w:rFonts w:ascii="Times New Roman" w:eastAsia="Calibri" w:hAnsi="Times New Roman" w:cs="Times New Roman"/>
                <w:sz w:val="24"/>
                <w:szCs w:val="24"/>
              </w:rPr>
              <w:t>,</w:t>
            </w:r>
            <w:r w:rsidRPr="00D10357">
              <w:rPr>
                <w:rFonts w:ascii="Times New Roman" w:eastAsia="Calibri" w:hAnsi="Times New Roman" w:cs="Times New Roman"/>
                <w:sz w:val="24"/>
                <w:szCs w:val="24"/>
              </w:rPr>
              <w:t>cita starpā</w:t>
            </w:r>
            <w:r w:rsidR="00E048D2">
              <w:rPr>
                <w:rFonts w:ascii="Times New Roman" w:eastAsia="Calibri" w:hAnsi="Times New Roman" w:cs="Times New Roman"/>
                <w:sz w:val="24"/>
                <w:szCs w:val="24"/>
              </w:rPr>
              <w:t>,</w:t>
            </w:r>
            <w:r w:rsidRPr="00D10357">
              <w:rPr>
                <w:rFonts w:ascii="Times New Roman" w:eastAsia="Calibri" w:hAnsi="Times New Roman" w:cs="Times New Roman"/>
                <w:sz w:val="24"/>
                <w:szCs w:val="24"/>
              </w:rPr>
              <w:t xml:space="preserve"> bija paredzēta kā informācijas atspoguļošanas un pasniegšanas rīks, bez apjomīgiem finanšu ieguldījumiem nav modernizējama atbilstoši mūsdienu prasībām (darbojas vairāk kā tekstuālas informācijas bibliotēka)</w:t>
            </w:r>
            <w:r w:rsidR="00E048D2">
              <w:rPr>
                <w:rFonts w:ascii="Times New Roman" w:eastAsia="Calibri" w:hAnsi="Times New Roman" w:cs="Times New Roman"/>
                <w:sz w:val="24"/>
                <w:szCs w:val="24"/>
              </w:rPr>
              <w:t>;</w:t>
            </w:r>
            <w:r w:rsidRPr="00D10357">
              <w:rPr>
                <w:rFonts w:ascii="Times New Roman" w:eastAsia="Calibri" w:hAnsi="Times New Roman" w:cs="Times New Roman"/>
                <w:sz w:val="24"/>
                <w:szCs w:val="24"/>
              </w:rPr>
              <w:t xml:space="preserve"> S</w:t>
            </w:r>
            <w:r w:rsidRPr="00D10357">
              <w:rPr>
                <w:rFonts w:ascii="Times New Roman" w:eastAsia="Calibri" w:hAnsi="Times New Roman" w:cs="Times New Roman"/>
                <w:sz w:val="24"/>
                <w:szCs w:val="24"/>
                <w:shd w:val="clear" w:color="auto" w:fill="FFFFFF"/>
              </w:rPr>
              <w:t xml:space="preserve">PKC ievieš arvien jaunus informācijas pasniegšanas rīkus/veidus (piem., </w:t>
            </w:r>
            <w:proofErr w:type="spellStart"/>
            <w:r w:rsidRPr="00D10357">
              <w:rPr>
                <w:rFonts w:ascii="Times New Roman" w:eastAsia="Calibri" w:hAnsi="Times New Roman" w:cs="Times New Roman"/>
                <w:sz w:val="24"/>
                <w:szCs w:val="24"/>
                <w:shd w:val="clear" w:color="auto" w:fill="FFFFFF"/>
              </w:rPr>
              <w:t>PxWeb</w:t>
            </w:r>
            <w:proofErr w:type="spellEnd"/>
            <w:r w:rsidRPr="00D10357">
              <w:rPr>
                <w:rFonts w:ascii="Times New Roman" w:eastAsia="Calibri" w:hAnsi="Times New Roman" w:cs="Times New Roman"/>
                <w:sz w:val="24"/>
                <w:szCs w:val="24"/>
                <w:shd w:val="clear" w:color="auto" w:fill="FFFFFF"/>
              </w:rPr>
              <w:t>), ir pieejami citi bezmaksas rīki informācijas mūsdienīgai pasniegšanai.</w:t>
            </w:r>
          </w:p>
          <w:p w14:paraId="0586071B" w14:textId="77777777" w:rsidR="00AC280C" w:rsidRPr="00D10357" w:rsidRDefault="00AC280C" w:rsidP="00AC280C">
            <w:pPr>
              <w:spacing w:after="0" w:line="240" w:lineRule="auto"/>
              <w:ind w:firstLine="567"/>
              <w:jc w:val="both"/>
              <w:rPr>
                <w:rFonts w:ascii="Times New Roman" w:eastAsia="Calibri" w:hAnsi="Times New Roman" w:cs="Times New Roman"/>
                <w:sz w:val="24"/>
                <w:szCs w:val="24"/>
              </w:rPr>
            </w:pPr>
          </w:p>
          <w:p w14:paraId="01CB589A" w14:textId="66B356E6" w:rsidR="00AC280C" w:rsidRPr="00D10357" w:rsidRDefault="00AC280C" w:rsidP="00E048D2">
            <w:pPr>
              <w:spacing w:after="0" w:line="240" w:lineRule="auto"/>
              <w:jc w:val="both"/>
              <w:rPr>
                <w:rFonts w:ascii="Times New Roman" w:eastAsia="Calibri" w:hAnsi="Times New Roman" w:cs="Times New Roman"/>
                <w:sz w:val="24"/>
                <w:szCs w:val="24"/>
              </w:rPr>
            </w:pPr>
            <w:r w:rsidRPr="00D10357">
              <w:rPr>
                <w:rFonts w:ascii="Times New Roman" w:eastAsia="Calibri" w:hAnsi="Times New Roman" w:cs="Times New Roman"/>
                <w:sz w:val="24"/>
                <w:szCs w:val="24"/>
              </w:rPr>
              <w:t xml:space="preserve">Līdz ar to, ņemot vērā visu iepriekšminēto un izvērtējot samēru starp apjomīgo ieguldāmo darbu, pat Sistēmu nemodernizējot, bet </w:t>
            </w:r>
            <w:r w:rsidR="00E048D2">
              <w:rPr>
                <w:rFonts w:ascii="Times New Roman" w:eastAsia="Calibri" w:hAnsi="Times New Roman" w:cs="Times New Roman"/>
                <w:sz w:val="24"/>
                <w:szCs w:val="24"/>
              </w:rPr>
              <w:t>tikai</w:t>
            </w:r>
            <w:r w:rsidRPr="00D10357">
              <w:rPr>
                <w:rFonts w:ascii="Times New Roman" w:eastAsia="Calibri" w:hAnsi="Times New Roman" w:cs="Times New Roman"/>
                <w:sz w:val="24"/>
                <w:szCs w:val="24"/>
              </w:rPr>
              <w:t xml:space="preserve"> uzturot (Sistēmas saturiska aktualizēšana, papildināšana, popularizēšana utt.) un sagaidāmo atdevi (minimāls sistēmas lietotāju skaits) –</w:t>
            </w:r>
            <w:r w:rsidR="00E048D2">
              <w:rPr>
                <w:rFonts w:ascii="Times New Roman" w:eastAsia="Calibri" w:hAnsi="Times New Roman" w:cs="Times New Roman"/>
                <w:sz w:val="24"/>
                <w:szCs w:val="24"/>
              </w:rPr>
              <w:t xml:space="preserve">ir </w:t>
            </w:r>
            <w:r w:rsidRPr="00D10357">
              <w:rPr>
                <w:rFonts w:ascii="Times New Roman" w:eastAsia="Calibri" w:hAnsi="Times New Roman" w:cs="Times New Roman"/>
                <w:sz w:val="24"/>
                <w:szCs w:val="24"/>
              </w:rPr>
              <w:t xml:space="preserve"> racionālāk </w:t>
            </w:r>
            <w:r w:rsidR="00E048D2">
              <w:rPr>
                <w:rFonts w:ascii="Times New Roman" w:eastAsia="Calibri" w:hAnsi="Times New Roman" w:cs="Times New Roman"/>
                <w:sz w:val="24"/>
                <w:szCs w:val="24"/>
              </w:rPr>
              <w:t>S</w:t>
            </w:r>
            <w:r w:rsidRPr="00D10357">
              <w:rPr>
                <w:rFonts w:ascii="Times New Roman" w:eastAsia="Calibri" w:hAnsi="Times New Roman" w:cs="Times New Roman"/>
                <w:sz w:val="24"/>
                <w:szCs w:val="24"/>
              </w:rPr>
              <w:t>istēmas uzturēšanu pārtraukt, saglabājot tajā esošo informāciju uz servera.</w:t>
            </w:r>
          </w:p>
          <w:p w14:paraId="7112AB7D" w14:textId="6F6C0277" w:rsidR="00AC280C" w:rsidRDefault="00AC280C" w:rsidP="00AC280C">
            <w:pPr>
              <w:spacing w:after="0" w:line="240" w:lineRule="auto"/>
              <w:ind w:firstLine="567"/>
              <w:jc w:val="both"/>
              <w:rPr>
                <w:rFonts w:ascii="Times New Roman" w:eastAsia="Calibri" w:hAnsi="Times New Roman" w:cs="Times New Roman"/>
                <w:sz w:val="24"/>
                <w:szCs w:val="24"/>
              </w:rPr>
            </w:pPr>
          </w:p>
          <w:p w14:paraId="792ACD20" w14:textId="5B011900" w:rsidR="00AF49AE" w:rsidRPr="00361E4C" w:rsidRDefault="00AF49AE" w:rsidP="00AF49AE">
            <w:pPr>
              <w:shd w:val="clear" w:color="auto" w:fill="FFFFFF"/>
              <w:spacing w:after="0" w:line="293" w:lineRule="atLeast"/>
              <w:jc w:val="both"/>
              <w:rPr>
                <w:rFonts w:ascii="Times New Roman" w:eastAsia="Times New Roman" w:hAnsi="Times New Roman" w:cs="Times New Roman"/>
                <w:b/>
                <w:bCs/>
                <w:sz w:val="24"/>
                <w:szCs w:val="24"/>
              </w:rPr>
            </w:pPr>
            <w:r w:rsidRPr="00361E4C">
              <w:rPr>
                <w:rFonts w:ascii="Times New Roman" w:hAnsi="Times New Roman" w:cs="Times New Roman"/>
                <w:b/>
                <w:bCs/>
                <w:sz w:val="24"/>
                <w:szCs w:val="24"/>
              </w:rPr>
              <w:t>3.</w:t>
            </w:r>
            <w:r w:rsidRPr="00361E4C">
              <w:rPr>
                <w:rFonts w:ascii="Times New Roman" w:hAnsi="Times New Roman" w:cs="Times New Roman"/>
                <w:sz w:val="24"/>
                <w:szCs w:val="24"/>
              </w:rPr>
              <w:t> </w:t>
            </w:r>
            <w:r w:rsidR="004A260B">
              <w:rPr>
                <w:rFonts w:ascii="Times New Roman" w:hAnsi="Times New Roman" w:cs="Times New Roman"/>
                <w:sz w:val="24"/>
                <w:szCs w:val="24"/>
              </w:rPr>
              <w:t>N</w:t>
            </w:r>
            <w:r w:rsidRPr="00361E4C">
              <w:rPr>
                <w:rFonts w:ascii="Times New Roman" w:hAnsi="Times New Roman" w:cs="Times New Roman"/>
                <w:sz w:val="24"/>
                <w:szCs w:val="24"/>
              </w:rPr>
              <w:t xml:space="preserve">oteikumu projekts paredz svītrot </w:t>
            </w:r>
            <w:r w:rsidR="0042280A">
              <w:rPr>
                <w:rFonts w:ascii="Times New Roman" w:hAnsi="Times New Roman" w:cs="Times New Roman"/>
                <w:sz w:val="24"/>
                <w:szCs w:val="24"/>
              </w:rPr>
              <w:t>N</w:t>
            </w:r>
            <w:r w:rsidRPr="00361E4C">
              <w:rPr>
                <w:rFonts w:ascii="Times New Roman" w:hAnsi="Times New Roman" w:cs="Times New Roman"/>
                <w:sz w:val="24"/>
                <w:szCs w:val="24"/>
              </w:rPr>
              <w:t xml:space="preserve">oteikumu Nr.241 </w:t>
            </w:r>
            <w:r w:rsidRPr="00361E4C">
              <w:rPr>
                <w:rFonts w:ascii="Times New Roman" w:eastAsia="Times New Roman" w:hAnsi="Times New Roman" w:cs="Times New Roman"/>
                <w:b/>
                <w:bCs/>
                <w:sz w:val="24"/>
                <w:szCs w:val="24"/>
              </w:rPr>
              <w:t>4.12.12.</w:t>
            </w:r>
            <w:r w:rsidR="004A260B">
              <w:rPr>
                <w:rFonts w:ascii="Times New Roman" w:eastAsia="Times New Roman" w:hAnsi="Times New Roman" w:cs="Times New Roman"/>
                <w:b/>
                <w:bCs/>
                <w:sz w:val="24"/>
                <w:szCs w:val="24"/>
              </w:rPr>
              <w:t> </w:t>
            </w:r>
            <w:r w:rsidRPr="00361E4C">
              <w:rPr>
                <w:rFonts w:ascii="Times New Roman" w:eastAsia="Times New Roman" w:hAnsi="Times New Roman" w:cs="Times New Roman"/>
                <w:b/>
                <w:bCs/>
                <w:sz w:val="24"/>
                <w:szCs w:val="24"/>
              </w:rPr>
              <w:t>ap</w:t>
            </w:r>
            <w:r w:rsidR="00C12CE8">
              <w:rPr>
                <w:rFonts w:ascii="Times New Roman" w:eastAsia="Times New Roman" w:hAnsi="Times New Roman" w:cs="Times New Roman"/>
                <w:b/>
                <w:bCs/>
                <w:sz w:val="24"/>
                <w:szCs w:val="24"/>
              </w:rPr>
              <w:t>akš</w:t>
            </w:r>
            <w:r w:rsidRPr="00361E4C">
              <w:rPr>
                <w:rFonts w:ascii="Times New Roman" w:eastAsia="Times New Roman" w:hAnsi="Times New Roman" w:cs="Times New Roman"/>
                <w:b/>
                <w:bCs/>
                <w:sz w:val="24"/>
                <w:szCs w:val="24"/>
              </w:rPr>
              <w:t>p</w:t>
            </w:r>
            <w:r w:rsidR="00C12CE8">
              <w:rPr>
                <w:rFonts w:ascii="Times New Roman" w:eastAsia="Times New Roman" w:hAnsi="Times New Roman" w:cs="Times New Roman"/>
                <w:b/>
                <w:bCs/>
                <w:sz w:val="24"/>
                <w:szCs w:val="24"/>
              </w:rPr>
              <w:t>unktu-</w:t>
            </w:r>
            <w:r w:rsidRPr="00361E4C">
              <w:rPr>
                <w:rFonts w:ascii="Times New Roman" w:eastAsia="Times New Roman" w:hAnsi="Times New Roman" w:cs="Times New Roman"/>
                <w:b/>
                <w:bCs/>
                <w:sz w:val="24"/>
                <w:szCs w:val="24"/>
              </w:rPr>
              <w:t>“datu prezentācijas sistēma”</w:t>
            </w:r>
            <w:r w:rsidR="00E048D2" w:rsidRPr="00361E4C">
              <w:rPr>
                <w:rFonts w:ascii="Times New Roman" w:eastAsia="Times New Roman" w:hAnsi="Times New Roman" w:cs="Times New Roman"/>
                <w:b/>
                <w:bCs/>
                <w:sz w:val="24"/>
                <w:szCs w:val="24"/>
              </w:rPr>
              <w:t>.</w:t>
            </w:r>
          </w:p>
          <w:p w14:paraId="74210BBD" w14:textId="17839983" w:rsidR="00F57C32" w:rsidRPr="00FE148D" w:rsidRDefault="00AC280C" w:rsidP="005E2D18">
            <w:pPr>
              <w:spacing w:after="0" w:line="240" w:lineRule="auto"/>
              <w:jc w:val="both"/>
              <w:rPr>
                <w:shd w:val="clear" w:color="auto" w:fill="FFFFFF"/>
              </w:rPr>
            </w:pPr>
            <w:r w:rsidRPr="00361E4C">
              <w:rPr>
                <w:rFonts w:ascii="Times New Roman" w:hAnsi="Times New Roman" w:cs="Times New Roman"/>
                <w:b/>
                <w:bCs/>
                <w:sz w:val="24"/>
                <w:szCs w:val="24"/>
              </w:rPr>
              <w:lastRenderedPageBreak/>
              <w:t>Datu prezentācijas</w:t>
            </w:r>
            <w:r w:rsidRPr="00E048D2">
              <w:rPr>
                <w:rFonts w:ascii="Times New Roman" w:hAnsi="Times New Roman" w:cs="Times New Roman"/>
                <w:b/>
                <w:bCs/>
                <w:sz w:val="24"/>
                <w:szCs w:val="24"/>
              </w:rPr>
              <w:t xml:space="preserve"> sistēma</w:t>
            </w:r>
            <w:r w:rsidRPr="00D10357">
              <w:rPr>
                <w:rFonts w:ascii="Times New Roman" w:hAnsi="Times New Roman" w:cs="Times New Roman"/>
                <w:sz w:val="24"/>
                <w:szCs w:val="24"/>
              </w:rPr>
              <w:t xml:space="preserve"> ir veidota ar tādiem IT risinājumiem, kas vairs nav atbilstoši mūsdienu prasībām un statistikas lietotāju vajadzībām. S</w:t>
            </w:r>
            <w:r w:rsidR="00E048D2">
              <w:rPr>
                <w:rFonts w:ascii="Times New Roman" w:hAnsi="Times New Roman" w:cs="Times New Roman"/>
                <w:sz w:val="24"/>
                <w:szCs w:val="24"/>
              </w:rPr>
              <w:t>PKC</w:t>
            </w:r>
            <w:r w:rsidRPr="00D10357">
              <w:rPr>
                <w:rFonts w:ascii="Times New Roman" w:hAnsi="Times New Roman" w:cs="Times New Roman"/>
                <w:sz w:val="24"/>
                <w:szCs w:val="24"/>
              </w:rPr>
              <w:t xml:space="preserve"> kopš 2019.gada novembra nodrošina veselības statistikas datu publicēšanu Veselības statistikas datubāzē, kur modernā un lietotājam ērtākā</w:t>
            </w:r>
            <w:r w:rsidR="00295C55">
              <w:rPr>
                <w:rFonts w:ascii="Times New Roman" w:hAnsi="Times New Roman" w:cs="Times New Roman"/>
                <w:sz w:val="24"/>
                <w:szCs w:val="24"/>
              </w:rPr>
              <w:t>,</w:t>
            </w:r>
            <w:r w:rsidRPr="00D10357">
              <w:rPr>
                <w:rFonts w:ascii="Times New Roman" w:hAnsi="Times New Roman" w:cs="Times New Roman"/>
                <w:sz w:val="24"/>
                <w:szCs w:val="24"/>
              </w:rPr>
              <w:t xml:space="preserve"> draudzīgākā veidā, visiem ir brīvi pieejami veselības statistikas dati latviešu un angļu valodā (</w:t>
            </w:r>
            <w:hyperlink r:id="rId10" w:history="1">
              <w:r w:rsidRPr="00D10357">
                <w:rPr>
                  <w:rStyle w:val="Hyperlink"/>
                  <w:rFonts w:ascii="Times New Roman" w:hAnsi="Times New Roman" w:cs="Times New Roman"/>
                  <w:color w:val="auto"/>
                  <w:sz w:val="24"/>
                  <w:szCs w:val="24"/>
                </w:rPr>
                <w:t>https://statistika.spkc.gov.lv/pxweb/lv/Health</w:t>
              </w:r>
            </w:hyperlink>
            <w:r w:rsidRPr="00D10357">
              <w:rPr>
                <w:rFonts w:ascii="Times New Roman" w:hAnsi="Times New Roman" w:cs="Times New Roman"/>
                <w:sz w:val="24"/>
                <w:szCs w:val="24"/>
              </w:rPr>
              <w:t xml:space="preserve">). Tajā vienuviet ir pieejama informācija par iedzīvotāju veselību, mātes un bērna veselību, veselības aprūpi, mirstību, iedzīvotāju veselību ietekmējošiem paradumiem, veselības aprūpes iznākumu un pacientu drošību. Datubāzē ir iekļauti arī  Datu prezentācijas sistēmā publicētie dati. Veselības statistikas datubāzē lietotājam pēc dažādiem parametriem ir iespēja atlasīt nepieciešamos datus (piemēram, atlasīt datus izvēloties laika periodu, reģionu, diagnozi, dzimumu, vecuma grupu), izvēlēties datu attēlošanas formātu – tabulās vai grafikos, kā arī ir iespēja datus eksportēt dažādos formātos tālākai datu apstrādei. Datubāzē pieejamie dati ir izmatojami arī ar </w:t>
            </w:r>
            <w:proofErr w:type="spellStart"/>
            <w:r w:rsidRPr="00D10357">
              <w:rPr>
                <w:rFonts w:ascii="Times New Roman" w:hAnsi="Times New Roman" w:cs="Times New Roman"/>
                <w:sz w:val="24"/>
                <w:szCs w:val="24"/>
              </w:rPr>
              <w:t>mašīnlasīšanas</w:t>
            </w:r>
            <w:proofErr w:type="spellEnd"/>
            <w:r w:rsidRPr="00D10357">
              <w:rPr>
                <w:rFonts w:ascii="Times New Roman" w:hAnsi="Times New Roman" w:cs="Times New Roman"/>
                <w:sz w:val="24"/>
                <w:szCs w:val="24"/>
              </w:rPr>
              <w:t xml:space="preserve"> rīkiem. Veselības statistikas datubāzē ir pieejami arī metadati, kuros aprakstīti datu avoti, datu iegūšanas kārtība, definīcijas un datu apstrādes un aprēķināšanas metodika, kā arī norādīts nākamais datu atjaunošanas un publicēšanas datums saskaņā ar Oficiālās statistikas datu publicēšanas kalendāru. Veselības statistikas datu bāzē ir nodrošināta arī meklēšanas funkcionalitāte, kas lietotājam sniedz iespēju interesējošo tēmu pēc atslēgas vārda meklēt visās datubāzes tabulās. SPKC regulāri papildinās datus ar jaunāko informāciju un turpinās darbu pie Veselības statistikas datubāzē iekļautās informācijas apjoma papildināšanas. </w:t>
            </w:r>
            <w:r w:rsidRPr="00FE148D">
              <w:rPr>
                <w:rFonts w:ascii="Times New Roman" w:hAnsi="Times New Roman" w:cs="Times New Roman"/>
                <w:shd w:val="clear" w:color="auto" w:fill="FFFFFF"/>
              </w:rPr>
              <w:t xml:space="preserve"> </w:t>
            </w:r>
          </w:p>
        </w:tc>
      </w:tr>
      <w:tr w:rsidR="005A40D0" w:rsidRPr="00B22C79" w14:paraId="682B64DE" w14:textId="77777777" w:rsidTr="000C67EB">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14:paraId="649B2F60" w14:textId="77777777" w:rsidR="00655F2C" w:rsidRPr="00B22C79" w:rsidRDefault="00910840" w:rsidP="00E579A1">
            <w:pPr>
              <w:spacing w:after="0" w:line="240" w:lineRule="auto"/>
              <w:jc w:val="both"/>
              <w:rPr>
                <w:rFonts w:ascii="Times New Roman" w:eastAsia="Times New Roman" w:hAnsi="Times New Roman" w:cs="Times New Roman"/>
                <w:iCs/>
                <w:sz w:val="24"/>
                <w:szCs w:val="24"/>
                <w:lang w:eastAsia="lv-LV"/>
              </w:rPr>
            </w:pPr>
            <w:r w:rsidRPr="00B22C79">
              <w:rPr>
                <w:rFonts w:ascii="Times New Roman" w:eastAsia="Times New Roman" w:hAnsi="Times New Roman" w:cs="Times New Roman"/>
                <w:iCs/>
                <w:sz w:val="24"/>
                <w:szCs w:val="24"/>
                <w:lang w:eastAsia="lv-LV"/>
              </w:rPr>
              <w:lastRenderedPageBreak/>
              <w:t>3.</w:t>
            </w:r>
          </w:p>
        </w:tc>
        <w:tc>
          <w:tcPr>
            <w:tcW w:w="1396" w:type="pct"/>
            <w:tcBorders>
              <w:top w:val="outset" w:sz="6" w:space="0" w:color="auto"/>
              <w:left w:val="outset" w:sz="6" w:space="0" w:color="auto"/>
              <w:bottom w:val="outset" w:sz="6" w:space="0" w:color="auto"/>
              <w:right w:val="outset" w:sz="6" w:space="0" w:color="auto"/>
            </w:tcBorders>
            <w:hideMark/>
          </w:tcPr>
          <w:p w14:paraId="30756AEA" w14:textId="77777777" w:rsidR="00E5323B" w:rsidRPr="00B22C79" w:rsidRDefault="00910840" w:rsidP="00E579A1">
            <w:pPr>
              <w:spacing w:after="0" w:line="240" w:lineRule="auto"/>
              <w:jc w:val="both"/>
              <w:rPr>
                <w:rFonts w:ascii="Times New Roman" w:eastAsia="Times New Roman" w:hAnsi="Times New Roman" w:cs="Times New Roman"/>
                <w:iCs/>
                <w:sz w:val="24"/>
                <w:szCs w:val="24"/>
                <w:lang w:eastAsia="lv-LV"/>
              </w:rPr>
            </w:pPr>
            <w:r w:rsidRPr="00B22C7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331" w:type="pct"/>
            <w:tcBorders>
              <w:top w:val="outset" w:sz="6" w:space="0" w:color="auto"/>
              <w:left w:val="outset" w:sz="6" w:space="0" w:color="auto"/>
              <w:bottom w:val="outset" w:sz="6" w:space="0" w:color="auto"/>
              <w:right w:val="outset" w:sz="6" w:space="0" w:color="auto"/>
            </w:tcBorders>
            <w:hideMark/>
          </w:tcPr>
          <w:p w14:paraId="23936236" w14:textId="6C05498B" w:rsidR="00715530" w:rsidRPr="00B22C79" w:rsidRDefault="003802F8" w:rsidP="0057171F">
            <w:pPr>
              <w:pStyle w:val="NoSpacing"/>
              <w:numPr>
                <w:ilvl w:val="0"/>
                <w:numId w:val="0"/>
              </w:numPr>
              <w:ind w:left="360" w:hanging="360"/>
            </w:pPr>
            <w:r>
              <w:t>V</w:t>
            </w:r>
            <w:r w:rsidR="00EA1991" w:rsidRPr="00D10357">
              <w:t>eselības ministrija</w:t>
            </w:r>
            <w:r>
              <w:t xml:space="preserve"> un</w:t>
            </w:r>
            <w:r w:rsidR="00EA1991" w:rsidRPr="00D10357">
              <w:t xml:space="preserve"> Slimību profilakses un kontroles centrs</w:t>
            </w:r>
          </w:p>
        </w:tc>
      </w:tr>
      <w:tr w:rsidR="005A40D0" w:rsidRPr="00B22C79" w14:paraId="7C8BF92E" w14:textId="77777777" w:rsidTr="000C67EB">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14:paraId="63C97BC7" w14:textId="77777777" w:rsidR="00655F2C" w:rsidRPr="00B22C79" w:rsidRDefault="00910840" w:rsidP="00E579A1">
            <w:pPr>
              <w:spacing w:after="0" w:line="240" w:lineRule="auto"/>
              <w:jc w:val="both"/>
              <w:rPr>
                <w:rFonts w:ascii="Times New Roman" w:eastAsia="Times New Roman" w:hAnsi="Times New Roman" w:cs="Times New Roman"/>
                <w:iCs/>
                <w:sz w:val="24"/>
                <w:szCs w:val="24"/>
                <w:lang w:eastAsia="lv-LV"/>
              </w:rPr>
            </w:pPr>
            <w:r w:rsidRPr="00B22C79">
              <w:rPr>
                <w:rFonts w:ascii="Times New Roman" w:eastAsia="Times New Roman" w:hAnsi="Times New Roman" w:cs="Times New Roman"/>
                <w:iCs/>
                <w:sz w:val="24"/>
                <w:szCs w:val="24"/>
                <w:lang w:eastAsia="lv-LV"/>
              </w:rPr>
              <w:t>4.</w:t>
            </w:r>
          </w:p>
        </w:tc>
        <w:tc>
          <w:tcPr>
            <w:tcW w:w="1396" w:type="pct"/>
            <w:tcBorders>
              <w:top w:val="outset" w:sz="6" w:space="0" w:color="auto"/>
              <w:left w:val="outset" w:sz="6" w:space="0" w:color="auto"/>
              <w:bottom w:val="outset" w:sz="6" w:space="0" w:color="auto"/>
              <w:right w:val="outset" w:sz="6" w:space="0" w:color="auto"/>
            </w:tcBorders>
            <w:hideMark/>
          </w:tcPr>
          <w:p w14:paraId="439E670C" w14:textId="77777777" w:rsidR="00E5323B" w:rsidRPr="00B22C79" w:rsidRDefault="00910840" w:rsidP="00E579A1">
            <w:pPr>
              <w:spacing w:after="0" w:line="240" w:lineRule="auto"/>
              <w:jc w:val="both"/>
              <w:rPr>
                <w:rFonts w:ascii="Times New Roman" w:eastAsia="Times New Roman" w:hAnsi="Times New Roman" w:cs="Times New Roman"/>
                <w:iCs/>
                <w:sz w:val="24"/>
                <w:szCs w:val="24"/>
                <w:lang w:eastAsia="lv-LV"/>
              </w:rPr>
            </w:pPr>
            <w:r w:rsidRPr="00B22C79">
              <w:rPr>
                <w:rFonts w:ascii="Times New Roman" w:eastAsia="Times New Roman" w:hAnsi="Times New Roman" w:cs="Times New Roman"/>
                <w:iCs/>
                <w:sz w:val="24"/>
                <w:szCs w:val="24"/>
                <w:lang w:eastAsia="lv-LV"/>
              </w:rPr>
              <w:t>Cita informācija</w:t>
            </w:r>
          </w:p>
        </w:tc>
        <w:tc>
          <w:tcPr>
            <w:tcW w:w="3331" w:type="pct"/>
            <w:tcBorders>
              <w:top w:val="outset" w:sz="6" w:space="0" w:color="auto"/>
              <w:left w:val="outset" w:sz="6" w:space="0" w:color="auto"/>
              <w:bottom w:val="outset" w:sz="6" w:space="0" w:color="auto"/>
              <w:right w:val="outset" w:sz="6" w:space="0" w:color="auto"/>
            </w:tcBorders>
            <w:hideMark/>
          </w:tcPr>
          <w:p w14:paraId="2EE40476" w14:textId="3C5F63FA" w:rsidR="00715530" w:rsidRPr="00B22C79" w:rsidRDefault="002C06F8" w:rsidP="002C06F8">
            <w:pPr>
              <w:pStyle w:val="naiskr"/>
              <w:spacing w:before="0" w:beforeAutospacing="0" w:after="0" w:afterAutospacing="0"/>
              <w:ind w:left="51" w:right="142"/>
              <w:jc w:val="both"/>
              <w:rPr>
                <w:iCs/>
              </w:rPr>
            </w:pPr>
            <w:r w:rsidRPr="005E0EF0">
              <w:t>Projektam nav ietekmes uz valsts budžetu, jo papildus līdzekļi no valsts budžeta nav nepieciešami.</w:t>
            </w:r>
          </w:p>
        </w:tc>
      </w:tr>
    </w:tbl>
    <w:p w14:paraId="6C92722A" w14:textId="77777777" w:rsidR="00CB25F8" w:rsidRPr="00B22C79" w:rsidRDefault="00CB25F8" w:rsidP="00E579A1">
      <w:pPr>
        <w:spacing w:after="0" w:line="240" w:lineRule="auto"/>
        <w:jc w:val="both"/>
        <w:rPr>
          <w:rFonts w:ascii="Times New Roman" w:hAnsi="Times New Roman" w:cs="Times New Roman"/>
          <w:sz w:val="24"/>
          <w:szCs w:val="24"/>
        </w:rPr>
      </w:pPr>
    </w:p>
    <w:tbl>
      <w:tblPr>
        <w:tblpPr w:leftFromText="180" w:rightFromText="180" w:vertAnchor="text" w:horzAnchor="margin" w:tblpX="5" w:tblpY="119"/>
        <w:tblW w:w="908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484"/>
        <w:gridCol w:w="2627"/>
        <w:gridCol w:w="5970"/>
      </w:tblGrid>
      <w:tr w:rsidR="006D5050" w:rsidRPr="00B22C79" w14:paraId="2CE12401" w14:textId="77777777" w:rsidTr="00CB25F8">
        <w:trPr>
          <w:trHeight w:val="556"/>
          <w:tblCellSpacing w:w="20" w:type="dxa"/>
        </w:trPr>
        <w:tc>
          <w:tcPr>
            <w:tcW w:w="9001" w:type="dxa"/>
            <w:gridSpan w:val="3"/>
            <w:vAlign w:val="center"/>
          </w:tcPr>
          <w:p w14:paraId="7EDAC520" w14:textId="77777777" w:rsidR="006D5050" w:rsidRPr="00B22C79" w:rsidRDefault="006D5050" w:rsidP="00E579A1">
            <w:pPr>
              <w:pStyle w:val="naisnod"/>
              <w:spacing w:before="0" w:beforeAutospacing="0" w:after="0" w:afterAutospacing="0"/>
              <w:ind w:left="57" w:right="57"/>
              <w:jc w:val="both"/>
              <w:rPr>
                <w:b/>
              </w:rPr>
            </w:pPr>
            <w:r w:rsidRPr="00B22C79">
              <w:rPr>
                <w:b/>
              </w:rPr>
              <w:t>II. Tiesību akta projekta ietekme uz sabiedrību, tautsaimniecības attīstību</w:t>
            </w:r>
          </w:p>
          <w:p w14:paraId="29C95C28" w14:textId="77777777" w:rsidR="006D5050" w:rsidRPr="00B22C79" w:rsidRDefault="006D5050" w:rsidP="00E579A1">
            <w:pPr>
              <w:pStyle w:val="naisnod"/>
              <w:spacing w:before="0" w:beforeAutospacing="0" w:after="0" w:afterAutospacing="0"/>
              <w:ind w:left="57" w:right="57"/>
              <w:jc w:val="both"/>
              <w:rPr>
                <w:b/>
              </w:rPr>
            </w:pPr>
            <w:r w:rsidRPr="00B22C79">
              <w:rPr>
                <w:b/>
              </w:rPr>
              <w:t>un administratīvo slogu</w:t>
            </w:r>
          </w:p>
        </w:tc>
      </w:tr>
      <w:tr w:rsidR="00D4077B" w:rsidRPr="00B22C79" w14:paraId="5AB3E9D9" w14:textId="77777777" w:rsidTr="00CB25F8">
        <w:trPr>
          <w:trHeight w:val="467"/>
          <w:tblCellSpacing w:w="20" w:type="dxa"/>
        </w:trPr>
        <w:tc>
          <w:tcPr>
            <w:tcW w:w="424" w:type="dxa"/>
          </w:tcPr>
          <w:p w14:paraId="542EFA0D" w14:textId="77777777" w:rsidR="00D4077B" w:rsidRPr="00B22C79" w:rsidRDefault="00D4077B" w:rsidP="00D4077B">
            <w:pPr>
              <w:pStyle w:val="naiskr"/>
              <w:spacing w:before="0" w:beforeAutospacing="0" w:after="0" w:afterAutospacing="0"/>
              <w:ind w:left="57" w:right="57"/>
              <w:jc w:val="both"/>
            </w:pPr>
            <w:r w:rsidRPr="00B22C79">
              <w:t xml:space="preserve">1. </w:t>
            </w:r>
          </w:p>
        </w:tc>
        <w:tc>
          <w:tcPr>
            <w:tcW w:w="2587" w:type="dxa"/>
          </w:tcPr>
          <w:p w14:paraId="293BADB3" w14:textId="77777777" w:rsidR="00D4077B" w:rsidRPr="00B22C79" w:rsidRDefault="00D4077B" w:rsidP="00D4077B">
            <w:pPr>
              <w:pStyle w:val="naiskr"/>
              <w:spacing w:before="0" w:beforeAutospacing="0" w:after="0" w:afterAutospacing="0"/>
              <w:ind w:left="57" w:right="57"/>
              <w:jc w:val="both"/>
            </w:pPr>
            <w:r w:rsidRPr="00B22C79">
              <w:t xml:space="preserve">Sabiedrības </w:t>
            </w:r>
            <w:proofErr w:type="spellStart"/>
            <w:r w:rsidRPr="00B22C79">
              <w:t>mērķgrupas</w:t>
            </w:r>
            <w:proofErr w:type="spellEnd"/>
            <w:r w:rsidRPr="00B22C79">
              <w:t>, kuras tiesiskais regulējums ietekmē vai varētu ietekmēt</w:t>
            </w:r>
          </w:p>
        </w:tc>
        <w:tc>
          <w:tcPr>
            <w:tcW w:w="5910" w:type="dxa"/>
          </w:tcPr>
          <w:p w14:paraId="718371DC" w14:textId="4B704595" w:rsidR="00D4077B" w:rsidRPr="00B22C79" w:rsidRDefault="00D4077B" w:rsidP="00D4077B">
            <w:pPr>
              <w:pStyle w:val="naiskr"/>
              <w:spacing w:before="0" w:beforeAutospacing="0" w:after="0" w:afterAutospacing="0"/>
              <w:ind w:left="111" w:right="57"/>
              <w:jc w:val="both"/>
            </w:pPr>
            <w:bookmarkStart w:id="2" w:name="p21"/>
            <w:bookmarkEnd w:id="2"/>
            <w:r w:rsidRPr="00464D07">
              <w:t xml:space="preserve">Tiesiskais regulējums ietekmē </w:t>
            </w:r>
            <w:r w:rsidR="003802F8">
              <w:t>s</w:t>
            </w:r>
            <w:r w:rsidR="003802F8" w:rsidRPr="00D10357">
              <w:t>abiedrīb</w:t>
            </w:r>
            <w:r w:rsidR="003802F8">
              <w:t>u</w:t>
            </w:r>
            <w:r w:rsidR="003802F8" w:rsidRPr="00D10357">
              <w:t xml:space="preserve"> kopumā</w:t>
            </w:r>
            <w:r w:rsidR="006A04E7">
              <w:t>, jo precizēta informācija par Centa kompetenci</w:t>
            </w:r>
            <w:r w:rsidRPr="00464D07">
              <w:t>.</w:t>
            </w:r>
          </w:p>
        </w:tc>
      </w:tr>
      <w:tr w:rsidR="00D4077B" w:rsidRPr="00B22C79" w14:paraId="65F673B6" w14:textId="77777777" w:rsidTr="00CB25F8">
        <w:trPr>
          <w:trHeight w:val="523"/>
          <w:tblCellSpacing w:w="20" w:type="dxa"/>
        </w:trPr>
        <w:tc>
          <w:tcPr>
            <w:tcW w:w="424" w:type="dxa"/>
          </w:tcPr>
          <w:p w14:paraId="431F1D72" w14:textId="77777777" w:rsidR="00D4077B" w:rsidRPr="00B22C79" w:rsidRDefault="00D4077B" w:rsidP="00D4077B">
            <w:pPr>
              <w:pStyle w:val="naiskr"/>
              <w:spacing w:before="0" w:beforeAutospacing="0" w:after="0" w:afterAutospacing="0"/>
              <w:ind w:left="57" w:right="57"/>
              <w:jc w:val="both"/>
            </w:pPr>
            <w:r w:rsidRPr="00B22C79">
              <w:t xml:space="preserve">2. </w:t>
            </w:r>
          </w:p>
        </w:tc>
        <w:tc>
          <w:tcPr>
            <w:tcW w:w="2587" w:type="dxa"/>
          </w:tcPr>
          <w:p w14:paraId="1BB982AC" w14:textId="77777777" w:rsidR="00D4077B" w:rsidRPr="00B22C79" w:rsidRDefault="00D4077B" w:rsidP="00D4077B">
            <w:pPr>
              <w:pStyle w:val="naiskr"/>
              <w:spacing w:before="0" w:beforeAutospacing="0" w:after="0" w:afterAutospacing="0"/>
              <w:ind w:left="57" w:right="57"/>
              <w:jc w:val="both"/>
            </w:pPr>
            <w:r w:rsidRPr="00B22C79">
              <w:t>Tiesiskā regulējuma ietekme uz tautsaimniecību un administratīvo slogu</w:t>
            </w:r>
          </w:p>
        </w:tc>
        <w:tc>
          <w:tcPr>
            <w:tcW w:w="5910" w:type="dxa"/>
          </w:tcPr>
          <w:p w14:paraId="36D6B54F" w14:textId="6C89FE87" w:rsidR="00D4077B" w:rsidRPr="00B22C79" w:rsidRDefault="006A109A" w:rsidP="00D4077B">
            <w:pPr>
              <w:pStyle w:val="naiskr"/>
              <w:spacing w:before="0" w:beforeAutospacing="0" w:after="0" w:afterAutospacing="0"/>
              <w:ind w:left="111" w:right="57"/>
              <w:jc w:val="both"/>
            </w:pPr>
            <w:r w:rsidRPr="00B22C79">
              <w:t xml:space="preserve">Noteikumu </w:t>
            </w:r>
            <w:r>
              <w:t>p</w:t>
            </w:r>
            <w:r w:rsidR="003802F8" w:rsidRPr="00D10357">
              <w:t>rojekts šo jomu neskar</w:t>
            </w:r>
          </w:p>
        </w:tc>
      </w:tr>
      <w:tr w:rsidR="006D5050" w:rsidRPr="00B22C79" w14:paraId="2CADEC10" w14:textId="77777777" w:rsidTr="00CB25F8">
        <w:trPr>
          <w:trHeight w:val="523"/>
          <w:tblCellSpacing w:w="20" w:type="dxa"/>
        </w:trPr>
        <w:tc>
          <w:tcPr>
            <w:tcW w:w="424" w:type="dxa"/>
          </w:tcPr>
          <w:p w14:paraId="3AC1E90E" w14:textId="77777777" w:rsidR="006D5050" w:rsidRPr="00B22C79" w:rsidRDefault="006D5050" w:rsidP="00E579A1">
            <w:pPr>
              <w:pStyle w:val="naiskr"/>
              <w:spacing w:before="0" w:beforeAutospacing="0" w:after="0" w:afterAutospacing="0"/>
              <w:ind w:left="57" w:right="57"/>
              <w:jc w:val="both"/>
            </w:pPr>
            <w:r w:rsidRPr="00B22C79">
              <w:lastRenderedPageBreak/>
              <w:t xml:space="preserve">3. </w:t>
            </w:r>
          </w:p>
        </w:tc>
        <w:tc>
          <w:tcPr>
            <w:tcW w:w="2587" w:type="dxa"/>
          </w:tcPr>
          <w:p w14:paraId="3C16930E" w14:textId="77777777" w:rsidR="006D5050" w:rsidRPr="00B22C79" w:rsidRDefault="006D5050" w:rsidP="00E579A1">
            <w:pPr>
              <w:pStyle w:val="naiskr"/>
              <w:spacing w:before="0" w:beforeAutospacing="0" w:after="0" w:afterAutospacing="0"/>
              <w:ind w:left="57" w:right="57"/>
              <w:jc w:val="both"/>
            </w:pPr>
            <w:r w:rsidRPr="00B22C79">
              <w:t>Administratīvo izmaksu monetārs novērtējums</w:t>
            </w:r>
          </w:p>
        </w:tc>
        <w:tc>
          <w:tcPr>
            <w:tcW w:w="5910" w:type="dxa"/>
          </w:tcPr>
          <w:p w14:paraId="4914592D" w14:textId="22503083" w:rsidR="006D5050" w:rsidRPr="00B22C79" w:rsidRDefault="006C5070" w:rsidP="00E579A1">
            <w:pPr>
              <w:pStyle w:val="naiskr"/>
              <w:spacing w:before="0" w:beforeAutospacing="0" w:after="0" w:afterAutospacing="0"/>
              <w:ind w:left="111" w:right="57"/>
              <w:jc w:val="both"/>
            </w:pPr>
            <w:r w:rsidRPr="00B22C79">
              <w:t>N</w:t>
            </w:r>
            <w:r w:rsidR="006D5050" w:rsidRPr="00B22C79">
              <w:t>oteikumu projekts šo jomu neskar.</w:t>
            </w:r>
          </w:p>
        </w:tc>
      </w:tr>
      <w:tr w:rsidR="006D5050" w:rsidRPr="00B22C79" w14:paraId="6F54A459" w14:textId="77777777" w:rsidTr="00CB25F8">
        <w:trPr>
          <w:trHeight w:val="357"/>
          <w:tblCellSpacing w:w="20" w:type="dxa"/>
        </w:trPr>
        <w:tc>
          <w:tcPr>
            <w:tcW w:w="424" w:type="dxa"/>
          </w:tcPr>
          <w:p w14:paraId="2745FE0D" w14:textId="77777777" w:rsidR="006D5050" w:rsidRPr="00B22C79" w:rsidRDefault="006D5050" w:rsidP="00E579A1">
            <w:pPr>
              <w:pStyle w:val="naiskr"/>
              <w:spacing w:before="0" w:beforeAutospacing="0" w:after="0" w:afterAutospacing="0"/>
              <w:ind w:left="57" w:right="57"/>
              <w:jc w:val="both"/>
            </w:pPr>
            <w:r w:rsidRPr="00B22C79">
              <w:t xml:space="preserve">4. </w:t>
            </w:r>
          </w:p>
        </w:tc>
        <w:tc>
          <w:tcPr>
            <w:tcW w:w="2587" w:type="dxa"/>
          </w:tcPr>
          <w:p w14:paraId="43300334" w14:textId="77777777" w:rsidR="006D5050" w:rsidRPr="00B22C79" w:rsidRDefault="006D5050" w:rsidP="00E579A1">
            <w:pPr>
              <w:pStyle w:val="naiskr"/>
              <w:spacing w:before="0" w:beforeAutospacing="0" w:after="0" w:afterAutospacing="0"/>
              <w:ind w:left="57" w:right="57"/>
              <w:jc w:val="both"/>
            </w:pPr>
            <w:r w:rsidRPr="00B22C79">
              <w:t>Atbilstības izmaksu monetārs novērtējums</w:t>
            </w:r>
          </w:p>
        </w:tc>
        <w:tc>
          <w:tcPr>
            <w:tcW w:w="5910" w:type="dxa"/>
          </w:tcPr>
          <w:p w14:paraId="23F7AA80" w14:textId="1FDFEA0E" w:rsidR="006D5050" w:rsidRPr="00B22C79" w:rsidRDefault="006C5070" w:rsidP="00E579A1">
            <w:pPr>
              <w:pStyle w:val="naiskr"/>
              <w:spacing w:before="0" w:beforeAutospacing="0" w:after="0" w:afterAutospacing="0"/>
              <w:ind w:left="111" w:right="57"/>
              <w:jc w:val="both"/>
            </w:pPr>
            <w:r w:rsidRPr="00B22C79">
              <w:t>N</w:t>
            </w:r>
            <w:r w:rsidR="006D5050" w:rsidRPr="00B22C79">
              <w:t>oteikumu projekts šo jomu neskar.</w:t>
            </w:r>
          </w:p>
        </w:tc>
      </w:tr>
      <w:tr w:rsidR="006D5050" w:rsidRPr="00B22C79" w14:paraId="0E12628A" w14:textId="77777777" w:rsidTr="00CB25F8">
        <w:trPr>
          <w:trHeight w:val="357"/>
          <w:tblCellSpacing w:w="20" w:type="dxa"/>
        </w:trPr>
        <w:tc>
          <w:tcPr>
            <w:tcW w:w="424" w:type="dxa"/>
          </w:tcPr>
          <w:p w14:paraId="1D31DED9" w14:textId="77777777" w:rsidR="006D5050" w:rsidRPr="00B22C79" w:rsidRDefault="006D5050" w:rsidP="00E579A1">
            <w:pPr>
              <w:pStyle w:val="naiskr"/>
              <w:spacing w:before="0" w:beforeAutospacing="0" w:after="0" w:afterAutospacing="0"/>
              <w:ind w:left="57" w:right="57"/>
              <w:jc w:val="both"/>
            </w:pPr>
            <w:r w:rsidRPr="00B22C79">
              <w:t>5.</w:t>
            </w:r>
          </w:p>
        </w:tc>
        <w:tc>
          <w:tcPr>
            <w:tcW w:w="2587" w:type="dxa"/>
          </w:tcPr>
          <w:p w14:paraId="1D3EEFB2" w14:textId="77777777" w:rsidR="006D5050" w:rsidRPr="00B22C79" w:rsidRDefault="006D5050" w:rsidP="00E579A1">
            <w:pPr>
              <w:pStyle w:val="naiskr"/>
              <w:spacing w:before="0" w:beforeAutospacing="0" w:after="0" w:afterAutospacing="0"/>
              <w:ind w:left="57" w:right="57"/>
              <w:jc w:val="both"/>
            </w:pPr>
            <w:r w:rsidRPr="00B22C79">
              <w:t>Cita informācija</w:t>
            </w:r>
          </w:p>
        </w:tc>
        <w:tc>
          <w:tcPr>
            <w:tcW w:w="5910" w:type="dxa"/>
          </w:tcPr>
          <w:p w14:paraId="127E305F" w14:textId="77777777" w:rsidR="006D5050" w:rsidRPr="00B22C79" w:rsidRDefault="006D5050" w:rsidP="00E579A1">
            <w:pPr>
              <w:pStyle w:val="naiskr"/>
              <w:spacing w:before="0" w:beforeAutospacing="0" w:after="0" w:afterAutospacing="0"/>
              <w:ind w:left="111" w:right="57"/>
              <w:jc w:val="both"/>
            </w:pPr>
            <w:r w:rsidRPr="00B22C79">
              <w:t>Nav.</w:t>
            </w:r>
          </w:p>
        </w:tc>
      </w:tr>
    </w:tbl>
    <w:p w14:paraId="273CC3CE" w14:textId="0F46D4ED" w:rsidR="006D5050" w:rsidRDefault="006D5050" w:rsidP="00E579A1">
      <w:pPr>
        <w:pStyle w:val="naisnod"/>
        <w:spacing w:before="0" w:beforeAutospacing="0" w:after="0" w:afterAutospacing="0"/>
        <w:ind w:right="57"/>
        <w:jc w:val="both"/>
        <w:rPr>
          <w:b/>
        </w:rPr>
      </w:pPr>
    </w:p>
    <w:p w14:paraId="738058B0" w14:textId="77777777" w:rsidR="005E2D18" w:rsidRDefault="005E2D18" w:rsidP="005E2D18">
      <w:pPr>
        <w:pStyle w:val="naisnod"/>
        <w:spacing w:before="0" w:beforeAutospacing="0" w:after="0" w:afterAutospacing="0"/>
        <w:ind w:right="57"/>
        <w:jc w:val="both"/>
        <w:rPr>
          <w:b/>
        </w:rPr>
      </w:pPr>
    </w:p>
    <w:tbl>
      <w:tblPr>
        <w:tblStyle w:val="TableGrid"/>
        <w:tblW w:w="5066" w:type="pct"/>
        <w:tblInd w:w="-95" w:type="dxa"/>
        <w:tblLook w:val="04A0" w:firstRow="1" w:lastRow="0" w:firstColumn="1" w:lastColumn="0" w:noHBand="0" w:noVBand="1"/>
      </w:tblPr>
      <w:tblGrid>
        <w:gridCol w:w="9181"/>
      </w:tblGrid>
      <w:tr w:rsidR="005E2D18" w:rsidRPr="00B05EDE" w14:paraId="695A4F07" w14:textId="77777777" w:rsidTr="002B2708">
        <w:trPr>
          <w:trHeight w:val="450"/>
        </w:trPr>
        <w:tc>
          <w:tcPr>
            <w:tcW w:w="5000" w:type="pct"/>
            <w:hideMark/>
          </w:tcPr>
          <w:p w14:paraId="41E757E5" w14:textId="6323C6DA" w:rsidR="005E2D18" w:rsidRDefault="005E2D18" w:rsidP="002B2708">
            <w:pPr>
              <w:ind w:firstLine="230"/>
              <w:jc w:val="center"/>
              <w:rPr>
                <w:b/>
                <w:bCs/>
                <w:sz w:val="24"/>
                <w:szCs w:val="24"/>
              </w:rPr>
            </w:pPr>
            <w:r w:rsidRPr="00E51D95">
              <w:rPr>
                <w:b/>
                <w:iCs/>
                <w:sz w:val="24"/>
                <w:szCs w:val="24"/>
              </w:rPr>
              <w:t>III. Tiesību akta projekta ietekme uz valsts budžetu un pašvaldību budžetiem</w:t>
            </w:r>
          </w:p>
          <w:p w14:paraId="1DD75811" w14:textId="6E909127" w:rsidR="005E2D18" w:rsidRPr="00B05EDE" w:rsidRDefault="005E2D18" w:rsidP="002B2708">
            <w:pPr>
              <w:ind w:firstLine="230"/>
              <w:jc w:val="center"/>
              <w:rPr>
                <w:b/>
                <w:bCs/>
                <w:sz w:val="24"/>
                <w:szCs w:val="24"/>
              </w:rPr>
            </w:pPr>
          </w:p>
        </w:tc>
      </w:tr>
      <w:tr w:rsidR="005E2D18" w:rsidRPr="00B05EDE" w14:paraId="572A97E1" w14:textId="77777777" w:rsidTr="002B2708">
        <w:trPr>
          <w:trHeight w:val="450"/>
        </w:trPr>
        <w:tc>
          <w:tcPr>
            <w:tcW w:w="5000" w:type="pct"/>
          </w:tcPr>
          <w:p w14:paraId="4896AAFD" w14:textId="77777777" w:rsidR="005E2D18" w:rsidRPr="00B05EDE" w:rsidRDefault="005E2D18" w:rsidP="002B2708">
            <w:pPr>
              <w:ind w:firstLine="230"/>
              <w:jc w:val="center"/>
              <w:rPr>
                <w:b/>
                <w:bCs/>
                <w:sz w:val="24"/>
                <w:szCs w:val="24"/>
              </w:rPr>
            </w:pPr>
            <w:r w:rsidRPr="006A109A">
              <w:rPr>
                <w:sz w:val="24"/>
                <w:szCs w:val="24"/>
              </w:rPr>
              <w:t xml:space="preserve">Noteikumu </w:t>
            </w:r>
            <w:r>
              <w:rPr>
                <w:sz w:val="24"/>
                <w:szCs w:val="24"/>
              </w:rPr>
              <w:t>p</w:t>
            </w:r>
            <w:r w:rsidRPr="006A109A">
              <w:rPr>
                <w:b/>
                <w:sz w:val="24"/>
                <w:szCs w:val="24"/>
              </w:rPr>
              <w:t>rojekts</w:t>
            </w:r>
            <w:r w:rsidRPr="00B05EDE">
              <w:rPr>
                <w:b/>
                <w:sz w:val="24"/>
                <w:szCs w:val="24"/>
              </w:rPr>
              <w:t xml:space="preserve"> šo jomu neskar</w:t>
            </w:r>
          </w:p>
        </w:tc>
      </w:tr>
    </w:tbl>
    <w:p w14:paraId="5C563D73" w14:textId="77777777" w:rsidR="005E2D18" w:rsidRDefault="005E2D18" w:rsidP="00E579A1">
      <w:pPr>
        <w:pStyle w:val="naisnod"/>
        <w:spacing w:before="0" w:beforeAutospacing="0" w:after="0" w:afterAutospacing="0"/>
        <w:ind w:right="57"/>
        <w:jc w:val="both"/>
        <w:rPr>
          <w:b/>
        </w:rPr>
      </w:pPr>
    </w:p>
    <w:tbl>
      <w:tblPr>
        <w:tblStyle w:val="TableGrid"/>
        <w:tblW w:w="5066" w:type="pct"/>
        <w:tblInd w:w="-95" w:type="dxa"/>
        <w:tblLook w:val="04A0" w:firstRow="1" w:lastRow="0" w:firstColumn="1" w:lastColumn="0" w:noHBand="0" w:noVBand="1"/>
      </w:tblPr>
      <w:tblGrid>
        <w:gridCol w:w="9181"/>
      </w:tblGrid>
      <w:tr w:rsidR="00B05EDE" w:rsidRPr="00B05EDE" w14:paraId="4C9B453E" w14:textId="77777777" w:rsidTr="003459D5">
        <w:trPr>
          <w:trHeight w:val="450"/>
        </w:trPr>
        <w:tc>
          <w:tcPr>
            <w:tcW w:w="5000" w:type="pct"/>
            <w:hideMark/>
          </w:tcPr>
          <w:p w14:paraId="7507F051" w14:textId="77777777" w:rsidR="00B05EDE" w:rsidRPr="00B05EDE" w:rsidRDefault="00B05EDE" w:rsidP="002D44A7">
            <w:pPr>
              <w:ind w:firstLine="230"/>
              <w:jc w:val="center"/>
              <w:rPr>
                <w:b/>
                <w:bCs/>
                <w:sz w:val="24"/>
                <w:szCs w:val="24"/>
              </w:rPr>
            </w:pPr>
            <w:r w:rsidRPr="00B05EDE">
              <w:rPr>
                <w:b/>
                <w:bCs/>
                <w:sz w:val="24"/>
                <w:szCs w:val="24"/>
              </w:rPr>
              <w:t>IV. Tiesību akta projekta ietekme uz spēkā esošo tiesību normu sistēmu</w:t>
            </w:r>
          </w:p>
        </w:tc>
      </w:tr>
      <w:tr w:rsidR="00B05EDE" w:rsidRPr="00B05EDE" w14:paraId="7DD98825" w14:textId="77777777" w:rsidTr="003459D5">
        <w:trPr>
          <w:trHeight w:val="450"/>
        </w:trPr>
        <w:tc>
          <w:tcPr>
            <w:tcW w:w="5000" w:type="pct"/>
          </w:tcPr>
          <w:p w14:paraId="7BBC3210" w14:textId="41A29795" w:rsidR="00B05EDE" w:rsidRPr="00B05EDE" w:rsidRDefault="006A109A" w:rsidP="002D44A7">
            <w:pPr>
              <w:ind w:firstLine="230"/>
              <w:jc w:val="center"/>
              <w:rPr>
                <w:b/>
                <w:bCs/>
                <w:sz w:val="24"/>
                <w:szCs w:val="24"/>
              </w:rPr>
            </w:pPr>
            <w:r w:rsidRPr="006A109A">
              <w:rPr>
                <w:sz w:val="24"/>
                <w:szCs w:val="24"/>
              </w:rPr>
              <w:t xml:space="preserve">Noteikumu </w:t>
            </w:r>
            <w:r>
              <w:rPr>
                <w:sz w:val="24"/>
                <w:szCs w:val="24"/>
              </w:rPr>
              <w:t>p</w:t>
            </w:r>
            <w:r w:rsidR="00B05EDE" w:rsidRPr="006A109A">
              <w:rPr>
                <w:b/>
                <w:sz w:val="24"/>
                <w:szCs w:val="24"/>
              </w:rPr>
              <w:t>rojekts</w:t>
            </w:r>
            <w:r w:rsidR="00B05EDE" w:rsidRPr="00B05EDE">
              <w:rPr>
                <w:b/>
                <w:sz w:val="24"/>
                <w:szCs w:val="24"/>
              </w:rPr>
              <w:t xml:space="preserve"> šo jomu neskar</w:t>
            </w:r>
          </w:p>
        </w:tc>
      </w:tr>
    </w:tbl>
    <w:p w14:paraId="1D48E8DB" w14:textId="77777777" w:rsidR="00B05EDE" w:rsidRPr="00B05EDE" w:rsidRDefault="00B05EDE" w:rsidP="00B05EDE">
      <w:pPr>
        <w:jc w:val="both"/>
        <w:rPr>
          <w:rFonts w:ascii="Times New Roman" w:hAnsi="Times New Roman" w:cs="Times New Roman"/>
          <w:sz w:val="24"/>
          <w:szCs w:val="24"/>
        </w:rPr>
      </w:pPr>
    </w:p>
    <w:tbl>
      <w:tblPr>
        <w:tblStyle w:val="TableGrid"/>
        <w:tblW w:w="9180" w:type="dxa"/>
        <w:tblInd w:w="-95" w:type="dxa"/>
        <w:tblLook w:val="04A0" w:firstRow="1" w:lastRow="0" w:firstColumn="1" w:lastColumn="0" w:noHBand="0" w:noVBand="1"/>
      </w:tblPr>
      <w:tblGrid>
        <w:gridCol w:w="9180"/>
      </w:tblGrid>
      <w:tr w:rsidR="00B05EDE" w:rsidRPr="00B05EDE" w14:paraId="297EFA0B" w14:textId="77777777" w:rsidTr="003459D5">
        <w:tc>
          <w:tcPr>
            <w:tcW w:w="9180" w:type="dxa"/>
            <w:tcBorders>
              <w:top w:val="single" w:sz="4" w:space="0" w:color="auto"/>
              <w:left w:val="single" w:sz="4" w:space="0" w:color="auto"/>
              <w:bottom w:val="single" w:sz="4" w:space="0" w:color="auto"/>
              <w:right w:val="single" w:sz="4" w:space="0" w:color="auto"/>
            </w:tcBorders>
            <w:hideMark/>
          </w:tcPr>
          <w:p w14:paraId="1119E550" w14:textId="77777777" w:rsidR="00B05EDE" w:rsidRPr="00B05EDE" w:rsidRDefault="00B05EDE" w:rsidP="002D44A7">
            <w:pPr>
              <w:jc w:val="center"/>
              <w:rPr>
                <w:sz w:val="24"/>
                <w:szCs w:val="24"/>
              </w:rPr>
            </w:pPr>
            <w:r w:rsidRPr="00B05EDE">
              <w:rPr>
                <w:b/>
                <w:bCs/>
                <w:sz w:val="24"/>
                <w:szCs w:val="24"/>
              </w:rPr>
              <w:t>V. Tiesību akta projekta atbilstība Latvijas Republikas starptautiskajām saistībām</w:t>
            </w:r>
          </w:p>
        </w:tc>
      </w:tr>
      <w:tr w:rsidR="00B05EDE" w:rsidRPr="00B05EDE" w14:paraId="6ADDC678" w14:textId="77777777" w:rsidTr="003459D5">
        <w:tc>
          <w:tcPr>
            <w:tcW w:w="9180" w:type="dxa"/>
            <w:tcBorders>
              <w:top w:val="single" w:sz="4" w:space="0" w:color="auto"/>
              <w:left w:val="single" w:sz="4" w:space="0" w:color="auto"/>
              <w:bottom w:val="single" w:sz="4" w:space="0" w:color="auto"/>
              <w:right w:val="single" w:sz="4" w:space="0" w:color="auto"/>
            </w:tcBorders>
            <w:hideMark/>
          </w:tcPr>
          <w:p w14:paraId="074B3285" w14:textId="0B000A6E" w:rsidR="00B05EDE" w:rsidRPr="006A109A" w:rsidRDefault="006A109A" w:rsidP="002D44A7">
            <w:pPr>
              <w:jc w:val="center"/>
              <w:rPr>
                <w:sz w:val="24"/>
                <w:szCs w:val="24"/>
              </w:rPr>
            </w:pPr>
            <w:r w:rsidRPr="006A109A">
              <w:rPr>
                <w:sz w:val="24"/>
                <w:szCs w:val="24"/>
              </w:rPr>
              <w:t>Noteikumu p</w:t>
            </w:r>
            <w:r w:rsidR="00B05EDE" w:rsidRPr="006A109A">
              <w:rPr>
                <w:iCs/>
                <w:sz w:val="24"/>
                <w:szCs w:val="24"/>
              </w:rPr>
              <w:t>rojekts šo jomu neskar.</w:t>
            </w:r>
          </w:p>
        </w:tc>
      </w:tr>
    </w:tbl>
    <w:p w14:paraId="5B030FC1" w14:textId="2C554BCC" w:rsidR="00B05EDE" w:rsidRDefault="00B05EDE" w:rsidP="00E579A1">
      <w:pPr>
        <w:pStyle w:val="naisnod"/>
        <w:spacing w:before="0" w:beforeAutospacing="0" w:after="0" w:afterAutospacing="0"/>
        <w:ind w:right="57"/>
        <w:jc w:val="both"/>
        <w:rPr>
          <w:b/>
        </w:rPr>
      </w:pPr>
    </w:p>
    <w:tbl>
      <w:tblPr>
        <w:tblpPr w:leftFromText="180" w:rightFromText="180" w:vertAnchor="text" w:tblpX="-98" w:tblpY="1"/>
        <w:tblOverlap w:val="never"/>
        <w:tblW w:w="505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8"/>
        <w:gridCol w:w="3083"/>
        <w:gridCol w:w="5512"/>
      </w:tblGrid>
      <w:tr w:rsidR="006D5050" w:rsidRPr="00B22C79" w14:paraId="55523F27" w14:textId="77777777" w:rsidTr="008D337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F9940A8" w14:textId="77777777" w:rsidR="006D5050" w:rsidRPr="00B22C79" w:rsidRDefault="006D5050" w:rsidP="008D3372">
            <w:pPr>
              <w:spacing w:after="0" w:line="240" w:lineRule="auto"/>
              <w:jc w:val="both"/>
              <w:rPr>
                <w:rFonts w:ascii="Times New Roman" w:hAnsi="Times New Roman" w:cs="Times New Roman"/>
                <w:b/>
                <w:bCs/>
                <w:iCs/>
                <w:sz w:val="24"/>
                <w:szCs w:val="24"/>
                <w:lang w:eastAsia="lv-LV"/>
              </w:rPr>
            </w:pPr>
            <w:r w:rsidRPr="00B22C79">
              <w:rPr>
                <w:rFonts w:ascii="Times New Roman" w:hAnsi="Times New Roman" w:cs="Times New Roman"/>
                <w:b/>
                <w:bCs/>
                <w:iCs/>
                <w:sz w:val="24"/>
                <w:szCs w:val="24"/>
                <w:lang w:eastAsia="lv-LV"/>
              </w:rPr>
              <w:t>VI. Sabiedrības līdzdalība un komunikācijas aktivitātes</w:t>
            </w:r>
          </w:p>
        </w:tc>
      </w:tr>
      <w:tr w:rsidR="006D5050" w:rsidRPr="00B22C79" w14:paraId="60316AFF" w14:textId="77777777" w:rsidTr="008D3372">
        <w:trPr>
          <w:trHeight w:val="279"/>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4F4DAF02" w14:textId="77777777" w:rsidR="006D5050" w:rsidRPr="00B22C79" w:rsidRDefault="006D5050" w:rsidP="008D3372">
            <w:pPr>
              <w:spacing w:after="0" w:line="240" w:lineRule="auto"/>
              <w:jc w:val="both"/>
              <w:rPr>
                <w:rFonts w:ascii="Times New Roman" w:hAnsi="Times New Roman" w:cs="Times New Roman"/>
                <w:iCs/>
                <w:sz w:val="24"/>
                <w:szCs w:val="24"/>
                <w:lang w:eastAsia="lv-LV"/>
              </w:rPr>
            </w:pPr>
            <w:r w:rsidRPr="00B22C79">
              <w:rPr>
                <w:rFonts w:ascii="Times New Roman" w:hAnsi="Times New Roman" w:cs="Times New Roman"/>
                <w:iCs/>
                <w:sz w:val="24"/>
                <w:szCs w:val="24"/>
                <w:lang w:eastAsia="lv-LV"/>
              </w:rPr>
              <w:t>1.</w:t>
            </w:r>
          </w:p>
        </w:tc>
        <w:tc>
          <w:tcPr>
            <w:tcW w:w="1679" w:type="pct"/>
            <w:tcBorders>
              <w:top w:val="outset" w:sz="6" w:space="0" w:color="auto"/>
              <w:left w:val="outset" w:sz="6" w:space="0" w:color="auto"/>
              <w:bottom w:val="outset" w:sz="6" w:space="0" w:color="auto"/>
              <w:right w:val="outset" w:sz="6" w:space="0" w:color="auto"/>
            </w:tcBorders>
          </w:tcPr>
          <w:p w14:paraId="723FB285" w14:textId="77777777" w:rsidR="006D5050" w:rsidRPr="00B22C79" w:rsidRDefault="006D5050" w:rsidP="008D3372">
            <w:pPr>
              <w:spacing w:after="0" w:line="240" w:lineRule="auto"/>
              <w:jc w:val="both"/>
              <w:rPr>
                <w:rFonts w:ascii="Times New Roman" w:eastAsia="Arial Unicode MS" w:hAnsi="Times New Roman" w:cs="Times New Roman"/>
                <w:sz w:val="24"/>
                <w:szCs w:val="24"/>
              </w:rPr>
            </w:pPr>
            <w:r w:rsidRPr="00B22C79">
              <w:rPr>
                <w:rFonts w:ascii="Times New Roman" w:eastAsia="Arial Unicode MS" w:hAnsi="Times New Roman" w:cs="Times New Roman"/>
                <w:sz w:val="24"/>
                <w:szCs w:val="24"/>
              </w:rPr>
              <w:t>Plānotās sabiedrības līdzdalības un komunikācijas aktivitātes saistībā ar projektu</w:t>
            </w:r>
          </w:p>
        </w:tc>
        <w:tc>
          <w:tcPr>
            <w:tcW w:w="2973" w:type="pct"/>
            <w:tcBorders>
              <w:top w:val="outset" w:sz="6" w:space="0" w:color="auto"/>
              <w:left w:val="outset" w:sz="6" w:space="0" w:color="auto"/>
              <w:bottom w:val="outset" w:sz="6" w:space="0" w:color="auto"/>
              <w:right w:val="outset" w:sz="6" w:space="0" w:color="auto"/>
            </w:tcBorders>
          </w:tcPr>
          <w:p w14:paraId="28F30BDA" w14:textId="05E6C416" w:rsidR="00774020" w:rsidRPr="00774020" w:rsidRDefault="008D3372" w:rsidP="008D3372">
            <w:pPr>
              <w:jc w:val="both"/>
              <w:rPr>
                <w:rFonts w:ascii="Times New Roman" w:hAnsi="Times New Roman" w:cs="Times New Roman"/>
                <w:sz w:val="24"/>
                <w:szCs w:val="24"/>
              </w:rPr>
            </w:pPr>
            <w:r>
              <w:rPr>
                <w:rFonts w:ascii="Times New Roman" w:eastAsia="Arial Unicode MS" w:hAnsi="Times New Roman" w:cs="Times New Roman"/>
                <w:sz w:val="24"/>
                <w:szCs w:val="24"/>
              </w:rPr>
              <w:t>Noteikumu p</w:t>
            </w:r>
            <w:r w:rsidRPr="00B22C79">
              <w:rPr>
                <w:rFonts w:ascii="Times New Roman" w:eastAsia="Arial Unicode MS" w:hAnsi="Times New Roman" w:cs="Times New Roman"/>
                <w:sz w:val="24"/>
                <w:szCs w:val="24"/>
              </w:rPr>
              <w:t xml:space="preserve">rojekts </w:t>
            </w:r>
            <w:r w:rsidR="00774020" w:rsidRPr="00774020">
              <w:rPr>
                <w:rFonts w:ascii="Times New Roman" w:hAnsi="Times New Roman" w:cs="Times New Roman"/>
                <w:sz w:val="24"/>
                <w:szCs w:val="24"/>
              </w:rPr>
              <w:t>nodots sabiedriskai apspriedei Veselības ministrijas mājas lapā, norādot sanāksmes datumu un vietu</w:t>
            </w:r>
            <w:r w:rsidR="006A04E7">
              <w:rPr>
                <w:rFonts w:ascii="Times New Roman" w:hAnsi="Times New Roman" w:cs="Times New Roman"/>
                <w:sz w:val="24"/>
                <w:szCs w:val="24"/>
              </w:rPr>
              <w:t>, informācijas sniegšanas kārtību</w:t>
            </w:r>
            <w:r w:rsidR="00774020" w:rsidRPr="00774020">
              <w:rPr>
                <w:rFonts w:ascii="Times New Roman" w:hAnsi="Times New Roman" w:cs="Times New Roman"/>
                <w:sz w:val="24"/>
                <w:szCs w:val="24"/>
              </w:rPr>
              <w:t>.</w:t>
            </w:r>
          </w:p>
          <w:p w14:paraId="10B08D82" w14:textId="18FFBE36" w:rsidR="00B05EDE" w:rsidRPr="00774020" w:rsidRDefault="008D3372" w:rsidP="008D3372">
            <w:pPr>
              <w:spacing w:after="0" w:line="240" w:lineRule="auto"/>
              <w:jc w:val="both"/>
              <w:rPr>
                <w:rFonts w:ascii="Times New Roman" w:hAnsi="Times New Roman" w:cs="Times New Roman"/>
                <w:iCs/>
                <w:sz w:val="24"/>
                <w:szCs w:val="24"/>
                <w:lang w:eastAsia="lv-LV"/>
              </w:rPr>
            </w:pPr>
            <w:r>
              <w:rPr>
                <w:rFonts w:ascii="Times New Roman" w:eastAsia="Arial Unicode MS" w:hAnsi="Times New Roman" w:cs="Times New Roman"/>
                <w:sz w:val="24"/>
                <w:szCs w:val="24"/>
              </w:rPr>
              <w:t>Noteikumu p</w:t>
            </w:r>
            <w:r w:rsidRPr="00B22C79">
              <w:rPr>
                <w:rFonts w:ascii="Times New Roman" w:eastAsia="Arial Unicode MS" w:hAnsi="Times New Roman" w:cs="Times New Roman"/>
                <w:sz w:val="24"/>
                <w:szCs w:val="24"/>
              </w:rPr>
              <w:t xml:space="preserve">rojekts </w:t>
            </w:r>
            <w:r w:rsidR="00774020" w:rsidRPr="00774020">
              <w:rPr>
                <w:rFonts w:ascii="Times New Roman" w:hAnsi="Times New Roman" w:cs="Times New Roman"/>
                <w:sz w:val="24"/>
                <w:szCs w:val="24"/>
              </w:rPr>
              <w:t xml:space="preserve">un tā anotācija pēc tā izsludināšanas Valsts sekretāru sanāksmē būs publiski pieejami arī Ministru kabineta mājas lapā sadaļā </w:t>
            </w:r>
            <w:r w:rsidR="00774020" w:rsidRPr="00774020">
              <w:rPr>
                <w:rFonts w:ascii="Times New Roman" w:hAnsi="Times New Roman" w:cs="Times New Roman"/>
                <w:i/>
                <w:iCs/>
                <w:sz w:val="24"/>
                <w:szCs w:val="24"/>
              </w:rPr>
              <w:t>Tiesību aktu projekti.</w:t>
            </w:r>
          </w:p>
        </w:tc>
      </w:tr>
      <w:tr w:rsidR="006D5050" w:rsidRPr="00B22C79" w14:paraId="5D8868E3" w14:textId="77777777" w:rsidTr="008D3372">
        <w:trPr>
          <w:trHeight w:val="277"/>
          <w:tblCellSpacing w:w="15" w:type="dxa"/>
        </w:trPr>
        <w:tc>
          <w:tcPr>
            <w:tcW w:w="282" w:type="pct"/>
            <w:tcBorders>
              <w:top w:val="outset" w:sz="6" w:space="0" w:color="auto"/>
              <w:left w:val="outset" w:sz="6" w:space="0" w:color="auto"/>
              <w:bottom w:val="outset" w:sz="6" w:space="0" w:color="auto"/>
              <w:right w:val="outset" w:sz="6" w:space="0" w:color="auto"/>
            </w:tcBorders>
          </w:tcPr>
          <w:p w14:paraId="62E2B05F" w14:textId="77777777" w:rsidR="006D5050" w:rsidRPr="00B22C79" w:rsidRDefault="006D5050" w:rsidP="008D3372">
            <w:pPr>
              <w:spacing w:after="0" w:line="240" w:lineRule="auto"/>
              <w:jc w:val="both"/>
              <w:rPr>
                <w:rFonts w:ascii="Times New Roman" w:hAnsi="Times New Roman" w:cs="Times New Roman"/>
                <w:sz w:val="24"/>
                <w:szCs w:val="24"/>
              </w:rPr>
            </w:pPr>
            <w:r w:rsidRPr="00B22C79">
              <w:rPr>
                <w:rFonts w:ascii="Times New Roman" w:hAnsi="Times New Roman" w:cs="Times New Roman"/>
                <w:sz w:val="24"/>
                <w:szCs w:val="24"/>
              </w:rPr>
              <w:t>2.</w:t>
            </w:r>
          </w:p>
        </w:tc>
        <w:tc>
          <w:tcPr>
            <w:tcW w:w="1679" w:type="pct"/>
            <w:tcBorders>
              <w:top w:val="outset" w:sz="6" w:space="0" w:color="auto"/>
              <w:left w:val="outset" w:sz="6" w:space="0" w:color="auto"/>
              <w:bottom w:val="outset" w:sz="6" w:space="0" w:color="auto"/>
              <w:right w:val="outset" w:sz="6" w:space="0" w:color="auto"/>
            </w:tcBorders>
          </w:tcPr>
          <w:p w14:paraId="2D951065" w14:textId="77777777" w:rsidR="006D5050" w:rsidRPr="00B22C79" w:rsidRDefault="006D5050" w:rsidP="008D3372">
            <w:pPr>
              <w:spacing w:after="0" w:line="240" w:lineRule="auto"/>
              <w:jc w:val="both"/>
              <w:rPr>
                <w:rFonts w:ascii="Times New Roman" w:hAnsi="Times New Roman" w:cs="Times New Roman"/>
                <w:sz w:val="24"/>
                <w:szCs w:val="24"/>
              </w:rPr>
            </w:pPr>
            <w:r w:rsidRPr="00B22C79">
              <w:rPr>
                <w:rFonts w:ascii="Times New Roman" w:hAnsi="Times New Roman" w:cs="Times New Roman"/>
                <w:sz w:val="24"/>
                <w:szCs w:val="24"/>
              </w:rPr>
              <w:t>Sabiedrības līdzdalība projekta izstrādē</w:t>
            </w:r>
          </w:p>
        </w:tc>
        <w:tc>
          <w:tcPr>
            <w:tcW w:w="2973" w:type="pct"/>
            <w:tcBorders>
              <w:top w:val="outset" w:sz="6" w:space="0" w:color="auto"/>
              <w:left w:val="outset" w:sz="6" w:space="0" w:color="auto"/>
              <w:bottom w:val="outset" w:sz="6" w:space="0" w:color="auto"/>
              <w:right w:val="outset" w:sz="6" w:space="0" w:color="auto"/>
            </w:tcBorders>
          </w:tcPr>
          <w:p w14:paraId="4AA2AB0A" w14:textId="2896DB0D" w:rsidR="006D5050" w:rsidRPr="00B22C79" w:rsidRDefault="008D3372" w:rsidP="008D3372">
            <w:pPr>
              <w:spacing w:after="0" w:line="240" w:lineRule="auto"/>
              <w:ind w:left="168"/>
              <w:jc w:val="both"/>
              <w:rPr>
                <w:rFonts w:ascii="Times New Roman" w:hAnsi="Times New Roman" w:cs="Times New Roman"/>
                <w:sz w:val="24"/>
                <w:szCs w:val="24"/>
              </w:rPr>
            </w:pPr>
            <w:r>
              <w:rPr>
                <w:rFonts w:ascii="Times New Roman" w:eastAsia="Arial Unicode MS" w:hAnsi="Times New Roman" w:cs="Times New Roman"/>
                <w:sz w:val="24"/>
                <w:szCs w:val="24"/>
              </w:rPr>
              <w:t>Noteikumu p</w:t>
            </w:r>
            <w:r w:rsidR="006D5050" w:rsidRPr="00B22C79">
              <w:rPr>
                <w:rFonts w:ascii="Times New Roman" w:eastAsia="Arial Unicode MS" w:hAnsi="Times New Roman" w:cs="Times New Roman"/>
                <w:sz w:val="24"/>
                <w:szCs w:val="24"/>
              </w:rPr>
              <w:t>rojekts šo jomu neskar.</w:t>
            </w:r>
          </w:p>
        </w:tc>
      </w:tr>
      <w:tr w:rsidR="006D5050" w:rsidRPr="00B22C79" w14:paraId="26285BBC" w14:textId="77777777" w:rsidTr="008D3372">
        <w:trPr>
          <w:trHeight w:val="277"/>
          <w:tblCellSpacing w:w="15" w:type="dxa"/>
        </w:trPr>
        <w:tc>
          <w:tcPr>
            <w:tcW w:w="282" w:type="pct"/>
            <w:tcBorders>
              <w:top w:val="outset" w:sz="6" w:space="0" w:color="auto"/>
              <w:left w:val="outset" w:sz="6" w:space="0" w:color="auto"/>
              <w:bottom w:val="outset" w:sz="6" w:space="0" w:color="auto"/>
              <w:right w:val="outset" w:sz="6" w:space="0" w:color="auto"/>
            </w:tcBorders>
          </w:tcPr>
          <w:p w14:paraId="552CA687" w14:textId="77777777" w:rsidR="006D5050" w:rsidRPr="00B22C79" w:rsidRDefault="006D5050" w:rsidP="008D3372">
            <w:pPr>
              <w:spacing w:after="0" w:line="240" w:lineRule="auto"/>
              <w:jc w:val="both"/>
              <w:rPr>
                <w:rFonts w:ascii="Times New Roman" w:hAnsi="Times New Roman" w:cs="Times New Roman"/>
                <w:sz w:val="24"/>
                <w:szCs w:val="24"/>
              </w:rPr>
            </w:pPr>
            <w:r w:rsidRPr="00B22C79">
              <w:rPr>
                <w:rFonts w:ascii="Times New Roman" w:hAnsi="Times New Roman" w:cs="Times New Roman"/>
                <w:sz w:val="24"/>
                <w:szCs w:val="24"/>
              </w:rPr>
              <w:t>3.</w:t>
            </w:r>
          </w:p>
        </w:tc>
        <w:tc>
          <w:tcPr>
            <w:tcW w:w="1679" w:type="pct"/>
            <w:tcBorders>
              <w:top w:val="outset" w:sz="6" w:space="0" w:color="auto"/>
              <w:left w:val="outset" w:sz="6" w:space="0" w:color="auto"/>
              <w:bottom w:val="outset" w:sz="6" w:space="0" w:color="auto"/>
              <w:right w:val="outset" w:sz="6" w:space="0" w:color="auto"/>
            </w:tcBorders>
          </w:tcPr>
          <w:p w14:paraId="2CFD6F9F" w14:textId="77777777" w:rsidR="006D5050" w:rsidRPr="00B22C79" w:rsidRDefault="006D5050" w:rsidP="008D3372">
            <w:pPr>
              <w:spacing w:after="0" w:line="240" w:lineRule="auto"/>
              <w:jc w:val="both"/>
              <w:rPr>
                <w:rFonts w:ascii="Times New Roman" w:hAnsi="Times New Roman" w:cs="Times New Roman"/>
                <w:sz w:val="24"/>
                <w:szCs w:val="24"/>
              </w:rPr>
            </w:pPr>
            <w:r w:rsidRPr="00B22C79">
              <w:rPr>
                <w:rFonts w:ascii="Times New Roman" w:hAnsi="Times New Roman" w:cs="Times New Roman"/>
                <w:sz w:val="24"/>
                <w:szCs w:val="24"/>
              </w:rPr>
              <w:t>Sabiedrības līdzdalības rezultāti</w:t>
            </w:r>
          </w:p>
        </w:tc>
        <w:tc>
          <w:tcPr>
            <w:tcW w:w="2973" w:type="pct"/>
            <w:tcBorders>
              <w:top w:val="outset" w:sz="6" w:space="0" w:color="auto"/>
              <w:left w:val="outset" w:sz="6" w:space="0" w:color="auto"/>
              <w:bottom w:val="outset" w:sz="6" w:space="0" w:color="auto"/>
              <w:right w:val="outset" w:sz="6" w:space="0" w:color="auto"/>
            </w:tcBorders>
          </w:tcPr>
          <w:p w14:paraId="11AFF3CB" w14:textId="7553FBC3" w:rsidR="006D5050" w:rsidRPr="00B22C79" w:rsidRDefault="008D3372" w:rsidP="008D3372">
            <w:pPr>
              <w:spacing w:after="0" w:line="240" w:lineRule="auto"/>
              <w:ind w:left="168"/>
              <w:jc w:val="both"/>
              <w:rPr>
                <w:rFonts w:ascii="Times New Roman" w:hAnsi="Times New Roman" w:cs="Times New Roman"/>
                <w:sz w:val="24"/>
                <w:szCs w:val="24"/>
              </w:rPr>
            </w:pPr>
            <w:r>
              <w:rPr>
                <w:rFonts w:ascii="Times New Roman" w:eastAsia="Arial Unicode MS" w:hAnsi="Times New Roman" w:cs="Times New Roman"/>
                <w:sz w:val="24"/>
                <w:szCs w:val="24"/>
              </w:rPr>
              <w:t>Noteikumu p</w:t>
            </w:r>
            <w:r w:rsidRPr="00B22C79">
              <w:rPr>
                <w:rFonts w:ascii="Times New Roman" w:eastAsia="Arial Unicode MS" w:hAnsi="Times New Roman" w:cs="Times New Roman"/>
                <w:sz w:val="24"/>
                <w:szCs w:val="24"/>
              </w:rPr>
              <w:t xml:space="preserve">rojekts </w:t>
            </w:r>
            <w:r w:rsidR="006D5050" w:rsidRPr="00B22C79">
              <w:rPr>
                <w:rFonts w:ascii="Times New Roman" w:eastAsia="Arial Unicode MS" w:hAnsi="Times New Roman" w:cs="Times New Roman"/>
                <w:sz w:val="24"/>
                <w:szCs w:val="24"/>
              </w:rPr>
              <w:t>šo jomu neskar.</w:t>
            </w:r>
          </w:p>
        </w:tc>
      </w:tr>
      <w:tr w:rsidR="006D5050" w:rsidRPr="00B22C79" w14:paraId="241DCA72" w14:textId="77777777" w:rsidTr="008D3372">
        <w:trPr>
          <w:trHeight w:val="277"/>
          <w:tblCellSpacing w:w="15" w:type="dxa"/>
        </w:trPr>
        <w:tc>
          <w:tcPr>
            <w:tcW w:w="282" w:type="pct"/>
            <w:tcBorders>
              <w:top w:val="outset" w:sz="6" w:space="0" w:color="auto"/>
              <w:left w:val="outset" w:sz="6" w:space="0" w:color="auto"/>
              <w:bottom w:val="outset" w:sz="6" w:space="0" w:color="auto"/>
              <w:right w:val="outset" w:sz="6" w:space="0" w:color="auto"/>
            </w:tcBorders>
          </w:tcPr>
          <w:p w14:paraId="7553FC7B" w14:textId="77777777" w:rsidR="006D5050" w:rsidRPr="00B22C79" w:rsidRDefault="006D5050" w:rsidP="008D3372">
            <w:pPr>
              <w:spacing w:after="0" w:line="240" w:lineRule="auto"/>
              <w:jc w:val="both"/>
              <w:rPr>
                <w:rFonts w:ascii="Times New Roman" w:hAnsi="Times New Roman" w:cs="Times New Roman"/>
                <w:sz w:val="24"/>
                <w:szCs w:val="24"/>
              </w:rPr>
            </w:pPr>
            <w:r w:rsidRPr="00B22C79">
              <w:rPr>
                <w:rFonts w:ascii="Times New Roman" w:hAnsi="Times New Roman" w:cs="Times New Roman"/>
                <w:sz w:val="24"/>
                <w:szCs w:val="24"/>
              </w:rPr>
              <w:t>4.</w:t>
            </w:r>
          </w:p>
        </w:tc>
        <w:tc>
          <w:tcPr>
            <w:tcW w:w="1679" w:type="pct"/>
            <w:tcBorders>
              <w:top w:val="outset" w:sz="6" w:space="0" w:color="auto"/>
              <w:left w:val="outset" w:sz="6" w:space="0" w:color="auto"/>
              <w:bottom w:val="outset" w:sz="6" w:space="0" w:color="auto"/>
              <w:right w:val="outset" w:sz="6" w:space="0" w:color="auto"/>
            </w:tcBorders>
          </w:tcPr>
          <w:p w14:paraId="509D8E27" w14:textId="77777777" w:rsidR="006D5050" w:rsidRPr="00B22C79" w:rsidRDefault="006D5050" w:rsidP="008D3372">
            <w:pPr>
              <w:spacing w:after="0" w:line="240" w:lineRule="auto"/>
              <w:jc w:val="both"/>
              <w:rPr>
                <w:rFonts w:ascii="Times New Roman" w:hAnsi="Times New Roman" w:cs="Times New Roman"/>
                <w:sz w:val="24"/>
                <w:szCs w:val="24"/>
              </w:rPr>
            </w:pPr>
            <w:r w:rsidRPr="00B22C79">
              <w:rPr>
                <w:rFonts w:ascii="Times New Roman" w:hAnsi="Times New Roman" w:cs="Times New Roman"/>
                <w:sz w:val="24"/>
                <w:szCs w:val="24"/>
              </w:rPr>
              <w:t>Cita informācija</w:t>
            </w:r>
          </w:p>
          <w:p w14:paraId="3209FBF0" w14:textId="46D1AD40" w:rsidR="005B239D" w:rsidRPr="00B22C79" w:rsidRDefault="005B239D" w:rsidP="008D3372">
            <w:pPr>
              <w:jc w:val="both"/>
              <w:rPr>
                <w:rFonts w:ascii="Times New Roman" w:hAnsi="Times New Roman" w:cs="Times New Roman"/>
                <w:sz w:val="24"/>
                <w:szCs w:val="24"/>
              </w:rPr>
            </w:pPr>
          </w:p>
        </w:tc>
        <w:tc>
          <w:tcPr>
            <w:tcW w:w="2973" w:type="pct"/>
            <w:tcBorders>
              <w:top w:val="outset" w:sz="6" w:space="0" w:color="auto"/>
              <w:left w:val="outset" w:sz="6" w:space="0" w:color="auto"/>
              <w:bottom w:val="outset" w:sz="6" w:space="0" w:color="auto"/>
              <w:right w:val="outset" w:sz="6" w:space="0" w:color="auto"/>
            </w:tcBorders>
          </w:tcPr>
          <w:p w14:paraId="4412E667" w14:textId="5FE11F8A" w:rsidR="006D5050" w:rsidRPr="00D4077B" w:rsidRDefault="00321151" w:rsidP="008D3372">
            <w:pPr>
              <w:spacing w:after="0" w:line="240" w:lineRule="auto"/>
              <w:ind w:left="168"/>
              <w:jc w:val="both"/>
              <w:rPr>
                <w:rFonts w:ascii="Times New Roman" w:hAnsi="Times New Roman" w:cs="Times New Roman"/>
                <w:sz w:val="24"/>
                <w:szCs w:val="24"/>
              </w:rPr>
            </w:pPr>
            <w:r>
              <w:rPr>
                <w:rFonts w:ascii="Times New Roman" w:hAnsi="Times New Roman" w:cs="Times New Roman"/>
                <w:sz w:val="24"/>
                <w:szCs w:val="24"/>
              </w:rPr>
              <w:t>Nav</w:t>
            </w:r>
          </w:p>
        </w:tc>
      </w:tr>
    </w:tbl>
    <w:p w14:paraId="74638E63" w14:textId="58569553" w:rsidR="006D5050" w:rsidRPr="00B22C79" w:rsidRDefault="008D3372" w:rsidP="00E57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tbl>
      <w:tblPr>
        <w:tblW w:w="9072" w:type="dxa"/>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28" w:type="dxa"/>
          <w:bottom w:w="28" w:type="dxa"/>
          <w:right w:w="28" w:type="dxa"/>
        </w:tblCellMar>
        <w:tblLook w:val="0000" w:firstRow="0" w:lastRow="0" w:firstColumn="0" w:lastColumn="0" w:noHBand="0" w:noVBand="0"/>
      </w:tblPr>
      <w:tblGrid>
        <w:gridCol w:w="527"/>
        <w:gridCol w:w="3245"/>
        <w:gridCol w:w="5300"/>
      </w:tblGrid>
      <w:tr w:rsidR="006D5050" w:rsidRPr="00B22C79" w14:paraId="6A1CBD8E" w14:textId="77777777" w:rsidTr="00D4077B">
        <w:trPr>
          <w:trHeight w:val="381"/>
          <w:tblCellSpacing w:w="20" w:type="dxa"/>
        </w:trPr>
        <w:tc>
          <w:tcPr>
            <w:tcW w:w="8992" w:type="dxa"/>
            <w:gridSpan w:val="3"/>
            <w:vAlign w:val="center"/>
          </w:tcPr>
          <w:p w14:paraId="2A5A6D38" w14:textId="77777777" w:rsidR="006D5050" w:rsidRPr="00B22C79" w:rsidRDefault="006D5050" w:rsidP="00E579A1">
            <w:pPr>
              <w:pStyle w:val="naisnod"/>
              <w:spacing w:before="0" w:beforeAutospacing="0" w:after="0" w:afterAutospacing="0"/>
              <w:ind w:left="57" w:right="57"/>
              <w:jc w:val="both"/>
              <w:rPr>
                <w:b/>
              </w:rPr>
            </w:pPr>
            <w:r w:rsidRPr="00B22C79">
              <w:rPr>
                <w:b/>
              </w:rPr>
              <w:t>VII. Tiesību akta projekta izpildes nodrošināšana un tās ietekme uz institūcijām</w:t>
            </w:r>
          </w:p>
        </w:tc>
      </w:tr>
      <w:tr w:rsidR="00D4077B" w:rsidRPr="00B22C79" w14:paraId="66F70CBE" w14:textId="77777777" w:rsidTr="00D4077B">
        <w:trPr>
          <w:trHeight w:val="427"/>
          <w:tblCellSpacing w:w="20" w:type="dxa"/>
        </w:trPr>
        <w:tc>
          <w:tcPr>
            <w:tcW w:w="467" w:type="dxa"/>
          </w:tcPr>
          <w:p w14:paraId="6BA0E3F9" w14:textId="77777777" w:rsidR="00D4077B" w:rsidRPr="00B22C79" w:rsidRDefault="00D4077B" w:rsidP="00D4077B">
            <w:pPr>
              <w:pStyle w:val="naisnod"/>
              <w:spacing w:before="0" w:beforeAutospacing="0" w:after="0" w:afterAutospacing="0"/>
              <w:ind w:left="57" w:right="57"/>
              <w:jc w:val="both"/>
            </w:pPr>
            <w:r w:rsidRPr="00B22C79">
              <w:t xml:space="preserve">1. </w:t>
            </w:r>
          </w:p>
        </w:tc>
        <w:tc>
          <w:tcPr>
            <w:tcW w:w="3205" w:type="dxa"/>
          </w:tcPr>
          <w:p w14:paraId="1656BD2C" w14:textId="77777777" w:rsidR="00D4077B" w:rsidRPr="00B22C79" w:rsidRDefault="00D4077B" w:rsidP="00D4077B">
            <w:pPr>
              <w:pStyle w:val="naisf"/>
              <w:spacing w:before="0" w:beforeAutospacing="0" w:after="0" w:afterAutospacing="0"/>
              <w:ind w:left="57" w:right="57"/>
              <w:rPr>
                <w:lang w:val="lv-LV"/>
              </w:rPr>
            </w:pPr>
            <w:r w:rsidRPr="00B22C79">
              <w:rPr>
                <w:lang w:val="lv-LV"/>
              </w:rPr>
              <w:t>Projekta izpildē iesaistītās institūcijas</w:t>
            </w:r>
          </w:p>
        </w:tc>
        <w:tc>
          <w:tcPr>
            <w:tcW w:w="5240" w:type="dxa"/>
          </w:tcPr>
          <w:p w14:paraId="18A40240" w14:textId="28C1D735" w:rsidR="00D4077B" w:rsidRPr="00B22C79" w:rsidRDefault="00B05EDE" w:rsidP="00C12CE8">
            <w:pPr>
              <w:pStyle w:val="naiskr"/>
              <w:spacing w:before="0" w:beforeAutospacing="0" w:after="0" w:afterAutospacing="0"/>
              <w:ind w:left="129" w:right="57" w:firstLine="1"/>
              <w:jc w:val="both"/>
            </w:pPr>
            <w:bookmarkStart w:id="3" w:name="p66"/>
            <w:bookmarkStart w:id="4" w:name="p67"/>
            <w:bookmarkStart w:id="5" w:name="p68"/>
            <w:bookmarkStart w:id="6" w:name="p69"/>
            <w:bookmarkEnd w:id="3"/>
            <w:bookmarkEnd w:id="4"/>
            <w:bookmarkEnd w:id="5"/>
            <w:bookmarkEnd w:id="6"/>
            <w:r w:rsidRPr="00D10357">
              <w:t>Slimību profilakses un kontroles centrs</w:t>
            </w:r>
          </w:p>
        </w:tc>
      </w:tr>
      <w:tr w:rsidR="00D4077B" w:rsidRPr="00B22C79" w14:paraId="4AADE430" w14:textId="77777777" w:rsidTr="00D4077B">
        <w:trPr>
          <w:trHeight w:val="463"/>
          <w:tblCellSpacing w:w="20" w:type="dxa"/>
        </w:trPr>
        <w:tc>
          <w:tcPr>
            <w:tcW w:w="467" w:type="dxa"/>
          </w:tcPr>
          <w:p w14:paraId="2EB0B768" w14:textId="77777777" w:rsidR="00D4077B" w:rsidRPr="00B22C79" w:rsidRDefault="00D4077B" w:rsidP="00D4077B">
            <w:pPr>
              <w:pStyle w:val="naisnod"/>
              <w:spacing w:before="0" w:beforeAutospacing="0" w:after="0" w:afterAutospacing="0"/>
              <w:ind w:left="57" w:right="57"/>
              <w:jc w:val="both"/>
            </w:pPr>
            <w:r w:rsidRPr="00B22C79">
              <w:t xml:space="preserve">2. </w:t>
            </w:r>
          </w:p>
        </w:tc>
        <w:tc>
          <w:tcPr>
            <w:tcW w:w="3205" w:type="dxa"/>
          </w:tcPr>
          <w:p w14:paraId="4C78D737" w14:textId="77E2E334" w:rsidR="00D4077B" w:rsidRPr="00B22C79" w:rsidRDefault="00D4077B" w:rsidP="00D4077B">
            <w:pPr>
              <w:pStyle w:val="naisf"/>
              <w:spacing w:before="0" w:beforeAutospacing="0" w:after="0" w:afterAutospacing="0"/>
              <w:ind w:left="57" w:right="57"/>
              <w:rPr>
                <w:lang w:val="lv-LV"/>
              </w:rPr>
            </w:pPr>
            <w:r w:rsidRPr="00B22C79">
              <w:rPr>
                <w:lang w:val="lv-LV"/>
              </w:rPr>
              <w:t xml:space="preserve">Projekta izpildes ietekme uz pārvaldes funkcijām un institucionālo struktūru. </w:t>
            </w:r>
          </w:p>
          <w:p w14:paraId="52E528EE" w14:textId="77777777" w:rsidR="00D4077B" w:rsidRPr="00B22C79" w:rsidRDefault="00D4077B" w:rsidP="00D4077B">
            <w:pPr>
              <w:pStyle w:val="naisf"/>
              <w:spacing w:before="0" w:beforeAutospacing="0" w:after="0" w:afterAutospacing="0"/>
              <w:ind w:left="57" w:right="57"/>
              <w:rPr>
                <w:lang w:val="lv-LV"/>
              </w:rPr>
            </w:pPr>
            <w:r w:rsidRPr="00B22C79">
              <w:rPr>
                <w:lang w:val="lv-LV"/>
              </w:rPr>
              <w:t>Jaunu institūciju izveide, esošu institūciju likvidācija vai reorga</w:t>
            </w:r>
            <w:r w:rsidRPr="00B22C79">
              <w:rPr>
                <w:lang w:val="lv-LV"/>
              </w:rPr>
              <w:softHyphen/>
              <w:t>nizācija, to ietekme uz institūcijas cilvēkresursiem</w:t>
            </w:r>
          </w:p>
        </w:tc>
        <w:tc>
          <w:tcPr>
            <w:tcW w:w="5240" w:type="dxa"/>
          </w:tcPr>
          <w:p w14:paraId="3C600508" w14:textId="28BD0A89" w:rsidR="00CE1A37" w:rsidRPr="004138FE" w:rsidRDefault="008D3372" w:rsidP="005E2D18">
            <w:pPr>
              <w:pStyle w:val="NoSpacing"/>
              <w:numPr>
                <w:ilvl w:val="0"/>
                <w:numId w:val="0"/>
              </w:numPr>
              <w:ind w:left="360" w:hanging="360"/>
              <w:rPr>
                <w:b/>
                <w:bCs/>
              </w:rPr>
            </w:pPr>
            <w:r>
              <w:rPr>
                <w:rFonts w:eastAsia="Arial Unicode MS"/>
              </w:rPr>
              <w:t>Noteikumu p</w:t>
            </w:r>
            <w:r w:rsidRPr="00B22C79">
              <w:rPr>
                <w:rFonts w:eastAsia="Arial Unicode MS"/>
              </w:rPr>
              <w:t xml:space="preserve">rojekts </w:t>
            </w:r>
            <w:r w:rsidR="005E2D18">
              <w:rPr>
                <w:rFonts w:eastAsia="Arial Unicode MS"/>
              </w:rPr>
              <w:t>ne</w:t>
            </w:r>
            <w:r w:rsidR="00B05EDE" w:rsidRPr="00D10357">
              <w:t>paredz jaun</w:t>
            </w:r>
            <w:r w:rsidR="00C12CE8">
              <w:t>a</w:t>
            </w:r>
            <w:r w:rsidR="00B05EDE" w:rsidRPr="00D10357">
              <w:t xml:space="preserve"> papildu uzdevum</w:t>
            </w:r>
            <w:r w:rsidR="00C12CE8">
              <w:t>a</w:t>
            </w:r>
            <w:r w:rsidR="00B05EDE" w:rsidRPr="00D10357">
              <w:t xml:space="preserve"> veikšanu</w:t>
            </w:r>
            <w:r w:rsidR="00C12CE8">
              <w:t xml:space="preserve"> </w:t>
            </w:r>
            <w:r w:rsidR="00B05EDE" w:rsidRPr="00D10357">
              <w:t>Slimību profilakses un kontroles centram.</w:t>
            </w:r>
          </w:p>
        </w:tc>
      </w:tr>
      <w:tr w:rsidR="006D5050" w:rsidRPr="00B22C79" w14:paraId="45E68A5D" w14:textId="77777777" w:rsidTr="00D4077B">
        <w:trPr>
          <w:trHeight w:val="402"/>
          <w:tblCellSpacing w:w="20" w:type="dxa"/>
        </w:trPr>
        <w:tc>
          <w:tcPr>
            <w:tcW w:w="467" w:type="dxa"/>
          </w:tcPr>
          <w:p w14:paraId="0C17EEF1" w14:textId="77777777" w:rsidR="006D5050" w:rsidRPr="00B22C79" w:rsidRDefault="006D5050" w:rsidP="00E579A1">
            <w:pPr>
              <w:pStyle w:val="naisnod"/>
              <w:spacing w:before="0" w:beforeAutospacing="0" w:after="0" w:afterAutospacing="0"/>
              <w:ind w:left="57" w:right="57"/>
              <w:jc w:val="both"/>
            </w:pPr>
            <w:r w:rsidRPr="00B22C79">
              <w:lastRenderedPageBreak/>
              <w:t xml:space="preserve">3. </w:t>
            </w:r>
          </w:p>
        </w:tc>
        <w:tc>
          <w:tcPr>
            <w:tcW w:w="3205" w:type="dxa"/>
          </w:tcPr>
          <w:p w14:paraId="0D363D70" w14:textId="77777777" w:rsidR="006D5050" w:rsidRPr="00B22C79" w:rsidRDefault="006D5050" w:rsidP="00E579A1">
            <w:pPr>
              <w:pStyle w:val="naisf"/>
              <w:spacing w:before="0" w:beforeAutospacing="0" w:after="0" w:afterAutospacing="0"/>
              <w:ind w:left="57" w:right="57"/>
              <w:rPr>
                <w:lang w:val="lv-LV"/>
              </w:rPr>
            </w:pPr>
            <w:r w:rsidRPr="00B22C79">
              <w:rPr>
                <w:lang w:val="lv-LV"/>
              </w:rPr>
              <w:t>Cita informācija</w:t>
            </w:r>
          </w:p>
        </w:tc>
        <w:tc>
          <w:tcPr>
            <w:tcW w:w="5240" w:type="dxa"/>
          </w:tcPr>
          <w:p w14:paraId="74DFB9C4" w14:textId="15932FDC" w:rsidR="004138FE" w:rsidRPr="00CE1A37" w:rsidRDefault="00CE1A37" w:rsidP="00E579A1">
            <w:pPr>
              <w:pStyle w:val="naiskr"/>
              <w:spacing w:before="0" w:beforeAutospacing="0" w:after="0" w:afterAutospacing="0"/>
              <w:ind w:left="57" w:right="57" w:firstLine="284"/>
              <w:jc w:val="both"/>
            </w:pPr>
            <w:r w:rsidRPr="00CE1A37">
              <w:t>Nav</w:t>
            </w:r>
          </w:p>
        </w:tc>
      </w:tr>
    </w:tbl>
    <w:p w14:paraId="48CE2A96" w14:textId="77777777" w:rsidR="00CB25F8" w:rsidRPr="00B22C79" w:rsidRDefault="00CB25F8" w:rsidP="00E579A1">
      <w:pPr>
        <w:tabs>
          <w:tab w:val="right" w:pos="9356"/>
        </w:tabs>
        <w:spacing w:after="0" w:line="240" w:lineRule="auto"/>
        <w:ind w:right="49"/>
        <w:jc w:val="both"/>
        <w:rPr>
          <w:rFonts w:ascii="Times New Roman" w:eastAsia="Calibri" w:hAnsi="Times New Roman" w:cs="Times New Roman"/>
          <w:color w:val="000000" w:themeColor="text1"/>
          <w:sz w:val="16"/>
          <w:szCs w:val="16"/>
        </w:rPr>
      </w:pPr>
    </w:p>
    <w:p w14:paraId="18E287CA" w14:textId="77777777" w:rsidR="00ED5938" w:rsidRPr="00B22C79" w:rsidRDefault="00ED5938" w:rsidP="00E579A1">
      <w:pPr>
        <w:tabs>
          <w:tab w:val="right" w:pos="9356"/>
        </w:tabs>
        <w:spacing w:after="0" w:line="240" w:lineRule="auto"/>
        <w:ind w:right="49"/>
        <w:jc w:val="both"/>
        <w:rPr>
          <w:rFonts w:ascii="Times New Roman" w:eastAsia="Calibri" w:hAnsi="Times New Roman" w:cs="Times New Roman"/>
          <w:color w:val="000000" w:themeColor="text1"/>
          <w:sz w:val="28"/>
          <w:szCs w:val="28"/>
        </w:rPr>
      </w:pPr>
    </w:p>
    <w:p w14:paraId="7A9E2E8C" w14:textId="31946B7C" w:rsidR="00D01C06" w:rsidRPr="00B22C79" w:rsidRDefault="006D5050" w:rsidP="00E579A1">
      <w:pPr>
        <w:tabs>
          <w:tab w:val="right" w:pos="9356"/>
        </w:tabs>
        <w:spacing w:after="0" w:line="240" w:lineRule="auto"/>
        <w:ind w:right="49"/>
        <w:jc w:val="both"/>
        <w:rPr>
          <w:rFonts w:ascii="Times New Roman" w:eastAsia="Calibri" w:hAnsi="Times New Roman" w:cs="Times New Roman"/>
          <w:color w:val="000000" w:themeColor="text1"/>
          <w:sz w:val="28"/>
          <w:szCs w:val="28"/>
        </w:rPr>
      </w:pPr>
      <w:r w:rsidRPr="00B22C79">
        <w:rPr>
          <w:rFonts w:ascii="Times New Roman" w:eastAsia="Calibri" w:hAnsi="Times New Roman" w:cs="Times New Roman"/>
          <w:color w:val="000000" w:themeColor="text1"/>
          <w:sz w:val="28"/>
          <w:szCs w:val="28"/>
        </w:rPr>
        <w:t xml:space="preserve">Veselības ministre </w:t>
      </w:r>
      <w:r w:rsidRPr="00B22C79">
        <w:rPr>
          <w:rFonts w:ascii="Times New Roman" w:eastAsia="Calibri" w:hAnsi="Times New Roman" w:cs="Times New Roman"/>
          <w:color w:val="000000" w:themeColor="text1"/>
          <w:sz w:val="28"/>
          <w:szCs w:val="28"/>
        </w:rPr>
        <w:tab/>
      </w:r>
      <w:r w:rsidRPr="00B22C79">
        <w:rPr>
          <w:rFonts w:ascii="Times New Roman" w:hAnsi="Times New Roman" w:cs="Times New Roman"/>
          <w:sz w:val="28"/>
          <w:szCs w:val="28"/>
        </w:rPr>
        <w:t>I</w:t>
      </w:r>
      <w:r w:rsidR="0043737A" w:rsidRPr="00B22C79">
        <w:rPr>
          <w:rFonts w:ascii="Times New Roman" w:hAnsi="Times New Roman" w:cs="Times New Roman"/>
          <w:sz w:val="28"/>
          <w:szCs w:val="28"/>
        </w:rPr>
        <w:t>.</w:t>
      </w:r>
      <w:r w:rsidRPr="00B22C79">
        <w:rPr>
          <w:rFonts w:ascii="Times New Roman" w:hAnsi="Times New Roman" w:cs="Times New Roman"/>
          <w:sz w:val="28"/>
          <w:szCs w:val="28"/>
        </w:rPr>
        <w:t xml:space="preserve"> Viņķele</w:t>
      </w:r>
    </w:p>
    <w:p w14:paraId="0E7AF5C3" w14:textId="1885CAB9" w:rsidR="006C5D4A" w:rsidRPr="00B22C79" w:rsidRDefault="006C5D4A" w:rsidP="00E579A1">
      <w:pPr>
        <w:tabs>
          <w:tab w:val="right" w:pos="9356"/>
        </w:tabs>
        <w:spacing w:after="0" w:line="240" w:lineRule="auto"/>
        <w:ind w:right="49"/>
        <w:jc w:val="both"/>
        <w:rPr>
          <w:rFonts w:ascii="Times New Roman" w:eastAsia="Calibri" w:hAnsi="Times New Roman" w:cs="Times New Roman"/>
          <w:color w:val="000000" w:themeColor="text1"/>
          <w:sz w:val="28"/>
          <w:szCs w:val="28"/>
        </w:rPr>
      </w:pPr>
    </w:p>
    <w:p w14:paraId="5FBEE84E" w14:textId="77777777" w:rsidR="0043737A" w:rsidRPr="00B22C79" w:rsidRDefault="0043737A" w:rsidP="00E579A1">
      <w:pPr>
        <w:tabs>
          <w:tab w:val="right" w:pos="9356"/>
        </w:tabs>
        <w:spacing w:after="0" w:line="240" w:lineRule="auto"/>
        <w:ind w:right="49"/>
        <w:jc w:val="both"/>
        <w:rPr>
          <w:rFonts w:ascii="Times New Roman" w:eastAsia="Calibri" w:hAnsi="Times New Roman" w:cs="Times New Roman"/>
          <w:color w:val="000000" w:themeColor="text1"/>
          <w:sz w:val="28"/>
          <w:szCs w:val="28"/>
        </w:rPr>
      </w:pPr>
    </w:p>
    <w:p w14:paraId="634453CD" w14:textId="752B4869" w:rsidR="00D01C06" w:rsidRPr="00B22C79" w:rsidRDefault="006D5050" w:rsidP="00E579A1">
      <w:pPr>
        <w:tabs>
          <w:tab w:val="right" w:pos="9356"/>
        </w:tabs>
        <w:spacing w:after="0" w:line="240" w:lineRule="auto"/>
        <w:ind w:right="49"/>
        <w:jc w:val="both"/>
        <w:rPr>
          <w:rFonts w:ascii="Times New Roman" w:eastAsia="Calibri" w:hAnsi="Times New Roman" w:cs="Times New Roman"/>
          <w:color w:val="000000" w:themeColor="text1"/>
          <w:sz w:val="28"/>
          <w:szCs w:val="28"/>
        </w:rPr>
      </w:pPr>
      <w:r w:rsidRPr="00B22C79">
        <w:rPr>
          <w:rFonts w:ascii="Times New Roman" w:eastAsia="Calibri" w:hAnsi="Times New Roman" w:cs="Times New Roman"/>
          <w:color w:val="000000" w:themeColor="text1"/>
          <w:sz w:val="28"/>
          <w:szCs w:val="28"/>
        </w:rPr>
        <w:t>Vīza: Valsts sekretāre</w:t>
      </w:r>
      <w:r w:rsidRPr="00B22C79">
        <w:rPr>
          <w:rFonts w:ascii="Times New Roman" w:eastAsia="Calibri" w:hAnsi="Times New Roman" w:cs="Times New Roman"/>
          <w:color w:val="000000" w:themeColor="text1"/>
          <w:sz w:val="28"/>
          <w:szCs w:val="28"/>
        </w:rPr>
        <w:tab/>
        <w:t>D</w:t>
      </w:r>
      <w:r w:rsidR="0043737A" w:rsidRPr="00B22C79">
        <w:rPr>
          <w:rFonts w:ascii="Times New Roman" w:eastAsia="Calibri" w:hAnsi="Times New Roman" w:cs="Times New Roman"/>
          <w:color w:val="000000" w:themeColor="text1"/>
          <w:sz w:val="28"/>
          <w:szCs w:val="28"/>
        </w:rPr>
        <w:t>.</w:t>
      </w:r>
      <w:r w:rsidRPr="00B22C79">
        <w:rPr>
          <w:rFonts w:ascii="Times New Roman" w:eastAsia="Calibri" w:hAnsi="Times New Roman" w:cs="Times New Roman"/>
          <w:color w:val="000000" w:themeColor="text1"/>
          <w:sz w:val="28"/>
          <w:szCs w:val="28"/>
        </w:rPr>
        <w:t xml:space="preserve"> </w:t>
      </w:r>
      <w:proofErr w:type="spellStart"/>
      <w:r w:rsidRPr="00B22C79">
        <w:rPr>
          <w:rFonts w:ascii="Times New Roman" w:eastAsia="Calibri" w:hAnsi="Times New Roman" w:cs="Times New Roman"/>
          <w:color w:val="000000" w:themeColor="text1"/>
          <w:sz w:val="28"/>
          <w:szCs w:val="28"/>
        </w:rPr>
        <w:t>Mūrmane</w:t>
      </w:r>
      <w:proofErr w:type="spellEnd"/>
      <w:r w:rsidRPr="00B22C79">
        <w:rPr>
          <w:rFonts w:ascii="Times New Roman" w:eastAsia="Calibri" w:hAnsi="Times New Roman" w:cs="Times New Roman"/>
          <w:color w:val="000000" w:themeColor="text1"/>
          <w:sz w:val="28"/>
          <w:szCs w:val="28"/>
        </w:rPr>
        <w:t xml:space="preserve"> - </w:t>
      </w:r>
      <w:proofErr w:type="spellStart"/>
      <w:r w:rsidRPr="00B22C79">
        <w:rPr>
          <w:rFonts w:ascii="Times New Roman" w:eastAsia="Calibri" w:hAnsi="Times New Roman" w:cs="Times New Roman"/>
          <w:color w:val="000000" w:themeColor="text1"/>
          <w:sz w:val="28"/>
          <w:szCs w:val="28"/>
        </w:rPr>
        <w:t>Umbraško</w:t>
      </w:r>
      <w:proofErr w:type="spellEnd"/>
    </w:p>
    <w:p w14:paraId="634A5435" w14:textId="77777777" w:rsidR="00B63DD5" w:rsidRPr="00B22C79" w:rsidRDefault="00B63DD5" w:rsidP="00E579A1">
      <w:pPr>
        <w:spacing w:after="0" w:line="240" w:lineRule="auto"/>
        <w:jc w:val="both"/>
        <w:rPr>
          <w:rFonts w:ascii="Times New Roman" w:hAnsi="Times New Roman" w:cs="Times New Roman"/>
          <w:sz w:val="24"/>
          <w:szCs w:val="24"/>
        </w:rPr>
      </w:pPr>
    </w:p>
    <w:p w14:paraId="62422065" w14:textId="77777777" w:rsidR="0042280A" w:rsidRDefault="0042280A" w:rsidP="00E579A1">
      <w:pPr>
        <w:spacing w:after="0" w:line="240" w:lineRule="auto"/>
        <w:jc w:val="both"/>
        <w:rPr>
          <w:rFonts w:ascii="Times New Roman" w:hAnsi="Times New Roman" w:cs="Times New Roman"/>
        </w:rPr>
      </w:pPr>
    </w:p>
    <w:p w14:paraId="73F3F6ED" w14:textId="77777777" w:rsidR="0042280A" w:rsidRDefault="0042280A" w:rsidP="00E579A1">
      <w:pPr>
        <w:spacing w:after="0" w:line="240" w:lineRule="auto"/>
        <w:jc w:val="both"/>
        <w:rPr>
          <w:rFonts w:ascii="Times New Roman" w:hAnsi="Times New Roman" w:cs="Times New Roman"/>
        </w:rPr>
      </w:pPr>
    </w:p>
    <w:p w14:paraId="61BF4707" w14:textId="77777777" w:rsidR="0042280A" w:rsidRDefault="0042280A" w:rsidP="00E579A1">
      <w:pPr>
        <w:spacing w:after="0" w:line="240" w:lineRule="auto"/>
        <w:jc w:val="both"/>
        <w:rPr>
          <w:rFonts w:ascii="Times New Roman" w:hAnsi="Times New Roman" w:cs="Times New Roman"/>
        </w:rPr>
      </w:pPr>
    </w:p>
    <w:p w14:paraId="73CB15E2" w14:textId="77777777" w:rsidR="0042280A" w:rsidRDefault="0042280A" w:rsidP="00E579A1">
      <w:pPr>
        <w:spacing w:after="0" w:line="240" w:lineRule="auto"/>
        <w:jc w:val="both"/>
        <w:rPr>
          <w:rFonts w:ascii="Times New Roman" w:hAnsi="Times New Roman" w:cs="Times New Roman"/>
        </w:rPr>
      </w:pPr>
    </w:p>
    <w:p w14:paraId="74E7F1EC" w14:textId="77777777" w:rsidR="0042280A" w:rsidRDefault="0042280A" w:rsidP="00E579A1">
      <w:pPr>
        <w:spacing w:after="0" w:line="240" w:lineRule="auto"/>
        <w:jc w:val="both"/>
        <w:rPr>
          <w:rFonts w:ascii="Times New Roman" w:hAnsi="Times New Roman" w:cs="Times New Roman"/>
        </w:rPr>
      </w:pPr>
    </w:p>
    <w:p w14:paraId="7BFF1485" w14:textId="77777777" w:rsidR="0042280A" w:rsidRDefault="0042280A" w:rsidP="00E579A1">
      <w:pPr>
        <w:spacing w:after="0" w:line="240" w:lineRule="auto"/>
        <w:jc w:val="both"/>
        <w:rPr>
          <w:rFonts w:ascii="Times New Roman" w:hAnsi="Times New Roman" w:cs="Times New Roman"/>
        </w:rPr>
      </w:pPr>
    </w:p>
    <w:p w14:paraId="7181A084" w14:textId="77777777" w:rsidR="0042280A" w:rsidRDefault="0042280A" w:rsidP="00E579A1">
      <w:pPr>
        <w:spacing w:after="0" w:line="240" w:lineRule="auto"/>
        <w:jc w:val="both"/>
        <w:rPr>
          <w:rFonts w:ascii="Times New Roman" w:hAnsi="Times New Roman" w:cs="Times New Roman"/>
        </w:rPr>
      </w:pPr>
    </w:p>
    <w:p w14:paraId="06193247" w14:textId="77777777" w:rsidR="0042280A" w:rsidRDefault="0042280A" w:rsidP="00E579A1">
      <w:pPr>
        <w:spacing w:after="0" w:line="240" w:lineRule="auto"/>
        <w:jc w:val="both"/>
        <w:rPr>
          <w:rFonts w:ascii="Times New Roman" w:hAnsi="Times New Roman" w:cs="Times New Roman"/>
        </w:rPr>
      </w:pPr>
    </w:p>
    <w:p w14:paraId="1CEB91B2" w14:textId="77777777" w:rsidR="0042280A" w:rsidRDefault="0042280A" w:rsidP="00E579A1">
      <w:pPr>
        <w:spacing w:after="0" w:line="240" w:lineRule="auto"/>
        <w:jc w:val="both"/>
        <w:rPr>
          <w:rFonts w:ascii="Times New Roman" w:hAnsi="Times New Roman" w:cs="Times New Roman"/>
        </w:rPr>
      </w:pPr>
    </w:p>
    <w:p w14:paraId="20933961" w14:textId="77777777" w:rsidR="0042280A" w:rsidRDefault="0042280A" w:rsidP="00E579A1">
      <w:pPr>
        <w:spacing w:after="0" w:line="240" w:lineRule="auto"/>
        <w:jc w:val="both"/>
        <w:rPr>
          <w:rFonts w:ascii="Times New Roman" w:hAnsi="Times New Roman" w:cs="Times New Roman"/>
        </w:rPr>
      </w:pPr>
    </w:p>
    <w:p w14:paraId="4CF4D062" w14:textId="77777777" w:rsidR="0042280A" w:rsidRDefault="0042280A" w:rsidP="00E579A1">
      <w:pPr>
        <w:spacing w:after="0" w:line="240" w:lineRule="auto"/>
        <w:jc w:val="both"/>
        <w:rPr>
          <w:rFonts w:ascii="Times New Roman" w:hAnsi="Times New Roman" w:cs="Times New Roman"/>
        </w:rPr>
      </w:pPr>
    </w:p>
    <w:p w14:paraId="62CEC625" w14:textId="77777777" w:rsidR="0042280A" w:rsidRDefault="0042280A" w:rsidP="00E579A1">
      <w:pPr>
        <w:spacing w:after="0" w:line="240" w:lineRule="auto"/>
        <w:jc w:val="both"/>
        <w:rPr>
          <w:rFonts w:ascii="Times New Roman" w:hAnsi="Times New Roman" w:cs="Times New Roman"/>
        </w:rPr>
      </w:pPr>
    </w:p>
    <w:p w14:paraId="41459B12" w14:textId="66EB0FEC" w:rsidR="00D01C06" w:rsidRPr="00B22C79" w:rsidRDefault="00B05EDE" w:rsidP="00E579A1">
      <w:pPr>
        <w:spacing w:after="0" w:line="240" w:lineRule="auto"/>
        <w:jc w:val="both"/>
        <w:rPr>
          <w:rFonts w:ascii="Times New Roman" w:hAnsi="Times New Roman" w:cs="Times New Roman"/>
        </w:rPr>
      </w:pPr>
      <w:proofErr w:type="spellStart"/>
      <w:r>
        <w:rPr>
          <w:rFonts w:ascii="Times New Roman" w:hAnsi="Times New Roman" w:cs="Times New Roman"/>
        </w:rPr>
        <w:t>I.Brūvere</w:t>
      </w:r>
      <w:proofErr w:type="spellEnd"/>
      <w:r>
        <w:rPr>
          <w:rFonts w:ascii="Times New Roman" w:hAnsi="Times New Roman" w:cs="Times New Roman"/>
        </w:rPr>
        <w:t xml:space="preserve">, </w:t>
      </w:r>
      <w:r w:rsidR="001F3AEB" w:rsidRPr="00B22C79">
        <w:rPr>
          <w:rFonts w:ascii="Times New Roman" w:hAnsi="Times New Roman" w:cs="Times New Roman"/>
        </w:rPr>
        <w:t>67876</w:t>
      </w:r>
      <w:r>
        <w:rPr>
          <w:rFonts w:ascii="Times New Roman" w:hAnsi="Times New Roman" w:cs="Times New Roman"/>
        </w:rPr>
        <w:t>06</w:t>
      </w:r>
      <w:r w:rsidR="001F3AEB" w:rsidRPr="00B22C79">
        <w:rPr>
          <w:rFonts w:ascii="Times New Roman" w:hAnsi="Times New Roman" w:cs="Times New Roman"/>
        </w:rPr>
        <w:t>1</w:t>
      </w:r>
    </w:p>
    <w:p w14:paraId="4572039E" w14:textId="6CB08215" w:rsidR="00D01C06" w:rsidRDefault="00F848B6" w:rsidP="00E579A1">
      <w:pPr>
        <w:spacing w:after="0" w:line="240" w:lineRule="auto"/>
        <w:jc w:val="both"/>
        <w:rPr>
          <w:rFonts w:ascii="Times New Roman" w:hAnsi="Times New Roman" w:cs="Times New Roman"/>
        </w:rPr>
      </w:pPr>
      <w:hyperlink r:id="rId11" w:history="1">
        <w:r w:rsidR="001B0E0D" w:rsidRPr="00B125F3">
          <w:rPr>
            <w:rStyle w:val="Hyperlink"/>
            <w:rFonts w:ascii="Times New Roman" w:hAnsi="Times New Roman" w:cs="Times New Roman"/>
          </w:rPr>
          <w:t>Ieva.Bruvere@vm.gov.lv</w:t>
        </w:r>
      </w:hyperlink>
    </w:p>
    <w:p w14:paraId="57C0E8DA" w14:textId="03B50470" w:rsidR="001B0E0D" w:rsidRDefault="001B0E0D" w:rsidP="00E579A1">
      <w:pPr>
        <w:spacing w:after="0" w:line="240" w:lineRule="auto"/>
        <w:jc w:val="both"/>
        <w:rPr>
          <w:rFonts w:ascii="Times New Roman" w:hAnsi="Times New Roman" w:cs="Times New Roman"/>
        </w:rPr>
      </w:pPr>
    </w:p>
    <w:p w14:paraId="776EFED9" w14:textId="32179ADB" w:rsidR="001B0E0D" w:rsidRDefault="006A3AB7" w:rsidP="00E579A1">
      <w:pPr>
        <w:spacing w:after="0" w:line="240" w:lineRule="auto"/>
        <w:jc w:val="both"/>
        <w:rPr>
          <w:rFonts w:ascii="Times New Roman" w:hAnsi="Times New Roman" w:cs="Times New Roman"/>
        </w:rPr>
      </w:pPr>
      <w:proofErr w:type="spellStart"/>
      <w:r>
        <w:rPr>
          <w:rFonts w:ascii="Times New Roman" w:hAnsi="Times New Roman" w:cs="Times New Roman"/>
        </w:rPr>
        <w:t>J.Jakobovičs</w:t>
      </w:r>
      <w:proofErr w:type="spellEnd"/>
      <w:r>
        <w:rPr>
          <w:rFonts w:ascii="Times New Roman" w:hAnsi="Times New Roman" w:cs="Times New Roman"/>
        </w:rPr>
        <w:t>, 67387674</w:t>
      </w:r>
    </w:p>
    <w:p w14:paraId="3FC58C44" w14:textId="08844ED6" w:rsidR="006A3AB7" w:rsidRPr="00B22C79" w:rsidRDefault="006A3AB7" w:rsidP="00E579A1">
      <w:pPr>
        <w:spacing w:after="0" w:line="240" w:lineRule="auto"/>
        <w:jc w:val="both"/>
        <w:rPr>
          <w:rFonts w:ascii="Times New Roman" w:hAnsi="Times New Roman" w:cs="Times New Roman"/>
        </w:rPr>
      </w:pPr>
      <w:r>
        <w:rPr>
          <w:rFonts w:ascii="Times New Roman" w:hAnsi="Times New Roman" w:cs="Times New Roman"/>
        </w:rPr>
        <w:t>Janis.Jakobovics@spkc.gov.lv</w:t>
      </w:r>
    </w:p>
    <w:sectPr w:rsidR="006A3AB7" w:rsidRPr="00B22C79" w:rsidSect="00ED5938">
      <w:headerReference w:type="default" r:id="rId12"/>
      <w:footerReference w:type="defaul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CEE61" w14:textId="77777777" w:rsidR="00F848B6" w:rsidRDefault="00F848B6">
      <w:pPr>
        <w:spacing w:after="0" w:line="240" w:lineRule="auto"/>
      </w:pPr>
      <w:r>
        <w:separator/>
      </w:r>
    </w:p>
  </w:endnote>
  <w:endnote w:type="continuationSeparator" w:id="0">
    <w:p w14:paraId="0E9AF9BE" w14:textId="77777777" w:rsidR="00F848B6" w:rsidRDefault="00F8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0548" w14:textId="32B727ED" w:rsidR="00015D52" w:rsidRPr="00B118C7" w:rsidRDefault="00015D52" w:rsidP="00162590">
    <w:pPr>
      <w:tabs>
        <w:tab w:val="center" w:pos="4153"/>
        <w:tab w:val="right" w:pos="8306"/>
      </w:tabs>
      <w:jc w:val="both"/>
      <w:rPr>
        <w:rFonts w:ascii="Times New Roman" w:hAnsi="Times New Roman" w:cs="Times New Roman"/>
        <w:sz w:val="20"/>
        <w:szCs w:val="20"/>
        <w:lang w:eastAsia="lv-LV"/>
      </w:rPr>
    </w:pPr>
    <w:r w:rsidRPr="00B118C7">
      <w:rPr>
        <w:rFonts w:ascii="Times New Roman" w:hAnsi="Times New Roman" w:cs="Times New Roman"/>
        <w:sz w:val="20"/>
        <w:szCs w:val="20"/>
        <w:lang w:eastAsia="lv-LV"/>
      </w:rPr>
      <w:t>VManot_</w:t>
    </w:r>
    <w:r w:rsidR="00D86155">
      <w:rPr>
        <w:rFonts w:ascii="Times New Roman" w:hAnsi="Times New Roman" w:cs="Times New Roman"/>
        <w:sz w:val="20"/>
        <w:szCs w:val="20"/>
        <w:lang w:eastAsia="lv-LV"/>
      </w:rPr>
      <w:t>02</w:t>
    </w:r>
    <w:r w:rsidR="0071664F">
      <w:rPr>
        <w:rFonts w:ascii="Times New Roman" w:hAnsi="Times New Roman" w:cs="Times New Roman"/>
        <w:sz w:val="20"/>
        <w:szCs w:val="20"/>
        <w:lang w:eastAsia="lv-LV"/>
      </w:rPr>
      <w:t>1</w:t>
    </w:r>
    <w:r w:rsidR="00D86155">
      <w:rPr>
        <w:rFonts w:ascii="Times New Roman" w:hAnsi="Times New Roman" w:cs="Times New Roman"/>
        <w:sz w:val="20"/>
        <w:szCs w:val="20"/>
        <w:lang w:eastAsia="lv-LV"/>
      </w:rPr>
      <w:t>2</w:t>
    </w:r>
    <w:r w:rsidR="00AF55D3" w:rsidRPr="00B118C7">
      <w:rPr>
        <w:rFonts w:ascii="Times New Roman" w:hAnsi="Times New Roman" w:cs="Times New Roman"/>
        <w:sz w:val="20"/>
        <w:szCs w:val="20"/>
        <w:lang w:eastAsia="lv-LV"/>
      </w:rPr>
      <w:t>20</w:t>
    </w:r>
    <w:r w:rsidRPr="00B118C7">
      <w:rPr>
        <w:rFonts w:ascii="Times New Roman" w:hAnsi="Times New Roman" w:cs="Times New Roman"/>
        <w:sz w:val="20"/>
        <w:szCs w:val="20"/>
        <w:lang w:eastAsia="lv-LV"/>
      </w:rPr>
      <w:t>_S</w:t>
    </w:r>
    <w:r w:rsidR="0071664F">
      <w:rPr>
        <w:rFonts w:ascii="Times New Roman" w:hAnsi="Times New Roman" w:cs="Times New Roman"/>
        <w:sz w:val="20"/>
        <w:szCs w:val="20"/>
        <w:lang w:eastAsia="lv-LV"/>
      </w:rPr>
      <w:t>PKC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A6D14" w14:textId="6659217F" w:rsidR="00015D52" w:rsidRPr="00B118C7" w:rsidRDefault="00015D52" w:rsidP="00494EA5">
    <w:pPr>
      <w:tabs>
        <w:tab w:val="center" w:pos="4153"/>
        <w:tab w:val="right" w:pos="8306"/>
      </w:tabs>
      <w:jc w:val="both"/>
      <w:rPr>
        <w:rFonts w:ascii="Times New Roman" w:hAnsi="Times New Roman" w:cs="Times New Roman"/>
        <w:sz w:val="20"/>
        <w:szCs w:val="20"/>
        <w:lang w:eastAsia="lv-LV"/>
      </w:rPr>
    </w:pPr>
    <w:r w:rsidRPr="00B118C7">
      <w:rPr>
        <w:rFonts w:ascii="Times New Roman" w:hAnsi="Times New Roman" w:cs="Times New Roman"/>
        <w:sz w:val="20"/>
        <w:szCs w:val="20"/>
        <w:lang w:eastAsia="lv-LV"/>
      </w:rPr>
      <w:t>VManot_</w:t>
    </w:r>
    <w:r w:rsidR="00D86155">
      <w:rPr>
        <w:rFonts w:ascii="Times New Roman" w:hAnsi="Times New Roman" w:cs="Times New Roman"/>
        <w:sz w:val="20"/>
        <w:szCs w:val="20"/>
        <w:lang w:eastAsia="lv-LV"/>
      </w:rPr>
      <w:t>02</w:t>
    </w:r>
    <w:r w:rsidR="0071664F">
      <w:rPr>
        <w:rFonts w:ascii="Times New Roman" w:hAnsi="Times New Roman" w:cs="Times New Roman"/>
        <w:sz w:val="20"/>
        <w:szCs w:val="20"/>
        <w:lang w:eastAsia="lv-LV"/>
      </w:rPr>
      <w:t>1</w:t>
    </w:r>
    <w:r w:rsidR="00D86155">
      <w:rPr>
        <w:rFonts w:ascii="Times New Roman" w:hAnsi="Times New Roman" w:cs="Times New Roman"/>
        <w:sz w:val="20"/>
        <w:szCs w:val="20"/>
        <w:lang w:eastAsia="lv-LV"/>
      </w:rPr>
      <w:t>2</w:t>
    </w:r>
    <w:r w:rsidR="00A003CB" w:rsidRPr="00B118C7">
      <w:rPr>
        <w:rFonts w:ascii="Times New Roman" w:hAnsi="Times New Roman" w:cs="Times New Roman"/>
        <w:sz w:val="20"/>
        <w:szCs w:val="20"/>
        <w:lang w:eastAsia="lv-LV"/>
      </w:rPr>
      <w:t>20</w:t>
    </w:r>
    <w:r w:rsidRPr="00B118C7">
      <w:rPr>
        <w:rFonts w:ascii="Times New Roman" w:hAnsi="Times New Roman" w:cs="Times New Roman"/>
        <w:sz w:val="20"/>
        <w:szCs w:val="20"/>
        <w:lang w:eastAsia="lv-LV"/>
      </w:rPr>
      <w:t>_S</w:t>
    </w:r>
    <w:r w:rsidR="0071664F">
      <w:rPr>
        <w:rFonts w:ascii="Times New Roman" w:hAnsi="Times New Roman" w:cs="Times New Roman"/>
        <w:sz w:val="20"/>
        <w:szCs w:val="20"/>
        <w:lang w:eastAsia="lv-LV"/>
      </w:rPr>
      <w:t>PKC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C1E62" w14:textId="77777777" w:rsidR="00F848B6" w:rsidRDefault="00F848B6" w:rsidP="00894C55">
      <w:pPr>
        <w:spacing w:after="0" w:line="240" w:lineRule="auto"/>
      </w:pPr>
      <w:r>
        <w:separator/>
      </w:r>
    </w:p>
  </w:footnote>
  <w:footnote w:type="continuationSeparator" w:id="0">
    <w:p w14:paraId="1D3B9547" w14:textId="77777777" w:rsidR="00F848B6" w:rsidRDefault="00F848B6"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322568"/>
      <w:docPartObj>
        <w:docPartGallery w:val="Page Numbers (Top of Page)"/>
        <w:docPartUnique/>
      </w:docPartObj>
    </w:sdtPr>
    <w:sdtEndPr>
      <w:rPr>
        <w:rFonts w:ascii="Times New Roman" w:hAnsi="Times New Roman" w:cs="Times New Roman"/>
        <w:noProof/>
        <w:sz w:val="24"/>
        <w:szCs w:val="20"/>
      </w:rPr>
    </w:sdtEndPr>
    <w:sdtContent>
      <w:p w14:paraId="76BEEE56" w14:textId="4E1002B1" w:rsidR="00015D52" w:rsidRPr="00C25B49" w:rsidRDefault="00015D52">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19</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C0A16"/>
    <w:multiLevelType w:val="multilevel"/>
    <w:tmpl w:val="0426001F"/>
    <w:lvl w:ilvl="0">
      <w:start w:val="1"/>
      <w:numFmt w:val="decimal"/>
      <w:lvlText w:val="%1."/>
      <w:lvlJc w:val="left"/>
      <w:pPr>
        <w:ind w:left="243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DC63E7"/>
    <w:multiLevelType w:val="hybridMultilevel"/>
    <w:tmpl w:val="D666B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A296E"/>
    <w:multiLevelType w:val="hybridMultilevel"/>
    <w:tmpl w:val="0C3818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FB7B8F"/>
    <w:multiLevelType w:val="hybridMultilevel"/>
    <w:tmpl w:val="A7C0EA9A"/>
    <w:lvl w:ilvl="0" w:tplc="DE6A05D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6D4A5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244948"/>
    <w:multiLevelType w:val="hybridMultilevel"/>
    <w:tmpl w:val="E75A1EE8"/>
    <w:lvl w:ilvl="0" w:tplc="9FE21884">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1">
    <w:nsid w:val="426D229C"/>
    <w:multiLevelType w:val="multilevel"/>
    <w:tmpl w:val="0FFEDE44"/>
    <w:lvl w:ilvl="0">
      <w:start w:val="1"/>
      <w:numFmt w:val="decimal"/>
      <w:pStyle w:val="NoSpacing"/>
      <w:lvlText w:val="%1."/>
      <w:lvlJc w:val="left"/>
      <w:pPr>
        <w:ind w:left="360" w:hanging="360"/>
      </w:pPr>
      <w:rPr>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4A1F76"/>
    <w:multiLevelType w:val="hybridMultilevel"/>
    <w:tmpl w:val="3AAC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5079C"/>
    <w:multiLevelType w:val="hybridMultilevel"/>
    <w:tmpl w:val="2E50FEAA"/>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68944B3A"/>
    <w:multiLevelType w:val="hybridMultilevel"/>
    <w:tmpl w:val="15F6F200"/>
    <w:lvl w:ilvl="0" w:tplc="AA064AF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10" w15:restartNumberingAfterBreak="0">
    <w:nsid w:val="69693ADC"/>
    <w:multiLevelType w:val="hybridMultilevel"/>
    <w:tmpl w:val="70A0292C"/>
    <w:lvl w:ilvl="0" w:tplc="E004A162">
      <w:start w:val="1"/>
      <w:numFmt w:val="decimal"/>
      <w:lvlText w:val="%1)"/>
      <w:lvlJc w:val="left"/>
      <w:pPr>
        <w:ind w:left="694" w:hanging="360"/>
      </w:pPr>
      <w:rPr>
        <w:rFonts w:ascii="Times New Roman" w:hAnsi="Times New Roman" w:cs="Times New Roman" w:hint="default"/>
        <w:i w:val="0"/>
      </w:rPr>
    </w:lvl>
    <w:lvl w:ilvl="1" w:tplc="04260019" w:tentative="1">
      <w:start w:val="1"/>
      <w:numFmt w:val="lowerLetter"/>
      <w:lvlText w:val="%2."/>
      <w:lvlJc w:val="left"/>
      <w:pPr>
        <w:ind w:left="1414" w:hanging="360"/>
      </w:pPr>
    </w:lvl>
    <w:lvl w:ilvl="2" w:tplc="0426001B" w:tentative="1">
      <w:start w:val="1"/>
      <w:numFmt w:val="lowerRoman"/>
      <w:lvlText w:val="%3."/>
      <w:lvlJc w:val="right"/>
      <w:pPr>
        <w:ind w:left="2134" w:hanging="180"/>
      </w:pPr>
    </w:lvl>
    <w:lvl w:ilvl="3" w:tplc="0426000F" w:tentative="1">
      <w:start w:val="1"/>
      <w:numFmt w:val="decimal"/>
      <w:lvlText w:val="%4."/>
      <w:lvlJc w:val="left"/>
      <w:pPr>
        <w:ind w:left="2854" w:hanging="360"/>
      </w:pPr>
    </w:lvl>
    <w:lvl w:ilvl="4" w:tplc="04260019" w:tentative="1">
      <w:start w:val="1"/>
      <w:numFmt w:val="lowerLetter"/>
      <w:lvlText w:val="%5."/>
      <w:lvlJc w:val="left"/>
      <w:pPr>
        <w:ind w:left="3574" w:hanging="360"/>
      </w:pPr>
    </w:lvl>
    <w:lvl w:ilvl="5" w:tplc="0426001B" w:tentative="1">
      <w:start w:val="1"/>
      <w:numFmt w:val="lowerRoman"/>
      <w:lvlText w:val="%6."/>
      <w:lvlJc w:val="right"/>
      <w:pPr>
        <w:ind w:left="4294" w:hanging="180"/>
      </w:pPr>
    </w:lvl>
    <w:lvl w:ilvl="6" w:tplc="0426000F" w:tentative="1">
      <w:start w:val="1"/>
      <w:numFmt w:val="decimal"/>
      <w:lvlText w:val="%7."/>
      <w:lvlJc w:val="left"/>
      <w:pPr>
        <w:ind w:left="5014" w:hanging="360"/>
      </w:pPr>
    </w:lvl>
    <w:lvl w:ilvl="7" w:tplc="04260019" w:tentative="1">
      <w:start w:val="1"/>
      <w:numFmt w:val="lowerLetter"/>
      <w:lvlText w:val="%8."/>
      <w:lvlJc w:val="left"/>
      <w:pPr>
        <w:ind w:left="5734" w:hanging="360"/>
      </w:pPr>
    </w:lvl>
    <w:lvl w:ilvl="8" w:tplc="0426001B" w:tentative="1">
      <w:start w:val="1"/>
      <w:numFmt w:val="lowerRoman"/>
      <w:lvlText w:val="%9."/>
      <w:lvlJc w:val="right"/>
      <w:pPr>
        <w:ind w:left="6454" w:hanging="180"/>
      </w:pPr>
    </w:lvl>
  </w:abstractNum>
  <w:abstractNum w:abstractNumId="11" w15:restartNumberingAfterBreak="0">
    <w:nsid w:val="764C1A82"/>
    <w:multiLevelType w:val="hybridMultilevel"/>
    <w:tmpl w:val="9A44C896"/>
    <w:lvl w:ilvl="0" w:tplc="04260005">
      <w:start w:val="1"/>
      <w:numFmt w:val="bullet"/>
      <w:lvlText w:val=""/>
      <w:lvlJc w:val="left"/>
      <w:pPr>
        <w:ind w:left="1061" w:hanging="360"/>
      </w:pPr>
      <w:rPr>
        <w:rFonts w:ascii="Wingdings" w:hAnsi="Wingdings" w:hint="default"/>
      </w:rPr>
    </w:lvl>
    <w:lvl w:ilvl="1" w:tplc="04260005">
      <w:start w:val="1"/>
      <w:numFmt w:val="bullet"/>
      <w:lvlText w:val=""/>
      <w:lvlJc w:val="left"/>
      <w:pPr>
        <w:ind w:left="1781" w:hanging="360"/>
      </w:pPr>
      <w:rPr>
        <w:rFonts w:ascii="Wingdings" w:hAnsi="Wingdings" w:hint="default"/>
      </w:rPr>
    </w:lvl>
    <w:lvl w:ilvl="2" w:tplc="04260005">
      <w:start w:val="1"/>
      <w:numFmt w:val="bullet"/>
      <w:lvlText w:val=""/>
      <w:lvlJc w:val="left"/>
      <w:pPr>
        <w:ind w:left="2501" w:hanging="360"/>
      </w:pPr>
      <w:rPr>
        <w:rFonts w:ascii="Wingdings" w:hAnsi="Wingdings" w:hint="default"/>
      </w:rPr>
    </w:lvl>
    <w:lvl w:ilvl="3" w:tplc="04260001" w:tentative="1">
      <w:start w:val="1"/>
      <w:numFmt w:val="bullet"/>
      <w:lvlText w:val=""/>
      <w:lvlJc w:val="left"/>
      <w:pPr>
        <w:ind w:left="3221" w:hanging="360"/>
      </w:pPr>
      <w:rPr>
        <w:rFonts w:ascii="Symbol" w:hAnsi="Symbol" w:hint="default"/>
      </w:rPr>
    </w:lvl>
    <w:lvl w:ilvl="4" w:tplc="04260003" w:tentative="1">
      <w:start w:val="1"/>
      <w:numFmt w:val="bullet"/>
      <w:lvlText w:val="o"/>
      <w:lvlJc w:val="left"/>
      <w:pPr>
        <w:ind w:left="3941" w:hanging="360"/>
      </w:pPr>
      <w:rPr>
        <w:rFonts w:ascii="Courier New" w:hAnsi="Courier New" w:cs="Courier New" w:hint="default"/>
      </w:rPr>
    </w:lvl>
    <w:lvl w:ilvl="5" w:tplc="04260005" w:tentative="1">
      <w:start w:val="1"/>
      <w:numFmt w:val="bullet"/>
      <w:lvlText w:val=""/>
      <w:lvlJc w:val="left"/>
      <w:pPr>
        <w:ind w:left="4661" w:hanging="360"/>
      </w:pPr>
      <w:rPr>
        <w:rFonts w:ascii="Wingdings" w:hAnsi="Wingdings" w:hint="default"/>
      </w:rPr>
    </w:lvl>
    <w:lvl w:ilvl="6" w:tplc="04260001" w:tentative="1">
      <w:start w:val="1"/>
      <w:numFmt w:val="bullet"/>
      <w:lvlText w:val=""/>
      <w:lvlJc w:val="left"/>
      <w:pPr>
        <w:ind w:left="5381" w:hanging="360"/>
      </w:pPr>
      <w:rPr>
        <w:rFonts w:ascii="Symbol" w:hAnsi="Symbol" w:hint="default"/>
      </w:rPr>
    </w:lvl>
    <w:lvl w:ilvl="7" w:tplc="04260003" w:tentative="1">
      <w:start w:val="1"/>
      <w:numFmt w:val="bullet"/>
      <w:lvlText w:val="o"/>
      <w:lvlJc w:val="left"/>
      <w:pPr>
        <w:ind w:left="6101" w:hanging="360"/>
      </w:pPr>
      <w:rPr>
        <w:rFonts w:ascii="Courier New" w:hAnsi="Courier New" w:cs="Courier New" w:hint="default"/>
      </w:rPr>
    </w:lvl>
    <w:lvl w:ilvl="8" w:tplc="04260005" w:tentative="1">
      <w:start w:val="1"/>
      <w:numFmt w:val="bullet"/>
      <w:lvlText w:val=""/>
      <w:lvlJc w:val="left"/>
      <w:pPr>
        <w:ind w:left="6821" w:hanging="360"/>
      </w:pPr>
      <w:rPr>
        <w:rFonts w:ascii="Wingdings" w:hAnsi="Wingdings" w:hint="default"/>
      </w:rPr>
    </w:lvl>
  </w:abstractNum>
  <w:abstractNum w:abstractNumId="12" w15:restartNumberingAfterBreak="0">
    <w:nsid w:val="7E386EC4"/>
    <w:multiLevelType w:val="hybridMultilevel"/>
    <w:tmpl w:val="2D30DC0A"/>
    <w:lvl w:ilvl="0" w:tplc="4AE46EEE">
      <w:start w:val="9"/>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num w:numId="1">
    <w:abstractNumId w:val="6"/>
  </w:num>
  <w:num w:numId="2">
    <w:abstractNumId w:val="10"/>
  </w:num>
  <w:num w:numId="3">
    <w:abstractNumId w:val="0"/>
  </w:num>
  <w:num w:numId="4">
    <w:abstractNumId w:val="2"/>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 w:numId="10">
    <w:abstractNumId w:val="12"/>
  </w:num>
  <w:num w:numId="11">
    <w:abstractNumId w:val="8"/>
  </w:num>
  <w:num w:numId="12">
    <w:abstractNumId w:val="3"/>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5E3"/>
    <w:rsid w:val="00001B8C"/>
    <w:rsid w:val="00002AAB"/>
    <w:rsid w:val="00003373"/>
    <w:rsid w:val="0000582C"/>
    <w:rsid w:val="00005E8A"/>
    <w:rsid w:val="000064ED"/>
    <w:rsid w:val="00012F8C"/>
    <w:rsid w:val="0001525A"/>
    <w:rsid w:val="00015D52"/>
    <w:rsid w:val="000223B1"/>
    <w:rsid w:val="0002311F"/>
    <w:rsid w:val="00023BA6"/>
    <w:rsid w:val="000278CB"/>
    <w:rsid w:val="00027CE4"/>
    <w:rsid w:val="00027F85"/>
    <w:rsid w:val="000341AD"/>
    <w:rsid w:val="0003564F"/>
    <w:rsid w:val="0004763F"/>
    <w:rsid w:val="00051DE4"/>
    <w:rsid w:val="00052B23"/>
    <w:rsid w:val="00055402"/>
    <w:rsid w:val="00055AA1"/>
    <w:rsid w:val="00057CFF"/>
    <w:rsid w:val="00061359"/>
    <w:rsid w:val="00061A14"/>
    <w:rsid w:val="00062D41"/>
    <w:rsid w:val="00072CA1"/>
    <w:rsid w:val="00073626"/>
    <w:rsid w:val="000812E5"/>
    <w:rsid w:val="00083856"/>
    <w:rsid w:val="00084DDB"/>
    <w:rsid w:val="00087F7A"/>
    <w:rsid w:val="00092E80"/>
    <w:rsid w:val="000930CA"/>
    <w:rsid w:val="000A54C7"/>
    <w:rsid w:val="000A57DF"/>
    <w:rsid w:val="000B2B1F"/>
    <w:rsid w:val="000B2E47"/>
    <w:rsid w:val="000C0FFE"/>
    <w:rsid w:val="000C15FD"/>
    <w:rsid w:val="000C2A3D"/>
    <w:rsid w:val="000C6077"/>
    <w:rsid w:val="000C67EB"/>
    <w:rsid w:val="000D031D"/>
    <w:rsid w:val="000E0E6E"/>
    <w:rsid w:val="000E40FA"/>
    <w:rsid w:val="000E5F39"/>
    <w:rsid w:val="000E6093"/>
    <w:rsid w:val="000E6B14"/>
    <w:rsid w:val="000E72BD"/>
    <w:rsid w:val="000F3C3F"/>
    <w:rsid w:val="000F6EE3"/>
    <w:rsid w:val="000F7393"/>
    <w:rsid w:val="00101283"/>
    <w:rsid w:val="00102C8C"/>
    <w:rsid w:val="00114976"/>
    <w:rsid w:val="00115F2F"/>
    <w:rsid w:val="00116BB1"/>
    <w:rsid w:val="00120A04"/>
    <w:rsid w:val="00121790"/>
    <w:rsid w:val="00122920"/>
    <w:rsid w:val="00124C5F"/>
    <w:rsid w:val="001270FE"/>
    <w:rsid w:val="0013083F"/>
    <w:rsid w:val="001316F7"/>
    <w:rsid w:val="00132C38"/>
    <w:rsid w:val="001333AB"/>
    <w:rsid w:val="00133F4A"/>
    <w:rsid w:val="00133FB0"/>
    <w:rsid w:val="001350E0"/>
    <w:rsid w:val="00135243"/>
    <w:rsid w:val="00140224"/>
    <w:rsid w:val="00140ED8"/>
    <w:rsid w:val="0014134E"/>
    <w:rsid w:val="001441BD"/>
    <w:rsid w:val="00147C2D"/>
    <w:rsid w:val="00150665"/>
    <w:rsid w:val="00152531"/>
    <w:rsid w:val="001538B2"/>
    <w:rsid w:val="00156F00"/>
    <w:rsid w:val="00161747"/>
    <w:rsid w:val="00162590"/>
    <w:rsid w:val="00165120"/>
    <w:rsid w:val="00165434"/>
    <w:rsid w:val="0017107C"/>
    <w:rsid w:val="001719CA"/>
    <w:rsid w:val="00172C19"/>
    <w:rsid w:val="00173748"/>
    <w:rsid w:val="0017438A"/>
    <w:rsid w:val="0017554D"/>
    <w:rsid w:val="00176EB6"/>
    <w:rsid w:val="0017744B"/>
    <w:rsid w:val="001779DD"/>
    <w:rsid w:val="00181021"/>
    <w:rsid w:val="001817E3"/>
    <w:rsid w:val="00184820"/>
    <w:rsid w:val="00184E83"/>
    <w:rsid w:val="00187A1D"/>
    <w:rsid w:val="00191D95"/>
    <w:rsid w:val="00195367"/>
    <w:rsid w:val="001A42AA"/>
    <w:rsid w:val="001A4525"/>
    <w:rsid w:val="001A5794"/>
    <w:rsid w:val="001B0471"/>
    <w:rsid w:val="001B0E0D"/>
    <w:rsid w:val="001B7F51"/>
    <w:rsid w:val="001C06C7"/>
    <w:rsid w:val="001C2371"/>
    <w:rsid w:val="001D092F"/>
    <w:rsid w:val="001D2638"/>
    <w:rsid w:val="001D60E4"/>
    <w:rsid w:val="001D673B"/>
    <w:rsid w:val="001D7304"/>
    <w:rsid w:val="001E0494"/>
    <w:rsid w:val="001E6165"/>
    <w:rsid w:val="001E64AF"/>
    <w:rsid w:val="001F05DB"/>
    <w:rsid w:val="001F2E49"/>
    <w:rsid w:val="001F2F6F"/>
    <w:rsid w:val="001F3AEB"/>
    <w:rsid w:val="001F6AEE"/>
    <w:rsid w:val="0020088C"/>
    <w:rsid w:val="002019BA"/>
    <w:rsid w:val="00201F3B"/>
    <w:rsid w:val="00207990"/>
    <w:rsid w:val="00207AA7"/>
    <w:rsid w:val="00210133"/>
    <w:rsid w:val="00211355"/>
    <w:rsid w:val="0021318F"/>
    <w:rsid w:val="00214C2C"/>
    <w:rsid w:val="002166C6"/>
    <w:rsid w:val="00216CA1"/>
    <w:rsid w:val="00220D62"/>
    <w:rsid w:val="00220F2B"/>
    <w:rsid w:val="00232DE8"/>
    <w:rsid w:val="00234630"/>
    <w:rsid w:val="00241A32"/>
    <w:rsid w:val="00242195"/>
    <w:rsid w:val="00243426"/>
    <w:rsid w:val="00243ABF"/>
    <w:rsid w:val="0025200E"/>
    <w:rsid w:val="00255B81"/>
    <w:rsid w:val="00261E7B"/>
    <w:rsid w:val="00265748"/>
    <w:rsid w:val="0026723B"/>
    <w:rsid w:val="00267D7F"/>
    <w:rsid w:val="00273945"/>
    <w:rsid w:val="00277575"/>
    <w:rsid w:val="002860EE"/>
    <w:rsid w:val="002870AA"/>
    <w:rsid w:val="002946A2"/>
    <w:rsid w:val="002949B0"/>
    <w:rsid w:val="00295C55"/>
    <w:rsid w:val="00297540"/>
    <w:rsid w:val="00297D07"/>
    <w:rsid w:val="002A50AA"/>
    <w:rsid w:val="002A6711"/>
    <w:rsid w:val="002B4E85"/>
    <w:rsid w:val="002C06F8"/>
    <w:rsid w:val="002C4B2A"/>
    <w:rsid w:val="002C66E5"/>
    <w:rsid w:val="002C6D31"/>
    <w:rsid w:val="002D1B7B"/>
    <w:rsid w:val="002D4156"/>
    <w:rsid w:val="002D7F2E"/>
    <w:rsid w:val="002E1C05"/>
    <w:rsid w:val="002E2485"/>
    <w:rsid w:val="002E337E"/>
    <w:rsid w:val="002E5783"/>
    <w:rsid w:val="002E5EA6"/>
    <w:rsid w:val="002F0C69"/>
    <w:rsid w:val="002F11FA"/>
    <w:rsid w:val="002F2CFA"/>
    <w:rsid w:val="002F3D5B"/>
    <w:rsid w:val="002F46E2"/>
    <w:rsid w:val="002F4B00"/>
    <w:rsid w:val="002F765B"/>
    <w:rsid w:val="0030492A"/>
    <w:rsid w:val="00310B18"/>
    <w:rsid w:val="00312BC9"/>
    <w:rsid w:val="00321151"/>
    <w:rsid w:val="0032127F"/>
    <w:rsid w:val="00324688"/>
    <w:rsid w:val="00325775"/>
    <w:rsid w:val="00330241"/>
    <w:rsid w:val="003305BA"/>
    <w:rsid w:val="00331EDE"/>
    <w:rsid w:val="003320CC"/>
    <w:rsid w:val="0033231B"/>
    <w:rsid w:val="003326A1"/>
    <w:rsid w:val="003364D1"/>
    <w:rsid w:val="00337688"/>
    <w:rsid w:val="003378C4"/>
    <w:rsid w:val="00337E9C"/>
    <w:rsid w:val="00344A96"/>
    <w:rsid w:val="003459D5"/>
    <w:rsid w:val="003475A3"/>
    <w:rsid w:val="00350139"/>
    <w:rsid w:val="003527C9"/>
    <w:rsid w:val="00353F09"/>
    <w:rsid w:val="003553B7"/>
    <w:rsid w:val="003558DA"/>
    <w:rsid w:val="003602DC"/>
    <w:rsid w:val="003613A3"/>
    <w:rsid w:val="00361E4C"/>
    <w:rsid w:val="00364557"/>
    <w:rsid w:val="0036738C"/>
    <w:rsid w:val="0037155B"/>
    <w:rsid w:val="003717DD"/>
    <w:rsid w:val="00371C99"/>
    <w:rsid w:val="0037583B"/>
    <w:rsid w:val="003802F8"/>
    <w:rsid w:val="00380F7B"/>
    <w:rsid w:val="003938C6"/>
    <w:rsid w:val="00395560"/>
    <w:rsid w:val="003A0424"/>
    <w:rsid w:val="003A71CA"/>
    <w:rsid w:val="003B0BF9"/>
    <w:rsid w:val="003B2CA9"/>
    <w:rsid w:val="003B4413"/>
    <w:rsid w:val="003B61B9"/>
    <w:rsid w:val="003E0791"/>
    <w:rsid w:val="003E0C12"/>
    <w:rsid w:val="003E3A19"/>
    <w:rsid w:val="003E4F55"/>
    <w:rsid w:val="003E7213"/>
    <w:rsid w:val="003F0970"/>
    <w:rsid w:val="003F136E"/>
    <w:rsid w:val="003F28AC"/>
    <w:rsid w:val="003F2B66"/>
    <w:rsid w:val="003F4506"/>
    <w:rsid w:val="003F5CBF"/>
    <w:rsid w:val="003F70E8"/>
    <w:rsid w:val="004004E6"/>
    <w:rsid w:val="0041041C"/>
    <w:rsid w:val="0041151C"/>
    <w:rsid w:val="00411AA4"/>
    <w:rsid w:val="004138FE"/>
    <w:rsid w:val="004174B3"/>
    <w:rsid w:val="00420B00"/>
    <w:rsid w:val="0042156F"/>
    <w:rsid w:val="0042280A"/>
    <w:rsid w:val="00430565"/>
    <w:rsid w:val="0043632C"/>
    <w:rsid w:val="0043737A"/>
    <w:rsid w:val="004454D3"/>
    <w:rsid w:val="004454FE"/>
    <w:rsid w:val="004506D8"/>
    <w:rsid w:val="00450E19"/>
    <w:rsid w:val="0045432F"/>
    <w:rsid w:val="00456324"/>
    <w:rsid w:val="00456E40"/>
    <w:rsid w:val="00461F38"/>
    <w:rsid w:val="00462F73"/>
    <w:rsid w:val="004632F9"/>
    <w:rsid w:val="00471F27"/>
    <w:rsid w:val="00472A0E"/>
    <w:rsid w:val="00474932"/>
    <w:rsid w:val="004764A1"/>
    <w:rsid w:val="00477A12"/>
    <w:rsid w:val="00480864"/>
    <w:rsid w:val="00481559"/>
    <w:rsid w:val="00490CE4"/>
    <w:rsid w:val="004915E0"/>
    <w:rsid w:val="00491A35"/>
    <w:rsid w:val="0049296B"/>
    <w:rsid w:val="00493CDC"/>
    <w:rsid w:val="00494EA5"/>
    <w:rsid w:val="004A260B"/>
    <w:rsid w:val="004A5A95"/>
    <w:rsid w:val="004B1387"/>
    <w:rsid w:val="004B2A52"/>
    <w:rsid w:val="004B39E8"/>
    <w:rsid w:val="004B5901"/>
    <w:rsid w:val="004B618C"/>
    <w:rsid w:val="004C28AA"/>
    <w:rsid w:val="004D1D36"/>
    <w:rsid w:val="004D6A70"/>
    <w:rsid w:val="004E3388"/>
    <w:rsid w:val="004E4C79"/>
    <w:rsid w:val="004E5908"/>
    <w:rsid w:val="004E6C5B"/>
    <w:rsid w:val="004F04DE"/>
    <w:rsid w:val="004F18E4"/>
    <w:rsid w:val="004F1940"/>
    <w:rsid w:val="004F75D2"/>
    <w:rsid w:val="00500BD5"/>
    <w:rsid w:val="0050178F"/>
    <w:rsid w:val="00506118"/>
    <w:rsid w:val="005109D7"/>
    <w:rsid w:val="005117D9"/>
    <w:rsid w:val="00514829"/>
    <w:rsid w:val="005220CE"/>
    <w:rsid w:val="00522FB5"/>
    <w:rsid w:val="0052323A"/>
    <w:rsid w:val="0052378A"/>
    <w:rsid w:val="00524AC2"/>
    <w:rsid w:val="005271F0"/>
    <w:rsid w:val="0053089C"/>
    <w:rsid w:val="0053284C"/>
    <w:rsid w:val="00544156"/>
    <w:rsid w:val="005459CF"/>
    <w:rsid w:val="005467C1"/>
    <w:rsid w:val="00546AE6"/>
    <w:rsid w:val="00551443"/>
    <w:rsid w:val="00552B8E"/>
    <w:rsid w:val="005534FE"/>
    <w:rsid w:val="005538ED"/>
    <w:rsid w:val="00556E9F"/>
    <w:rsid w:val="00557343"/>
    <w:rsid w:val="00557373"/>
    <w:rsid w:val="00560BDD"/>
    <w:rsid w:val="00565C87"/>
    <w:rsid w:val="00566A42"/>
    <w:rsid w:val="0057171F"/>
    <w:rsid w:val="005778DB"/>
    <w:rsid w:val="00580606"/>
    <w:rsid w:val="0058665C"/>
    <w:rsid w:val="00592C61"/>
    <w:rsid w:val="00592CC1"/>
    <w:rsid w:val="00597EB8"/>
    <w:rsid w:val="005A1F01"/>
    <w:rsid w:val="005A40D0"/>
    <w:rsid w:val="005B0A62"/>
    <w:rsid w:val="005B239D"/>
    <w:rsid w:val="005B7830"/>
    <w:rsid w:val="005B7FE1"/>
    <w:rsid w:val="005D0160"/>
    <w:rsid w:val="005D05A7"/>
    <w:rsid w:val="005D1EDC"/>
    <w:rsid w:val="005D569B"/>
    <w:rsid w:val="005D5741"/>
    <w:rsid w:val="005E027B"/>
    <w:rsid w:val="005E2CCA"/>
    <w:rsid w:val="005E2D18"/>
    <w:rsid w:val="005E508B"/>
    <w:rsid w:val="005E6C88"/>
    <w:rsid w:val="005E7548"/>
    <w:rsid w:val="005F047F"/>
    <w:rsid w:val="005F0607"/>
    <w:rsid w:val="005F0725"/>
    <w:rsid w:val="005F1FE5"/>
    <w:rsid w:val="005F654E"/>
    <w:rsid w:val="005F6981"/>
    <w:rsid w:val="00601328"/>
    <w:rsid w:val="006018DF"/>
    <w:rsid w:val="006030D5"/>
    <w:rsid w:val="006059EF"/>
    <w:rsid w:val="00607C3E"/>
    <w:rsid w:val="00611C9D"/>
    <w:rsid w:val="006153F2"/>
    <w:rsid w:val="00615D40"/>
    <w:rsid w:val="00615DD3"/>
    <w:rsid w:val="00621B31"/>
    <w:rsid w:val="006264E6"/>
    <w:rsid w:val="00626CD6"/>
    <w:rsid w:val="0062747E"/>
    <w:rsid w:val="00632267"/>
    <w:rsid w:val="006363E2"/>
    <w:rsid w:val="006367FA"/>
    <w:rsid w:val="00640930"/>
    <w:rsid w:val="00641595"/>
    <w:rsid w:val="0064551F"/>
    <w:rsid w:val="00646E7E"/>
    <w:rsid w:val="00655837"/>
    <w:rsid w:val="00655F2C"/>
    <w:rsid w:val="00656FCC"/>
    <w:rsid w:val="00660790"/>
    <w:rsid w:val="0066105F"/>
    <w:rsid w:val="00667E17"/>
    <w:rsid w:val="00671E7A"/>
    <w:rsid w:val="00672CDC"/>
    <w:rsid w:val="00681437"/>
    <w:rsid w:val="00684A25"/>
    <w:rsid w:val="00685DC0"/>
    <w:rsid w:val="0068636E"/>
    <w:rsid w:val="00687BC0"/>
    <w:rsid w:val="00690831"/>
    <w:rsid w:val="006908A6"/>
    <w:rsid w:val="00691C04"/>
    <w:rsid w:val="006A04E7"/>
    <w:rsid w:val="006A109A"/>
    <w:rsid w:val="006A168F"/>
    <w:rsid w:val="006A3AB7"/>
    <w:rsid w:val="006A6DF5"/>
    <w:rsid w:val="006B23FC"/>
    <w:rsid w:val="006B389C"/>
    <w:rsid w:val="006B6B7A"/>
    <w:rsid w:val="006C45D6"/>
    <w:rsid w:val="006C5070"/>
    <w:rsid w:val="006C5D4A"/>
    <w:rsid w:val="006C6C37"/>
    <w:rsid w:val="006C6CFF"/>
    <w:rsid w:val="006C6F14"/>
    <w:rsid w:val="006C7E7D"/>
    <w:rsid w:val="006D1E88"/>
    <w:rsid w:val="006D251E"/>
    <w:rsid w:val="006D3805"/>
    <w:rsid w:val="006D4722"/>
    <w:rsid w:val="006D4D6F"/>
    <w:rsid w:val="006D5050"/>
    <w:rsid w:val="006D6F41"/>
    <w:rsid w:val="006E1081"/>
    <w:rsid w:val="006E44E3"/>
    <w:rsid w:val="006E45E5"/>
    <w:rsid w:val="006F0345"/>
    <w:rsid w:val="006F133E"/>
    <w:rsid w:val="00700BD7"/>
    <w:rsid w:val="007024F9"/>
    <w:rsid w:val="007067B5"/>
    <w:rsid w:val="00707355"/>
    <w:rsid w:val="00707A0B"/>
    <w:rsid w:val="007114A3"/>
    <w:rsid w:val="00711CD0"/>
    <w:rsid w:val="007129D4"/>
    <w:rsid w:val="00713798"/>
    <w:rsid w:val="00715530"/>
    <w:rsid w:val="0071664F"/>
    <w:rsid w:val="00716D86"/>
    <w:rsid w:val="00720585"/>
    <w:rsid w:val="00723DFC"/>
    <w:rsid w:val="007245F5"/>
    <w:rsid w:val="00724917"/>
    <w:rsid w:val="0072514D"/>
    <w:rsid w:val="007266B8"/>
    <w:rsid w:val="007355C7"/>
    <w:rsid w:val="007368D2"/>
    <w:rsid w:val="00737235"/>
    <w:rsid w:val="00737624"/>
    <w:rsid w:val="007431F1"/>
    <w:rsid w:val="00744CAB"/>
    <w:rsid w:val="007612A5"/>
    <w:rsid w:val="00761872"/>
    <w:rsid w:val="00761E2F"/>
    <w:rsid w:val="00764465"/>
    <w:rsid w:val="007659AC"/>
    <w:rsid w:val="00766FEA"/>
    <w:rsid w:val="007715CB"/>
    <w:rsid w:val="00773AF6"/>
    <w:rsid w:val="00774020"/>
    <w:rsid w:val="007746DD"/>
    <w:rsid w:val="00775CA3"/>
    <w:rsid w:val="007824C1"/>
    <w:rsid w:val="00782FCD"/>
    <w:rsid w:val="00783177"/>
    <w:rsid w:val="00784B67"/>
    <w:rsid w:val="007855CA"/>
    <w:rsid w:val="007856C0"/>
    <w:rsid w:val="007872B7"/>
    <w:rsid w:val="00795F71"/>
    <w:rsid w:val="007A03DC"/>
    <w:rsid w:val="007A4E65"/>
    <w:rsid w:val="007A663B"/>
    <w:rsid w:val="007C1E33"/>
    <w:rsid w:val="007C2AB9"/>
    <w:rsid w:val="007D1394"/>
    <w:rsid w:val="007D47EF"/>
    <w:rsid w:val="007D5A11"/>
    <w:rsid w:val="007D7B3A"/>
    <w:rsid w:val="007E1852"/>
    <w:rsid w:val="007E2E54"/>
    <w:rsid w:val="007E34F5"/>
    <w:rsid w:val="007E5F7A"/>
    <w:rsid w:val="007E7368"/>
    <w:rsid w:val="007E73AB"/>
    <w:rsid w:val="007F1DA7"/>
    <w:rsid w:val="007F5C32"/>
    <w:rsid w:val="007F7685"/>
    <w:rsid w:val="007F7E20"/>
    <w:rsid w:val="00800D9F"/>
    <w:rsid w:val="00803364"/>
    <w:rsid w:val="00804FAF"/>
    <w:rsid w:val="00805919"/>
    <w:rsid w:val="0080671F"/>
    <w:rsid w:val="00806FAB"/>
    <w:rsid w:val="008127C0"/>
    <w:rsid w:val="00812A7F"/>
    <w:rsid w:val="00816846"/>
    <w:rsid w:val="00816C11"/>
    <w:rsid w:val="00816DBF"/>
    <w:rsid w:val="00821CC2"/>
    <w:rsid w:val="0082330A"/>
    <w:rsid w:val="00827285"/>
    <w:rsid w:val="008335AA"/>
    <w:rsid w:val="0083378B"/>
    <w:rsid w:val="00842DBB"/>
    <w:rsid w:val="00844FBF"/>
    <w:rsid w:val="008525A1"/>
    <w:rsid w:val="00855F27"/>
    <w:rsid w:val="00857533"/>
    <w:rsid w:val="00860EAF"/>
    <w:rsid w:val="00864A20"/>
    <w:rsid w:val="00867DB0"/>
    <w:rsid w:val="008709F5"/>
    <w:rsid w:val="00872DDE"/>
    <w:rsid w:val="00875EFD"/>
    <w:rsid w:val="00876D35"/>
    <w:rsid w:val="00882783"/>
    <w:rsid w:val="00883E0B"/>
    <w:rsid w:val="0088529E"/>
    <w:rsid w:val="008873EF"/>
    <w:rsid w:val="00890B9E"/>
    <w:rsid w:val="00893D2A"/>
    <w:rsid w:val="00894C55"/>
    <w:rsid w:val="00897923"/>
    <w:rsid w:val="008A25F3"/>
    <w:rsid w:val="008A571F"/>
    <w:rsid w:val="008A7D5E"/>
    <w:rsid w:val="008B170E"/>
    <w:rsid w:val="008B5166"/>
    <w:rsid w:val="008B5848"/>
    <w:rsid w:val="008C3A14"/>
    <w:rsid w:val="008C3F63"/>
    <w:rsid w:val="008C63C7"/>
    <w:rsid w:val="008D31F4"/>
    <w:rsid w:val="008D3372"/>
    <w:rsid w:val="008D7B25"/>
    <w:rsid w:val="008E2F42"/>
    <w:rsid w:val="008E3C89"/>
    <w:rsid w:val="008E6546"/>
    <w:rsid w:val="008E7D98"/>
    <w:rsid w:val="008F38FF"/>
    <w:rsid w:val="008F55CA"/>
    <w:rsid w:val="008F6659"/>
    <w:rsid w:val="008F7715"/>
    <w:rsid w:val="008F7AF8"/>
    <w:rsid w:val="00900E45"/>
    <w:rsid w:val="00910840"/>
    <w:rsid w:val="00920CA7"/>
    <w:rsid w:val="00921E91"/>
    <w:rsid w:val="00923123"/>
    <w:rsid w:val="009247DA"/>
    <w:rsid w:val="00924C45"/>
    <w:rsid w:val="0092726C"/>
    <w:rsid w:val="00927959"/>
    <w:rsid w:val="009307D5"/>
    <w:rsid w:val="00931073"/>
    <w:rsid w:val="00933DE8"/>
    <w:rsid w:val="00935DC2"/>
    <w:rsid w:val="00936A31"/>
    <w:rsid w:val="0094038C"/>
    <w:rsid w:val="00941AED"/>
    <w:rsid w:val="00952B2C"/>
    <w:rsid w:val="009575D7"/>
    <w:rsid w:val="009633B4"/>
    <w:rsid w:val="0096473A"/>
    <w:rsid w:val="00967884"/>
    <w:rsid w:val="00971F2A"/>
    <w:rsid w:val="009754BA"/>
    <w:rsid w:val="00985344"/>
    <w:rsid w:val="00986AE5"/>
    <w:rsid w:val="00990CAA"/>
    <w:rsid w:val="009914D6"/>
    <w:rsid w:val="00993A8A"/>
    <w:rsid w:val="009A2654"/>
    <w:rsid w:val="009A4347"/>
    <w:rsid w:val="009A6A16"/>
    <w:rsid w:val="009B05E0"/>
    <w:rsid w:val="009B122B"/>
    <w:rsid w:val="009B1DCE"/>
    <w:rsid w:val="009B4E57"/>
    <w:rsid w:val="009B50E8"/>
    <w:rsid w:val="009B74DE"/>
    <w:rsid w:val="009C37C0"/>
    <w:rsid w:val="009C6371"/>
    <w:rsid w:val="009C795E"/>
    <w:rsid w:val="009D3AB4"/>
    <w:rsid w:val="009D5B03"/>
    <w:rsid w:val="009E2711"/>
    <w:rsid w:val="009F0F08"/>
    <w:rsid w:val="00A003CB"/>
    <w:rsid w:val="00A026F9"/>
    <w:rsid w:val="00A03B50"/>
    <w:rsid w:val="00A10FC3"/>
    <w:rsid w:val="00A121E1"/>
    <w:rsid w:val="00A154F6"/>
    <w:rsid w:val="00A222B3"/>
    <w:rsid w:val="00A22AE6"/>
    <w:rsid w:val="00A23A8A"/>
    <w:rsid w:val="00A33299"/>
    <w:rsid w:val="00A34D82"/>
    <w:rsid w:val="00A36BFE"/>
    <w:rsid w:val="00A36FF3"/>
    <w:rsid w:val="00A43FD7"/>
    <w:rsid w:val="00A4563A"/>
    <w:rsid w:val="00A50625"/>
    <w:rsid w:val="00A52F4A"/>
    <w:rsid w:val="00A552EB"/>
    <w:rsid w:val="00A560BE"/>
    <w:rsid w:val="00A56765"/>
    <w:rsid w:val="00A567B2"/>
    <w:rsid w:val="00A600D3"/>
    <w:rsid w:val="00A6073E"/>
    <w:rsid w:val="00A62B19"/>
    <w:rsid w:val="00A73F21"/>
    <w:rsid w:val="00A75576"/>
    <w:rsid w:val="00A81FE3"/>
    <w:rsid w:val="00A825D7"/>
    <w:rsid w:val="00A841E3"/>
    <w:rsid w:val="00A845DA"/>
    <w:rsid w:val="00A84E9E"/>
    <w:rsid w:val="00A86CD5"/>
    <w:rsid w:val="00A87AF6"/>
    <w:rsid w:val="00A91D9F"/>
    <w:rsid w:val="00A96D57"/>
    <w:rsid w:val="00A97B00"/>
    <w:rsid w:val="00AA66AC"/>
    <w:rsid w:val="00AA750B"/>
    <w:rsid w:val="00AB3FDB"/>
    <w:rsid w:val="00AB6ED1"/>
    <w:rsid w:val="00AC19D7"/>
    <w:rsid w:val="00AC280C"/>
    <w:rsid w:val="00AC2986"/>
    <w:rsid w:val="00AC3554"/>
    <w:rsid w:val="00AC355A"/>
    <w:rsid w:val="00AC5783"/>
    <w:rsid w:val="00AD203C"/>
    <w:rsid w:val="00AD2E6C"/>
    <w:rsid w:val="00AD42EC"/>
    <w:rsid w:val="00AD5652"/>
    <w:rsid w:val="00AD7C62"/>
    <w:rsid w:val="00AE2E20"/>
    <w:rsid w:val="00AE3375"/>
    <w:rsid w:val="00AE34DE"/>
    <w:rsid w:val="00AE4349"/>
    <w:rsid w:val="00AE5567"/>
    <w:rsid w:val="00AE79F2"/>
    <w:rsid w:val="00AF1239"/>
    <w:rsid w:val="00AF1DF2"/>
    <w:rsid w:val="00AF2A24"/>
    <w:rsid w:val="00AF49AE"/>
    <w:rsid w:val="00AF55D3"/>
    <w:rsid w:val="00AF7EB6"/>
    <w:rsid w:val="00B00C0D"/>
    <w:rsid w:val="00B03072"/>
    <w:rsid w:val="00B03328"/>
    <w:rsid w:val="00B05EDE"/>
    <w:rsid w:val="00B06C06"/>
    <w:rsid w:val="00B118C7"/>
    <w:rsid w:val="00B1232E"/>
    <w:rsid w:val="00B14C66"/>
    <w:rsid w:val="00B16480"/>
    <w:rsid w:val="00B2165C"/>
    <w:rsid w:val="00B22C79"/>
    <w:rsid w:val="00B23182"/>
    <w:rsid w:val="00B2677E"/>
    <w:rsid w:val="00B32E3F"/>
    <w:rsid w:val="00B353B9"/>
    <w:rsid w:val="00B35464"/>
    <w:rsid w:val="00B407F5"/>
    <w:rsid w:val="00B41B86"/>
    <w:rsid w:val="00B44CF3"/>
    <w:rsid w:val="00B46C0E"/>
    <w:rsid w:val="00B47B96"/>
    <w:rsid w:val="00B516A7"/>
    <w:rsid w:val="00B5457C"/>
    <w:rsid w:val="00B5690F"/>
    <w:rsid w:val="00B575CC"/>
    <w:rsid w:val="00B63501"/>
    <w:rsid w:val="00B63DD5"/>
    <w:rsid w:val="00B64A1C"/>
    <w:rsid w:val="00B666A4"/>
    <w:rsid w:val="00B674A1"/>
    <w:rsid w:val="00B71B2C"/>
    <w:rsid w:val="00B80272"/>
    <w:rsid w:val="00B85198"/>
    <w:rsid w:val="00B90939"/>
    <w:rsid w:val="00B915F8"/>
    <w:rsid w:val="00B91ED0"/>
    <w:rsid w:val="00B945CE"/>
    <w:rsid w:val="00B95A61"/>
    <w:rsid w:val="00B970BA"/>
    <w:rsid w:val="00B9768D"/>
    <w:rsid w:val="00BA1CE0"/>
    <w:rsid w:val="00BA20AA"/>
    <w:rsid w:val="00BA2389"/>
    <w:rsid w:val="00BA3718"/>
    <w:rsid w:val="00BB00F0"/>
    <w:rsid w:val="00BB1B74"/>
    <w:rsid w:val="00BB1D3F"/>
    <w:rsid w:val="00BB3D56"/>
    <w:rsid w:val="00BB506E"/>
    <w:rsid w:val="00BB510D"/>
    <w:rsid w:val="00BC0B8B"/>
    <w:rsid w:val="00BC381A"/>
    <w:rsid w:val="00BC6E2F"/>
    <w:rsid w:val="00BC736E"/>
    <w:rsid w:val="00BD19A5"/>
    <w:rsid w:val="00BD4425"/>
    <w:rsid w:val="00BD45B7"/>
    <w:rsid w:val="00BD4B87"/>
    <w:rsid w:val="00BD6599"/>
    <w:rsid w:val="00BD7A84"/>
    <w:rsid w:val="00BE3BDF"/>
    <w:rsid w:val="00BE4847"/>
    <w:rsid w:val="00BF0B53"/>
    <w:rsid w:val="00C02BBF"/>
    <w:rsid w:val="00C12479"/>
    <w:rsid w:val="00C12CE8"/>
    <w:rsid w:val="00C16469"/>
    <w:rsid w:val="00C1706C"/>
    <w:rsid w:val="00C23132"/>
    <w:rsid w:val="00C2425A"/>
    <w:rsid w:val="00C25B49"/>
    <w:rsid w:val="00C26198"/>
    <w:rsid w:val="00C27FF1"/>
    <w:rsid w:val="00C30790"/>
    <w:rsid w:val="00C3228F"/>
    <w:rsid w:val="00C334DB"/>
    <w:rsid w:val="00C33BD1"/>
    <w:rsid w:val="00C34E81"/>
    <w:rsid w:val="00C37E17"/>
    <w:rsid w:val="00C45D15"/>
    <w:rsid w:val="00C53688"/>
    <w:rsid w:val="00C54835"/>
    <w:rsid w:val="00C54994"/>
    <w:rsid w:val="00C56046"/>
    <w:rsid w:val="00C57511"/>
    <w:rsid w:val="00C57532"/>
    <w:rsid w:val="00C638E1"/>
    <w:rsid w:val="00C642FF"/>
    <w:rsid w:val="00C66BBF"/>
    <w:rsid w:val="00C67B41"/>
    <w:rsid w:val="00C67FB2"/>
    <w:rsid w:val="00C70DCF"/>
    <w:rsid w:val="00C72023"/>
    <w:rsid w:val="00C72470"/>
    <w:rsid w:val="00C748F7"/>
    <w:rsid w:val="00C74B26"/>
    <w:rsid w:val="00C7776D"/>
    <w:rsid w:val="00C84299"/>
    <w:rsid w:val="00C91A44"/>
    <w:rsid w:val="00C95516"/>
    <w:rsid w:val="00C95A58"/>
    <w:rsid w:val="00CA163A"/>
    <w:rsid w:val="00CA388E"/>
    <w:rsid w:val="00CA577D"/>
    <w:rsid w:val="00CA5C03"/>
    <w:rsid w:val="00CA703F"/>
    <w:rsid w:val="00CA7AA0"/>
    <w:rsid w:val="00CB1848"/>
    <w:rsid w:val="00CB23BD"/>
    <w:rsid w:val="00CB25F8"/>
    <w:rsid w:val="00CB3032"/>
    <w:rsid w:val="00CB445A"/>
    <w:rsid w:val="00CB55AF"/>
    <w:rsid w:val="00CB7A74"/>
    <w:rsid w:val="00CC01A6"/>
    <w:rsid w:val="00CC0D2D"/>
    <w:rsid w:val="00CC0FA8"/>
    <w:rsid w:val="00CC1D65"/>
    <w:rsid w:val="00CC551B"/>
    <w:rsid w:val="00CD0BCC"/>
    <w:rsid w:val="00CE00BB"/>
    <w:rsid w:val="00CE1A37"/>
    <w:rsid w:val="00CE5657"/>
    <w:rsid w:val="00CF7A77"/>
    <w:rsid w:val="00D01C06"/>
    <w:rsid w:val="00D03514"/>
    <w:rsid w:val="00D046FD"/>
    <w:rsid w:val="00D0637F"/>
    <w:rsid w:val="00D06422"/>
    <w:rsid w:val="00D075F9"/>
    <w:rsid w:val="00D07F27"/>
    <w:rsid w:val="00D10B89"/>
    <w:rsid w:val="00D12748"/>
    <w:rsid w:val="00D133F8"/>
    <w:rsid w:val="00D136FC"/>
    <w:rsid w:val="00D13952"/>
    <w:rsid w:val="00D14A3E"/>
    <w:rsid w:val="00D15591"/>
    <w:rsid w:val="00D211A8"/>
    <w:rsid w:val="00D27065"/>
    <w:rsid w:val="00D30745"/>
    <w:rsid w:val="00D32AE5"/>
    <w:rsid w:val="00D33FF0"/>
    <w:rsid w:val="00D4077B"/>
    <w:rsid w:val="00D40F7F"/>
    <w:rsid w:val="00D421DF"/>
    <w:rsid w:val="00D4396D"/>
    <w:rsid w:val="00D47144"/>
    <w:rsid w:val="00D478CA"/>
    <w:rsid w:val="00D47C3A"/>
    <w:rsid w:val="00D530F9"/>
    <w:rsid w:val="00D566C4"/>
    <w:rsid w:val="00D60122"/>
    <w:rsid w:val="00D61754"/>
    <w:rsid w:val="00D6251D"/>
    <w:rsid w:val="00D63712"/>
    <w:rsid w:val="00D66168"/>
    <w:rsid w:val="00D70DE6"/>
    <w:rsid w:val="00D80CF7"/>
    <w:rsid w:val="00D86155"/>
    <w:rsid w:val="00D86AC6"/>
    <w:rsid w:val="00D93E56"/>
    <w:rsid w:val="00D96EFD"/>
    <w:rsid w:val="00DA28F6"/>
    <w:rsid w:val="00DA352F"/>
    <w:rsid w:val="00DA76CE"/>
    <w:rsid w:val="00DB03A2"/>
    <w:rsid w:val="00DB0FA8"/>
    <w:rsid w:val="00DC7E30"/>
    <w:rsid w:val="00DD2B3C"/>
    <w:rsid w:val="00DD6869"/>
    <w:rsid w:val="00DE10C1"/>
    <w:rsid w:val="00DE35AA"/>
    <w:rsid w:val="00DF7AF0"/>
    <w:rsid w:val="00E00771"/>
    <w:rsid w:val="00E048D2"/>
    <w:rsid w:val="00E124A4"/>
    <w:rsid w:val="00E128CC"/>
    <w:rsid w:val="00E168D2"/>
    <w:rsid w:val="00E16F71"/>
    <w:rsid w:val="00E17406"/>
    <w:rsid w:val="00E228E4"/>
    <w:rsid w:val="00E237A5"/>
    <w:rsid w:val="00E247EF"/>
    <w:rsid w:val="00E24BE7"/>
    <w:rsid w:val="00E25438"/>
    <w:rsid w:val="00E26219"/>
    <w:rsid w:val="00E2769A"/>
    <w:rsid w:val="00E32924"/>
    <w:rsid w:val="00E34ADF"/>
    <w:rsid w:val="00E3536C"/>
    <w:rsid w:val="00E36B8B"/>
    <w:rsid w:val="00E3716B"/>
    <w:rsid w:val="00E432E4"/>
    <w:rsid w:val="00E439BC"/>
    <w:rsid w:val="00E43A56"/>
    <w:rsid w:val="00E5323B"/>
    <w:rsid w:val="00E579A1"/>
    <w:rsid w:val="00E631CF"/>
    <w:rsid w:val="00E65454"/>
    <w:rsid w:val="00E674CA"/>
    <w:rsid w:val="00E71698"/>
    <w:rsid w:val="00E735F3"/>
    <w:rsid w:val="00E75971"/>
    <w:rsid w:val="00E76DE0"/>
    <w:rsid w:val="00E80741"/>
    <w:rsid w:val="00E823D8"/>
    <w:rsid w:val="00E8749E"/>
    <w:rsid w:val="00E876E9"/>
    <w:rsid w:val="00E87703"/>
    <w:rsid w:val="00E87AA2"/>
    <w:rsid w:val="00E87EF0"/>
    <w:rsid w:val="00E90C01"/>
    <w:rsid w:val="00E92E51"/>
    <w:rsid w:val="00E974E6"/>
    <w:rsid w:val="00EA1991"/>
    <w:rsid w:val="00EA322A"/>
    <w:rsid w:val="00EA486E"/>
    <w:rsid w:val="00EA4913"/>
    <w:rsid w:val="00EA5C67"/>
    <w:rsid w:val="00EB6408"/>
    <w:rsid w:val="00EC39E8"/>
    <w:rsid w:val="00EC3BEC"/>
    <w:rsid w:val="00ED1593"/>
    <w:rsid w:val="00ED192F"/>
    <w:rsid w:val="00ED39D8"/>
    <w:rsid w:val="00ED544F"/>
    <w:rsid w:val="00ED5938"/>
    <w:rsid w:val="00EE2C87"/>
    <w:rsid w:val="00EE5919"/>
    <w:rsid w:val="00EE6AE3"/>
    <w:rsid w:val="00EE76E9"/>
    <w:rsid w:val="00EF3D0F"/>
    <w:rsid w:val="00EF64A5"/>
    <w:rsid w:val="00EF7678"/>
    <w:rsid w:val="00F008A8"/>
    <w:rsid w:val="00F02621"/>
    <w:rsid w:val="00F07815"/>
    <w:rsid w:val="00F07E23"/>
    <w:rsid w:val="00F1136C"/>
    <w:rsid w:val="00F17AA7"/>
    <w:rsid w:val="00F20F3E"/>
    <w:rsid w:val="00F22115"/>
    <w:rsid w:val="00F2240B"/>
    <w:rsid w:val="00F23415"/>
    <w:rsid w:val="00F3134D"/>
    <w:rsid w:val="00F31418"/>
    <w:rsid w:val="00F32406"/>
    <w:rsid w:val="00F34918"/>
    <w:rsid w:val="00F45941"/>
    <w:rsid w:val="00F470D7"/>
    <w:rsid w:val="00F50FEC"/>
    <w:rsid w:val="00F51C54"/>
    <w:rsid w:val="00F52A9C"/>
    <w:rsid w:val="00F530DF"/>
    <w:rsid w:val="00F53FEF"/>
    <w:rsid w:val="00F5415C"/>
    <w:rsid w:val="00F54D58"/>
    <w:rsid w:val="00F57B0C"/>
    <w:rsid w:val="00F57C32"/>
    <w:rsid w:val="00F60DB3"/>
    <w:rsid w:val="00F63F79"/>
    <w:rsid w:val="00F651F4"/>
    <w:rsid w:val="00F667DA"/>
    <w:rsid w:val="00F6686E"/>
    <w:rsid w:val="00F66EB2"/>
    <w:rsid w:val="00F70327"/>
    <w:rsid w:val="00F742D4"/>
    <w:rsid w:val="00F75694"/>
    <w:rsid w:val="00F75B44"/>
    <w:rsid w:val="00F75F30"/>
    <w:rsid w:val="00F77E87"/>
    <w:rsid w:val="00F81460"/>
    <w:rsid w:val="00F81CD1"/>
    <w:rsid w:val="00F848B6"/>
    <w:rsid w:val="00F8606A"/>
    <w:rsid w:val="00F96B4B"/>
    <w:rsid w:val="00FA3B6E"/>
    <w:rsid w:val="00FA6F22"/>
    <w:rsid w:val="00FB11EE"/>
    <w:rsid w:val="00FB22CA"/>
    <w:rsid w:val="00FB7F2D"/>
    <w:rsid w:val="00FC05B9"/>
    <w:rsid w:val="00FC136E"/>
    <w:rsid w:val="00FC1D5E"/>
    <w:rsid w:val="00FC5279"/>
    <w:rsid w:val="00FD1F35"/>
    <w:rsid w:val="00FD37E6"/>
    <w:rsid w:val="00FD41C2"/>
    <w:rsid w:val="00FD4AC2"/>
    <w:rsid w:val="00FD518B"/>
    <w:rsid w:val="00FD6BDC"/>
    <w:rsid w:val="00FE148D"/>
    <w:rsid w:val="00FE2A0A"/>
    <w:rsid w:val="00FF0BD5"/>
    <w:rsid w:val="00FF6D65"/>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B040F"/>
  <w15:docId w15:val="{EEFDFB60-8240-4E92-A84F-20757A20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56E40"/>
  </w:style>
  <w:style w:type="paragraph" w:styleId="Heading2">
    <w:name w:val="heading 2"/>
    <w:basedOn w:val="Normal"/>
    <w:next w:val="Normal"/>
    <w:link w:val="Heading2Char"/>
    <w:uiPriority w:val="9"/>
    <w:semiHidden/>
    <w:unhideWhenUsed/>
    <w:qFormat/>
    <w:rsid w:val="003F2B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A703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rsid w:val="00864A20"/>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character" w:customStyle="1" w:styleId="ListParagraphChar">
    <w:name w:val="List Paragraph Char"/>
    <w:aliases w:val="2 Char,Akapit z listą BS Char,Bullet 1 Char,Bullet Points Char,Dot pt Char,F5 List Paragraph Char,H&amp;P List Paragraph Char,IFCL - List Paragraph Char,Indicator Text Char,List Paragraph Char Char Char Char,List Paragraph1 Char"/>
    <w:link w:val="ListParagraph"/>
    <w:uiPriority w:val="34"/>
    <w:qFormat/>
    <w:locked/>
    <w:rsid w:val="00715530"/>
    <w:rPr>
      <w:sz w:val="24"/>
      <w:szCs w:val="24"/>
    </w:rPr>
  </w:style>
  <w:style w:type="paragraph" w:styleId="ListParagraph">
    <w:name w:val="List Paragraph"/>
    <w:aliases w:val="2,Akapit z listą BS,Bullet 1,Bullet Points,Dot pt,F5 List Paragraph,H&amp;P List Paragraph,IFCL - List Paragraph,Indicator Text,List Paragraph Char Char Char,List Paragraph1,List Paragraph12,MAIN CONTENT,Numbered Para 1,OBC Bullet,Strip"/>
    <w:basedOn w:val="Normal"/>
    <w:link w:val="ListParagraphChar"/>
    <w:uiPriority w:val="34"/>
    <w:qFormat/>
    <w:rsid w:val="00715530"/>
    <w:pPr>
      <w:spacing w:after="0" w:line="240" w:lineRule="auto"/>
      <w:ind w:left="720"/>
      <w:contextualSpacing/>
    </w:pPr>
    <w:rPr>
      <w:sz w:val="24"/>
      <w:szCs w:val="24"/>
    </w:rPr>
  </w:style>
  <w:style w:type="character" w:customStyle="1" w:styleId="FootnoteTextChar">
    <w:name w:val="Footnote Text Char"/>
    <w:aliases w:val="Char Char,Char Rakstz. Rakstz. Rakstz. Rakstz. Rakstz. Rakstz. Char,Char Rakstz. Rakstz. Rakstz. Rakstz. Rakstz. Rakstz. Rakstz. Char,Char Rakstz. Rakstz. Rakstz. Rakstz. Rakstz. Rakstz. Rakstz. Rakstz. Rakstz. Rakstz. Rakstz. Char"/>
    <w:link w:val="FootnoteText"/>
    <w:uiPriority w:val="99"/>
    <w:qFormat/>
    <w:locked/>
    <w:rsid w:val="00715530"/>
  </w:style>
  <w:style w:type="paragraph" w:styleId="FootnoteText">
    <w:name w:val="footnote text"/>
    <w:aliases w:val="Char,Char Rakstz. Rakstz. Rakstz. Rakstz. Rakstz. Rakstz.,Char Rakstz. Rakstz. Rakstz. Rakstz. Rakstz. Rakstz. Rakstz.,Char Rakstz. Rakstz. Rakstz. Rakstz. Rakstz. Rakstz. Rakstz. Rakstz. Rakstz. Rakstz. Rakstz.,Footnote,Fußnote,single spa"/>
    <w:basedOn w:val="Normal"/>
    <w:link w:val="FootnoteTextChar"/>
    <w:uiPriority w:val="99"/>
    <w:unhideWhenUsed/>
    <w:qFormat/>
    <w:rsid w:val="00715530"/>
    <w:pPr>
      <w:spacing w:after="0" w:line="240" w:lineRule="auto"/>
    </w:pPr>
  </w:style>
  <w:style w:type="character" w:customStyle="1" w:styleId="FootnoteTextChar1">
    <w:name w:val="Footnote Text Char1"/>
    <w:basedOn w:val="DefaultParagraphFont"/>
    <w:uiPriority w:val="99"/>
    <w:semiHidden/>
    <w:rsid w:val="00715530"/>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Vēres atsauce,de nota al pie,ftref"/>
    <w:link w:val="CharCharCharChar"/>
    <w:uiPriority w:val="99"/>
    <w:unhideWhenUsed/>
    <w:qFormat/>
    <w:rsid w:val="00715530"/>
    <w:rPr>
      <w:vertAlign w:val="superscript"/>
    </w:rPr>
  </w:style>
  <w:style w:type="paragraph" w:customStyle="1" w:styleId="CharCharCharChar">
    <w:name w:val="Char Char Char Char"/>
    <w:aliases w:val="Char2"/>
    <w:basedOn w:val="Normal"/>
    <w:next w:val="Normal"/>
    <w:link w:val="FootnoteReference"/>
    <w:uiPriority w:val="99"/>
    <w:rsid w:val="00715530"/>
    <w:pPr>
      <w:keepNext/>
      <w:keepLines/>
      <w:spacing w:before="120" w:line="240" w:lineRule="exact"/>
      <w:jc w:val="both"/>
      <w:outlineLvl w:val="0"/>
    </w:pPr>
    <w:rPr>
      <w:vertAlign w:val="superscript"/>
    </w:rPr>
  </w:style>
  <w:style w:type="character" w:customStyle="1" w:styleId="UnresolvedMention1">
    <w:name w:val="Unresolved Mention1"/>
    <w:basedOn w:val="DefaultParagraphFont"/>
    <w:uiPriority w:val="99"/>
    <w:semiHidden/>
    <w:unhideWhenUsed/>
    <w:rsid w:val="00234630"/>
    <w:rPr>
      <w:color w:val="808080"/>
      <w:shd w:val="clear" w:color="auto" w:fill="E6E6E6"/>
    </w:rPr>
  </w:style>
  <w:style w:type="character" w:styleId="CommentReference">
    <w:name w:val="annotation reference"/>
    <w:basedOn w:val="DefaultParagraphFont"/>
    <w:uiPriority w:val="99"/>
    <w:unhideWhenUsed/>
    <w:rsid w:val="00557373"/>
    <w:rPr>
      <w:sz w:val="16"/>
      <w:szCs w:val="16"/>
    </w:rPr>
  </w:style>
  <w:style w:type="paragraph" w:styleId="NoSpacing">
    <w:name w:val="No Spacing"/>
    <w:aliases w:val="No Spacing1,Normal1,Parastais"/>
    <w:link w:val="NoSpacingChar"/>
    <w:uiPriority w:val="1"/>
    <w:qFormat/>
    <w:rsid w:val="00557373"/>
    <w:pPr>
      <w:numPr>
        <w:numId w:val="1"/>
      </w:numPr>
      <w:spacing w:before="120" w:after="120" w:line="276" w:lineRule="auto"/>
      <w:jc w:val="both"/>
    </w:pPr>
    <w:rPr>
      <w:rFonts w:ascii="Times New Roman" w:eastAsia="Times New Roman" w:hAnsi="Times New Roman" w:cs="Times New Roman"/>
      <w:sz w:val="24"/>
      <w:szCs w:val="24"/>
    </w:rPr>
  </w:style>
  <w:style w:type="character" w:customStyle="1" w:styleId="NoSpacingChar">
    <w:name w:val="No Spacing Char"/>
    <w:aliases w:val="No Spacing1 Char,Normal1 Char,Parastais Char"/>
    <w:link w:val="NoSpacing"/>
    <w:uiPriority w:val="1"/>
    <w:locked/>
    <w:rsid w:val="00557373"/>
    <w:rPr>
      <w:rFonts w:ascii="Times New Roman" w:eastAsia="Times New Roman" w:hAnsi="Times New Roman" w:cs="Times New Roman"/>
      <w:sz w:val="24"/>
      <w:szCs w:val="24"/>
    </w:rPr>
  </w:style>
  <w:style w:type="paragraph" w:customStyle="1" w:styleId="naisc">
    <w:name w:val="naisc"/>
    <w:basedOn w:val="Normal"/>
    <w:rsid w:val="00FA3B6E"/>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522F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FB5"/>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rsid w:val="00D211A8"/>
    <w:pPr>
      <w:spacing w:line="240" w:lineRule="auto"/>
    </w:pPr>
    <w:rPr>
      <w:sz w:val="20"/>
      <w:szCs w:val="20"/>
    </w:rPr>
  </w:style>
  <w:style w:type="character" w:customStyle="1" w:styleId="CommentTextChar">
    <w:name w:val="Comment Text Char"/>
    <w:basedOn w:val="DefaultParagraphFont"/>
    <w:link w:val="CommentText"/>
    <w:uiPriority w:val="99"/>
    <w:rsid w:val="00D211A8"/>
    <w:rPr>
      <w:sz w:val="20"/>
      <w:szCs w:val="20"/>
    </w:rPr>
  </w:style>
  <w:style w:type="paragraph" w:styleId="CommentSubject">
    <w:name w:val="annotation subject"/>
    <w:basedOn w:val="CommentText"/>
    <w:next w:val="CommentText"/>
    <w:link w:val="CommentSubjectChar"/>
    <w:uiPriority w:val="99"/>
    <w:semiHidden/>
    <w:unhideWhenUsed/>
    <w:rsid w:val="00D211A8"/>
    <w:rPr>
      <w:b/>
      <w:bCs/>
    </w:rPr>
  </w:style>
  <w:style w:type="character" w:customStyle="1" w:styleId="CommentSubjectChar">
    <w:name w:val="Comment Subject Char"/>
    <w:basedOn w:val="CommentTextChar"/>
    <w:link w:val="CommentSubject"/>
    <w:uiPriority w:val="99"/>
    <w:semiHidden/>
    <w:rsid w:val="00D211A8"/>
    <w:rPr>
      <w:b/>
      <w:bCs/>
      <w:sz w:val="20"/>
      <w:szCs w:val="20"/>
    </w:rPr>
  </w:style>
  <w:style w:type="paragraph" w:customStyle="1" w:styleId="naisf">
    <w:name w:val="naisf"/>
    <w:basedOn w:val="Normal"/>
    <w:rsid w:val="006D5050"/>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customStyle="1" w:styleId="naisnod">
    <w:name w:val="naisnod"/>
    <w:basedOn w:val="Normal"/>
    <w:rsid w:val="006D5050"/>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styleId="NormalWeb">
    <w:name w:val="Normal (Web)"/>
    <w:basedOn w:val="Normal"/>
    <w:uiPriority w:val="99"/>
    <w:unhideWhenUsed/>
    <w:rsid w:val="00BC0B8B"/>
    <w:pPr>
      <w:spacing w:after="0" w:line="240" w:lineRule="auto"/>
    </w:pPr>
    <w:rPr>
      <w:rFonts w:ascii="Calibri" w:hAnsi="Calibri" w:cs="Calibri"/>
      <w:lang w:eastAsia="lv-LV"/>
    </w:rPr>
  </w:style>
  <w:style w:type="paragraph" w:customStyle="1" w:styleId="Standard">
    <w:name w:val="Standard"/>
    <w:rsid w:val="00FC136E"/>
    <w:pPr>
      <w:suppressAutoHyphens/>
      <w:autoSpaceDN w:val="0"/>
      <w:spacing w:after="0" w:line="240" w:lineRule="auto"/>
    </w:pPr>
    <w:rPr>
      <w:rFonts w:ascii="Times New Roman" w:eastAsia="Calibri" w:hAnsi="Times New Roman" w:cs="Times New Roman"/>
      <w:kern w:val="3"/>
      <w:sz w:val="24"/>
    </w:rPr>
  </w:style>
  <w:style w:type="character" w:customStyle="1" w:styleId="Heading3Char">
    <w:name w:val="Heading 3 Char"/>
    <w:basedOn w:val="DefaultParagraphFont"/>
    <w:link w:val="Heading3"/>
    <w:uiPriority w:val="9"/>
    <w:rsid w:val="00CA703F"/>
    <w:rPr>
      <w:rFonts w:ascii="Times New Roman" w:eastAsia="Times New Roman" w:hAnsi="Times New Roman" w:cs="Times New Roman"/>
      <w:b/>
      <w:bCs/>
      <w:sz w:val="27"/>
      <w:szCs w:val="27"/>
      <w:lang w:eastAsia="lv-LV"/>
    </w:rPr>
  </w:style>
  <w:style w:type="paragraph" w:customStyle="1" w:styleId="tv213">
    <w:name w:val="tv213"/>
    <w:basedOn w:val="Normal"/>
    <w:rsid w:val="00D07F2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
    <w:name w:val="t3"/>
    <w:basedOn w:val="DefaultParagraphFont"/>
    <w:rsid w:val="00A222B3"/>
  </w:style>
  <w:style w:type="character" w:customStyle="1" w:styleId="xmsofootnotereference">
    <w:name w:val="x_msofootnotereference"/>
    <w:basedOn w:val="DefaultParagraphFont"/>
    <w:rsid w:val="00C91A44"/>
  </w:style>
  <w:style w:type="paragraph" w:styleId="BodyText">
    <w:name w:val="Body Text"/>
    <w:basedOn w:val="Normal"/>
    <w:link w:val="BodyTextChar"/>
    <w:uiPriority w:val="99"/>
    <w:rsid w:val="0011497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14976"/>
    <w:rPr>
      <w:rFonts w:ascii="Times New Roman" w:eastAsia="Times New Roman" w:hAnsi="Times New Roman" w:cs="Times New Roman"/>
      <w:sz w:val="24"/>
      <w:szCs w:val="24"/>
    </w:rPr>
  </w:style>
  <w:style w:type="character" w:customStyle="1" w:styleId="glossary">
    <w:name w:val="glossary"/>
    <w:basedOn w:val="DefaultParagraphFont"/>
    <w:rsid w:val="007F7685"/>
  </w:style>
  <w:style w:type="character" w:customStyle="1" w:styleId="Heading2Char">
    <w:name w:val="Heading 2 Char"/>
    <w:basedOn w:val="DefaultParagraphFont"/>
    <w:link w:val="Heading2"/>
    <w:uiPriority w:val="9"/>
    <w:semiHidden/>
    <w:rsid w:val="003F2B66"/>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rsid w:val="00C2425A"/>
    <w:rPr>
      <w:color w:val="605E5C"/>
      <w:shd w:val="clear" w:color="auto" w:fill="E1DFDD"/>
    </w:rPr>
  </w:style>
  <w:style w:type="paragraph" w:customStyle="1" w:styleId="Default">
    <w:name w:val="Default"/>
    <w:rsid w:val="007F1DA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oj-italic">
    <w:name w:val="oj-italic"/>
    <w:basedOn w:val="DefaultParagraphFont"/>
    <w:rsid w:val="00AC280C"/>
  </w:style>
  <w:style w:type="table" w:styleId="TableGrid">
    <w:name w:val="Table Grid"/>
    <w:basedOn w:val="TableNormal"/>
    <w:uiPriority w:val="39"/>
    <w:rsid w:val="00B05ED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99302">
      <w:bodyDiv w:val="1"/>
      <w:marLeft w:val="0"/>
      <w:marRight w:val="0"/>
      <w:marTop w:val="0"/>
      <w:marBottom w:val="0"/>
      <w:divBdr>
        <w:top w:val="none" w:sz="0" w:space="0" w:color="auto"/>
        <w:left w:val="none" w:sz="0" w:space="0" w:color="auto"/>
        <w:bottom w:val="none" w:sz="0" w:space="0" w:color="auto"/>
        <w:right w:val="none" w:sz="0" w:space="0" w:color="auto"/>
      </w:divBdr>
      <w:divsChild>
        <w:div w:id="405030787">
          <w:marLeft w:val="0"/>
          <w:marRight w:val="0"/>
          <w:marTop w:val="0"/>
          <w:marBottom w:val="0"/>
          <w:divBdr>
            <w:top w:val="none" w:sz="0" w:space="0" w:color="auto"/>
            <w:left w:val="none" w:sz="0" w:space="0" w:color="auto"/>
            <w:bottom w:val="none" w:sz="0" w:space="0" w:color="auto"/>
            <w:right w:val="none" w:sz="0" w:space="0" w:color="auto"/>
          </w:divBdr>
        </w:div>
        <w:div w:id="2034568962">
          <w:marLeft w:val="0"/>
          <w:marRight w:val="0"/>
          <w:marTop w:val="0"/>
          <w:marBottom w:val="0"/>
          <w:divBdr>
            <w:top w:val="none" w:sz="0" w:space="0" w:color="auto"/>
            <w:left w:val="none" w:sz="0" w:space="0" w:color="auto"/>
            <w:bottom w:val="none" w:sz="0" w:space="0" w:color="auto"/>
            <w:right w:val="none" w:sz="0" w:space="0" w:color="auto"/>
          </w:divBdr>
        </w:div>
        <w:div w:id="963075138">
          <w:marLeft w:val="0"/>
          <w:marRight w:val="0"/>
          <w:marTop w:val="0"/>
          <w:marBottom w:val="0"/>
          <w:divBdr>
            <w:top w:val="none" w:sz="0" w:space="0" w:color="auto"/>
            <w:left w:val="none" w:sz="0" w:space="0" w:color="auto"/>
            <w:bottom w:val="none" w:sz="0" w:space="0" w:color="auto"/>
            <w:right w:val="none" w:sz="0" w:space="0" w:color="auto"/>
          </w:divBdr>
        </w:div>
        <w:div w:id="1938171763">
          <w:marLeft w:val="0"/>
          <w:marRight w:val="0"/>
          <w:marTop w:val="0"/>
          <w:marBottom w:val="0"/>
          <w:divBdr>
            <w:top w:val="none" w:sz="0" w:space="0" w:color="auto"/>
            <w:left w:val="none" w:sz="0" w:space="0" w:color="auto"/>
            <w:bottom w:val="none" w:sz="0" w:space="0" w:color="auto"/>
            <w:right w:val="none" w:sz="0" w:space="0" w:color="auto"/>
          </w:divBdr>
        </w:div>
      </w:divsChild>
    </w:div>
    <w:div w:id="116604103">
      <w:bodyDiv w:val="1"/>
      <w:marLeft w:val="0"/>
      <w:marRight w:val="0"/>
      <w:marTop w:val="0"/>
      <w:marBottom w:val="0"/>
      <w:divBdr>
        <w:top w:val="none" w:sz="0" w:space="0" w:color="auto"/>
        <w:left w:val="none" w:sz="0" w:space="0" w:color="auto"/>
        <w:bottom w:val="none" w:sz="0" w:space="0" w:color="auto"/>
        <w:right w:val="none" w:sz="0" w:space="0" w:color="auto"/>
      </w:divBdr>
    </w:div>
    <w:div w:id="154684041">
      <w:bodyDiv w:val="1"/>
      <w:marLeft w:val="0"/>
      <w:marRight w:val="0"/>
      <w:marTop w:val="0"/>
      <w:marBottom w:val="0"/>
      <w:divBdr>
        <w:top w:val="none" w:sz="0" w:space="0" w:color="auto"/>
        <w:left w:val="none" w:sz="0" w:space="0" w:color="auto"/>
        <w:bottom w:val="none" w:sz="0" w:space="0" w:color="auto"/>
        <w:right w:val="none" w:sz="0" w:space="0" w:color="auto"/>
      </w:divBdr>
      <w:divsChild>
        <w:div w:id="440615681">
          <w:marLeft w:val="0"/>
          <w:marRight w:val="0"/>
          <w:marTop w:val="480"/>
          <w:marBottom w:val="240"/>
          <w:divBdr>
            <w:top w:val="none" w:sz="0" w:space="0" w:color="auto"/>
            <w:left w:val="none" w:sz="0" w:space="0" w:color="auto"/>
            <w:bottom w:val="none" w:sz="0" w:space="0" w:color="auto"/>
            <w:right w:val="none" w:sz="0" w:space="0" w:color="auto"/>
          </w:divBdr>
        </w:div>
        <w:div w:id="111870723">
          <w:marLeft w:val="0"/>
          <w:marRight w:val="0"/>
          <w:marTop w:val="0"/>
          <w:marBottom w:val="567"/>
          <w:divBdr>
            <w:top w:val="none" w:sz="0" w:space="0" w:color="auto"/>
            <w:left w:val="none" w:sz="0" w:space="0" w:color="auto"/>
            <w:bottom w:val="none" w:sz="0" w:space="0" w:color="auto"/>
            <w:right w:val="none" w:sz="0" w:space="0" w:color="auto"/>
          </w:divBdr>
        </w:div>
      </w:divsChild>
    </w:div>
    <w:div w:id="310444058">
      <w:bodyDiv w:val="1"/>
      <w:marLeft w:val="0"/>
      <w:marRight w:val="0"/>
      <w:marTop w:val="0"/>
      <w:marBottom w:val="0"/>
      <w:divBdr>
        <w:top w:val="none" w:sz="0" w:space="0" w:color="auto"/>
        <w:left w:val="none" w:sz="0" w:space="0" w:color="auto"/>
        <w:bottom w:val="none" w:sz="0" w:space="0" w:color="auto"/>
        <w:right w:val="none" w:sz="0" w:space="0" w:color="auto"/>
      </w:divBdr>
    </w:div>
    <w:div w:id="407532264">
      <w:bodyDiv w:val="1"/>
      <w:marLeft w:val="0"/>
      <w:marRight w:val="0"/>
      <w:marTop w:val="0"/>
      <w:marBottom w:val="0"/>
      <w:divBdr>
        <w:top w:val="none" w:sz="0" w:space="0" w:color="auto"/>
        <w:left w:val="none" w:sz="0" w:space="0" w:color="auto"/>
        <w:bottom w:val="none" w:sz="0" w:space="0" w:color="auto"/>
        <w:right w:val="none" w:sz="0" w:space="0" w:color="auto"/>
      </w:divBdr>
    </w:div>
    <w:div w:id="440418111">
      <w:bodyDiv w:val="1"/>
      <w:marLeft w:val="0"/>
      <w:marRight w:val="0"/>
      <w:marTop w:val="0"/>
      <w:marBottom w:val="0"/>
      <w:divBdr>
        <w:top w:val="none" w:sz="0" w:space="0" w:color="auto"/>
        <w:left w:val="none" w:sz="0" w:space="0" w:color="auto"/>
        <w:bottom w:val="none" w:sz="0" w:space="0" w:color="auto"/>
        <w:right w:val="none" w:sz="0" w:space="0" w:color="auto"/>
      </w:divBdr>
    </w:div>
    <w:div w:id="524053552">
      <w:bodyDiv w:val="1"/>
      <w:marLeft w:val="0"/>
      <w:marRight w:val="0"/>
      <w:marTop w:val="0"/>
      <w:marBottom w:val="0"/>
      <w:divBdr>
        <w:top w:val="none" w:sz="0" w:space="0" w:color="auto"/>
        <w:left w:val="none" w:sz="0" w:space="0" w:color="auto"/>
        <w:bottom w:val="none" w:sz="0" w:space="0" w:color="auto"/>
        <w:right w:val="none" w:sz="0" w:space="0" w:color="auto"/>
      </w:divBdr>
      <w:divsChild>
        <w:div w:id="1295600420">
          <w:marLeft w:val="0"/>
          <w:marRight w:val="0"/>
          <w:marTop w:val="0"/>
          <w:marBottom w:val="0"/>
          <w:divBdr>
            <w:top w:val="none" w:sz="0" w:space="0" w:color="auto"/>
            <w:left w:val="none" w:sz="0" w:space="0" w:color="auto"/>
            <w:bottom w:val="none" w:sz="0" w:space="0" w:color="auto"/>
            <w:right w:val="none" w:sz="0" w:space="0" w:color="auto"/>
          </w:divBdr>
        </w:div>
        <w:div w:id="1393190513">
          <w:marLeft w:val="0"/>
          <w:marRight w:val="0"/>
          <w:marTop w:val="0"/>
          <w:marBottom w:val="0"/>
          <w:divBdr>
            <w:top w:val="none" w:sz="0" w:space="0" w:color="auto"/>
            <w:left w:val="none" w:sz="0" w:space="0" w:color="auto"/>
            <w:bottom w:val="none" w:sz="0" w:space="0" w:color="auto"/>
            <w:right w:val="none" w:sz="0" w:space="0" w:color="auto"/>
          </w:divBdr>
        </w:div>
      </w:divsChild>
    </w:div>
    <w:div w:id="543445985">
      <w:bodyDiv w:val="1"/>
      <w:marLeft w:val="0"/>
      <w:marRight w:val="0"/>
      <w:marTop w:val="0"/>
      <w:marBottom w:val="0"/>
      <w:divBdr>
        <w:top w:val="none" w:sz="0" w:space="0" w:color="auto"/>
        <w:left w:val="none" w:sz="0" w:space="0" w:color="auto"/>
        <w:bottom w:val="none" w:sz="0" w:space="0" w:color="auto"/>
        <w:right w:val="none" w:sz="0" w:space="0" w:color="auto"/>
      </w:divBdr>
    </w:div>
    <w:div w:id="815030950">
      <w:bodyDiv w:val="1"/>
      <w:marLeft w:val="0"/>
      <w:marRight w:val="0"/>
      <w:marTop w:val="0"/>
      <w:marBottom w:val="0"/>
      <w:divBdr>
        <w:top w:val="none" w:sz="0" w:space="0" w:color="auto"/>
        <w:left w:val="none" w:sz="0" w:space="0" w:color="auto"/>
        <w:bottom w:val="none" w:sz="0" w:space="0" w:color="auto"/>
        <w:right w:val="none" w:sz="0" w:space="0" w:color="auto"/>
      </w:divBdr>
    </w:div>
    <w:div w:id="866678615">
      <w:bodyDiv w:val="1"/>
      <w:marLeft w:val="0"/>
      <w:marRight w:val="0"/>
      <w:marTop w:val="0"/>
      <w:marBottom w:val="0"/>
      <w:divBdr>
        <w:top w:val="none" w:sz="0" w:space="0" w:color="auto"/>
        <w:left w:val="none" w:sz="0" w:space="0" w:color="auto"/>
        <w:bottom w:val="none" w:sz="0" w:space="0" w:color="auto"/>
        <w:right w:val="none" w:sz="0" w:space="0" w:color="auto"/>
      </w:divBdr>
    </w:div>
    <w:div w:id="898442691">
      <w:bodyDiv w:val="1"/>
      <w:marLeft w:val="0"/>
      <w:marRight w:val="0"/>
      <w:marTop w:val="0"/>
      <w:marBottom w:val="0"/>
      <w:divBdr>
        <w:top w:val="none" w:sz="0" w:space="0" w:color="auto"/>
        <w:left w:val="none" w:sz="0" w:space="0" w:color="auto"/>
        <w:bottom w:val="none" w:sz="0" w:space="0" w:color="auto"/>
        <w:right w:val="none" w:sz="0" w:space="0" w:color="auto"/>
      </w:divBdr>
    </w:div>
    <w:div w:id="917444414">
      <w:bodyDiv w:val="1"/>
      <w:marLeft w:val="0"/>
      <w:marRight w:val="0"/>
      <w:marTop w:val="0"/>
      <w:marBottom w:val="0"/>
      <w:divBdr>
        <w:top w:val="none" w:sz="0" w:space="0" w:color="auto"/>
        <w:left w:val="none" w:sz="0" w:space="0" w:color="auto"/>
        <w:bottom w:val="none" w:sz="0" w:space="0" w:color="auto"/>
        <w:right w:val="none" w:sz="0" w:space="0" w:color="auto"/>
      </w:divBdr>
    </w:div>
    <w:div w:id="1225802178">
      <w:bodyDiv w:val="1"/>
      <w:marLeft w:val="0"/>
      <w:marRight w:val="0"/>
      <w:marTop w:val="0"/>
      <w:marBottom w:val="0"/>
      <w:divBdr>
        <w:top w:val="none" w:sz="0" w:space="0" w:color="auto"/>
        <w:left w:val="none" w:sz="0" w:space="0" w:color="auto"/>
        <w:bottom w:val="none" w:sz="0" w:space="0" w:color="auto"/>
        <w:right w:val="none" w:sz="0" w:space="0" w:color="auto"/>
      </w:divBdr>
    </w:div>
    <w:div w:id="1272543938">
      <w:bodyDiv w:val="1"/>
      <w:marLeft w:val="0"/>
      <w:marRight w:val="0"/>
      <w:marTop w:val="0"/>
      <w:marBottom w:val="0"/>
      <w:divBdr>
        <w:top w:val="none" w:sz="0" w:space="0" w:color="auto"/>
        <w:left w:val="none" w:sz="0" w:space="0" w:color="auto"/>
        <w:bottom w:val="none" w:sz="0" w:space="0" w:color="auto"/>
        <w:right w:val="none" w:sz="0" w:space="0" w:color="auto"/>
      </w:divBdr>
    </w:div>
    <w:div w:id="1567836571">
      <w:bodyDiv w:val="1"/>
      <w:marLeft w:val="0"/>
      <w:marRight w:val="0"/>
      <w:marTop w:val="0"/>
      <w:marBottom w:val="0"/>
      <w:divBdr>
        <w:top w:val="none" w:sz="0" w:space="0" w:color="auto"/>
        <w:left w:val="none" w:sz="0" w:space="0" w:color="auto"/>
        <w:bottom w:val="none" w:sz="0" w:space="0" w:color="auto"/>
        <w:right w:val="none" w:sz="0" w:space="0" w:color="auto"/>
      </w:divBdr>
    </w:div>
    <w:div w:id="1726297654">
      <w:bodyDiv w:val="1"/>
      <w:marLeft w:val="0"/>
      <w:marRight w:val="0"/>
      <w:marTop w:val="0"/>
      <w:marBottom w:val="0"/>
      <w:divBdr>
        <w:top w:val="none" w:sz="0" w:space="0" w:color="auto"/>
        <w:left w:val="none" w:sz="0" w:space="0" w:color="auto"/>
        <w:bottom w:val="none" w:sz="0" w:space="0" w:color="auto"/>
        <w:right w:val="none" w:sz="0" w:space="0" w:color="auto"/>
      </w:divBdr>
    </w:div>
    <w:div w:id="1731687486">
      <w:bodyDiv w:val="1"/>
      <w:marLeft w:val="0"/>
      <w:marRight w:val="0"/>
      <w:marTop w:val="0"/>
      <w:marBottom w:val="0"/>
      <w:divBdr>
        <w:top w:val="none" w:sz="0" w:space="0" w:color="auto"/>
        <w:left w:val="none" w:sz="0" w:space="0" w:color="auto"/>
        <w:bottom w:val="none" w:sz="0" w:space="0" w:color="auto"/>
        <w:right w:val="none" w:sz="0" w:space="0" w:color="auto"/>
      </w:divBdr>
    </w:div>
    <w:div w:id="1907565610">
      <w:bodyDiv w:val="1"/>
      <w:marLeft w:val="0"/>
      <w:marRight w:val="0"/>
      <w:marTop w:val="0"/>
      <w:marBottom w:val="0"/>
      <w:divBdr>
        <w:top w:val="none" w:sz="0" w:space="0" w:color="auto"/>
        <w:left w:val="none" w:sz="0" w:space="0" w:color="auto"/>
        <w:bottom w:val="none" w:sz="0" w:space="0" w:color="auto"/>
        <w:right w:val="none" w:sz="0" w:space="0" w:color="auto"/>
      </w:divBdr>
    </w:div>
    <w:div w:id="21290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4628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Bruvere@v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istika.spkc.gov.lv/pxweb/lv/Health" TargetMode="External"/><Relationship Id="rId4" Type="http://schemas.openxmlformats.org/officeDocument/2006/relationships/settings" Target="settings.xml"/><Relationship Id="rId9" Type="http://schemas.openxmlformats.org/officeDocument/2006/relationships/hyperlink" Target="https://www.spkc.gov.lv/lv/statistika-un-petijumi/datu-baz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0C25D-1039-4007-BFB8-541C0409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7711</Words>
  <Characters>4396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2012. gada 3. aprīļa noteikumos Nr. 241 "Slimību profilakses un kontroles centra nolikums"”</vt:lpstr>
    </vt:vector>
  </TitlesOfParts>
  <Company>Veselības ministrija</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2012. gada 3. aprīļa noteikumos Nr. 241 "Slimību profilakses un kontroles centra nolikums"”</dc:title>
  <dc:subject>Anotācija</dc:subject>
  <dc:creator>Ieva Brūvere</dc:creator>
  <dc:description>I.Brūvere, 67876061; ieva.bruvere@vm.gov.lv</dc:description>
  <cp:lastModifiedBy>komandejumi</cp:lastModifiedBy>
  <cp:revision>2</cp:revision>
  <dcterms:created xsi:type="dcterms:W3CDTF">2020-12-04T08:05:00Z</dcterms:created>
  <dcterms:modified xsi:type="dcterms:W3CDTF">2020-12-04T08:05:00Z</dcterms:modified>
</cp:coreProperties>
</file>