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57DFE" w14:textId="77777777" w:rsidR="004E5C13" w:rsidRPr="00530266" w:rsidRDefault="004E5C13" w:rsidP="004E5C13">
      <w:pPr>
        <w:shd w:val="clear" w:color="auto" w:fill="FFFFFF"/>
        <w:spacing w:after="0" w:line="240" w:lineRule="auto"/>
        <w:jc w:val="center"/>
        <w:rPr>
          <w:rFonts w:ascii="Times New Roman" w:eastAsia="Times New Roman" w:hAnsi="Times New Roman" w:cs="Times New Roman"/>
          <w:b/>
          <w:bCs/>
          <w:sz w:val="28"/>
          <w:szCs w:val="24"/>
          <w:lang w:eastAsia="lv-LV"/>
        </w:rPr>
      </w:pPr>
      <w:r w:rsidRPr="00530266">
        <w:rPr>
          <w:rFonts w:ascii="Times New Roman" w:eastAsia="Times New Roman" w:hAnsi="Times New Roman" w:cs="Times New Roman"/>
          <w:b/>
          <w:bCs/>
          <w:sz w:val="28"/>
          <w:szCs w:val="24"/>
          <w:lang w:eastAsia="lv-LV"/>
        </w:rPr>
        <w:t xml:space="preserve">Ministru kabineta noteikumu projekta </w:t>
      </w:r>
    </w:p>
    <w:p w14:paraId="0FFF2389" w14:textId="77777777" w:rsidR="004E5C13" w:rsidRPr="00530266" w:rsidRDefault="004E5C13" w:rsidP="004E5C13">
      <w:pPr>
        <w:shd w:val="clear" w:color="auto" w:fill="FFFFFF"/>
        <w:spacing w:after="0" w:line="240" w:lineRule="auto"/>
        <w:jc w:val="center"/>
        <w:rPr>
          <w:rFonts w:ascii="Times New Roman" w:eastAsia="Times New Roman" w:hAnsi="Times New Roman" w:cs="Times New Roman"/>
          <w:b/>
          <w:bCs/>
          <w:sz w:val="28"/>
          <w:szCs w:val="24"/>
          <w:lang w:eastAsia="lv-LV"/>
        </w:rPr>
      </w:pPr>
      <w:r w:rsidRPr="00530266">
        <w:rPr>
          <w:rFonts w:ascii="Times New Roman" w:eastAsia="Times New Roman" w:hAnsi="Times New Roman" w:cs="Times New Roman"/>
          <w:b/>
          <w:bCs/>
          <w:sz w:val="28"/>
          <w:szCs w:val="24"/>
          <w:lang w:eastAsia="lv-LV"/>
        </w:rPr>
        <w:t>“Grozījumi Ministru kabineta 2006. gada 31. oktobra noteikumos Nr. 899 “Ambulatorajai ārstēšanai paredzēto zāļu un medicīnisko ierīču iegādes izdevumu kompensācijas kārtība”</w:t>
      </w:r>
      <w:r w:rsidRPr="00530266">
        <w:rPr>
          <w:rFonts w:ascii="Times New Roman" w:eastAsia="Times New Roman" w:hAnsi="Times New Roman" w:cs="Times New Roman"/>
          <w:b/>
          <w:bCs/>
          <w:sz w:val="28"/>
          <w:szCs w:val="24"/>
          <w:lang w:eastAsia="lv-LV"/>
        </w:rPr>
        <w:br/>
        <w:t>sākotnējās ietekmes novērtējuma ziņojums (anotācija)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879"/>
        <w:gridCol w:w="5819"/>
      </w:tblGrid>
      <w:tr w:rsidR="00BE47F1" w:rsidRPr="00530266" w14:paraId="54431BEC" w14:textId="77777777" w:rsidTr="00980CAA">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66D697"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30266">
              <w:rPr>
                <w:rFonts w:ascii="Times New Roman" w:eastAsia="Times New Roman" w:hAnsi="Times New Roman" w:cs="Times New Roman"/>
                <w:b/>
                <w:bCs/>
                <w:sz w:val="24"/>
                <w:szCs w:val="24"/>
                <w:lang w:eastAsia="lv-LV"/>
              </w:rPr>
              <w:t>Tiesību akta projekta anotācijas kopsavilkums</w:t>
            </w:r>
          </w:p>
        </w:tc>
      </w:tr>
      <w:tr w:rsidR="00CE33B2" w:rsidRPr="00530266" w14:paraId="456F5F89" w14:textId="77777777" w:rsidTr="00980CAA">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2D930800" w14:textId="77777777" w:rsidR="00BE47F1" w:rsidRPr="00530266" w:rsidRDefault="00BE47F1" w:rsidP="0098160C">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2FE679E" w14:textId="1B27248C" w:rsidR="004E5C13" w:rsidRPr="00530266" w:rsidRDefault="004E5C13" w:rsidP="004E5C13">
            <w:pPr>
              <w:spacing w:after="120" w:line="240" w:lineRule="auto"/>
              <w:jc w:val="both"/>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1. Uzlabot lētāku līdzvērtīgas terapeitiskās efektivitātes zāļu pieejamību:</w:t>
            </w:r>
          </w:p>
          <w:p w14:paraId="54DA0FD5" w14:textId="570E5DB6" w:rsidR="004E5C13" w:rsidRPr="00530266" w:rsidRDefault="004E5C13" w:rsidP="004E5C13">
            <w:pPr>
              <w:spacing w:after="120" w:line="240" w:lineRule="auto"/>
              <w:jc w:val="both"/>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xml:space="preserve">1.1. </w:t>
            </w:r>
            <w:r w:rsidR="00E95FEE" w:rsidRPr="00530266">
              <w:rPr>
                <w:rFonts w:ascii="Times New Roman" w:eastAsia="Times New Roman" w:hAnsi="Times New Roman" w:cs="Times New Roman"/>
                <w:iCs/>
                <w:sz w:val="24"/>
                <w:szCs w:val="24"/>
                <w:lang w:eastAsia="lv-LV"/>
              </w:rPr>
              <w:t>mazinot slogu lētāku līdzvērtīg</w:t>
            </w:r>
            <w:r w:rsidR="002F6748" w:rsidRPr="00530266">
              <w:rPr>
                <w:rFonts w:ascii="Times New Roman" w:eastAsia="Times New Roman" w:hAnsi="Times New Roman" w:cs="Times New Roman"/>
                <w:iCs/>
                <w:sz w:val="24"/>
                <w:szCs w:val="24"/>
                <w:lang w:eastAsia="lv-LV"/>
              </w:rPr>
              <w:t>u</w:t>
            </w:r>
            <w:r w:rsidR="00E95FEE" w:rsidRPr="00530266">
              <w:rPr>
                <w:rFonts w:ascii="Times New Roman" w:eastAsia="Times New Roman" w:hAnsi="Times New Roman" w:cs="Times New Roman"/>
                <w:iCs/>
                <w:sz w:val="24"/>
                <w:szCs w:val="24"/>
                <w:lang w:eastAsia="lv-LV"/>
              </w:rPr>
              <w:t xml:space="preserve"> terapeitisk</w:t>
            </w:r>
            <w:r w:rsidR="002F6748" w:rsidRPr="00530266">
              <w:rPr>
                <w:rFonts w:ascii="Times New Roman" w:eastAsia="Times New Roman" w:hAnsi="Times New Roman" w:cs="Times New Roman"/>
                <w:iCs/>
                <w:sz w:val="24"/>
                <w:szCs w:val="24"/>
                <w:lang w:eastAsia="lv-LV"/>
              </w:rPr>
              <w:t>o</w:t>
            </w:r>
            <w:r w:rsidR="00E95FEE" w:rsidRPr="00530266">
              <w:rPr>
                <w:rFonts w:ascii="Times New Roman" w:eastAsia="Times New Roman" w:hAnsi="Times New Roman" w:cs="Times New Roman"/>
                <w:iCs/>
                <w:sz w:val="24"/>
                <w:szCs w:val="24"/>
                <w:lang w:eastAsia="lv-LV"/>
              </w:rPr>
              <w:t xml:space="preserve"> efektivitā</w:t>
            </w:r>
            <w:r w:rsidR="002F6748" w:rsidRPr="00530266">
              <w:rPr>
                <w:rFonts w:ascii="Times New Roman" w:eastAsia="Times New Roman" w:hAnsi="Times New Roman" w:cs="Times New Roman"/>
                <w:iCs/>
                <w:sz w:val="24"/>
                <w:szCs w:val="24"/>
                <w:lang w:eastAsia="lv-LV"/>
              </w:rPr>
              <w:t>šu</w:t>
            </w:r>
            <w:r w:rsidR="00E95FEE" w:rsidRPr="00530266">
              <w:rPr>
                <w:rFonts w:ascii="Times New Roman" w:eastAsia="Times New Roman" w:hAnsi="Times New Roman" w:cs="Times New Roman"/>
                <w:iCs/>
                <w:sz w:val="24"/>
                <w:szCs w:val="24"/>
                <w:lang w:eastAsia="lv-LV"/>
              </w:rPr>
              <w:t xml:space="preserve"> zāļu ienākšanai tirgū;</w:t>
            </w:r>
          </w:p>
          <w:p w14:paraId="4C9E4CBF" w14:textId="7717CD7D" w:rsidR="004E5C13" w:rsidRPr="00530266" w:rsidRDefault="004E5C13" w:rsidP="004E5C13">
            <w:pPr>
              <w:spacing w:after="120" w:line="240" w:lineRule="auto"/>
              <w:jc w:val="both"/>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xml:space="preserve">1.2. </w:t>
            </w:r>
            <w:r w:rsidR="00E95FEE" w:rsidRPr="00530266">
              <w:rPr>
                <w:rFonts w:ascii="Times New Roman" w:eastAsia="Times New Roman" w:hAnsi="Times New Roman" w:cs="Times New Roman"/>
                <w:iCs/>
                <w:sz w:val="24"/>
                <w:szCs w:val="24"/>
                <w:lang w:eastAsia="lv-LV"/>
              </w:rPr>
              <w:t xml:space="preserve">nosakot references zāļu vai lētāko zāļu statusu un veicot references cenas pārrēķinu citām zālēm, nesvītrojot no Kompensējamo zāļu saraksta </w:t>
            </w:r>
            <w:r w:rsidR="001A0917" w:rsidRPr="00530266">
              <w:rPr>
                <w:rFonts w:ascii="Times New Roman" w:eastAsia="Times New Roman" w:hAnsi="Times New Roman" w:cs="Times New Roman"/>
                <w:iCs/>
                <w:sz w:val="24"/>
                <w:szCs w:val="24"/>
                <w:lang w:eastAsia="lv-LV"/>
              </w:rPr>
              <w:t xml:space="preserve">(turpmāk arī – KZS) </w:t>
            </w:r>
            <w:r w:rsidR="00E95FEE" w:rsidRPr="00530266">
              <w:rPr>
                <w:rFonts w:ascii="Times New Roman" w:eastAsia="Times New Roman" w:hAnsi="Times New Roman" w:cs="Times New Roman"/>
                <w:iCs/>
                <w:sz w:val="24"/>
                <w:szCs w:val="24"/>
                <w:lang w:eastAsia="lv-LV"/>
              </w:rPr>
              <w:t>references zāles, kas uz laiku nav pieejamas lieltirgotavās, bet, iespējams, ir pieejamas aptiekās;</w:t>
            </w:r>
          </w:p>
          <w:p w14:paraId="383110C2" w14:textId="4C0C93D0" w:rsidR="00E95FEE" w:rsidRPr="00530266" w:rsidRDefault="00E95FEE" w:rsidP="004E5C13">
            <w:pPr>
              <w:spacing w:after="120" w:line="240" w:lineRule="auto"/>
              <w:jc w:val="both"/>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1.3.precizēt praksē konstatētās nepilnības, kas var ietekmēt zāļu pieejamību</w:t>
            </w:r>
            <w:r w:rsidR="0077747A">
              <w:rPr>
                <w:rFonts w:ascii="Times New Roman" w:eastAsia="Times New Roman" w:hAnsi="Times New Roman" w:cs="Times New Roman"/>
                <w:iCs/>
                <w:sz w:val="24"/>
                <w:szCs w:val="24"/>
                <w:lang w:eastAsia="lv-LV"/>
              </w:rPr>
              <w:t>.</w:t>
            </w:r>
          </w:p>
          <w:p w14:paraId="5EB55EE2" w14:textId="25BF2E40" w:rsidR="004E5C13" w:rsidRPr="00530266" w:rsidRDefault="004E5C13" w:rsidP="00B3354E">
            <w:pPr>
              <w:spacing w:after="120" w:line="240" w:lineRule="auto"/>
              <w:jc w:val="both"/>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2. </w:t>
            </w:r>
            <w:r w:rsidR="00BF34DB" w:rsidRPr="00530266">
              <w:rPr>
                <w:rFonts w:ascii="Times New Roman" w:eastAsia="Times New Roman" w:hAnsi="Times New Roman" w:cs="Times New Roman"/>
                <w:iCs/>
                <w:sz w:val="24"/>
                <w:szCs w:val="24"/>
                <w:lang w:eastAsia="lv-LV"/>
              </w:rPr>
              <w:t xml:space="preserve">precizēt zāļu un medicīnisko ierīču kompensācijas </w:t>
            </w:r>
            <w:r w:rsidR="009E5EA4" w:rsidRPr="00530266">
              <w:rPr>
                <w:rFonts w:ascii="Times New Roman" w:eastAsia="Times New Roman" w:hAnsi="Times New Roman" w:cs="Times New Roman"/>
                <w:iCs/>
                <w:sz w:val="24"/>
                <w:szCs w:val="24"/>
                <w:lang w:eastAsia="lv-LV"/>
              </w:rPr>
              <w:t xml:space="preserve"> </w:t>
            </w:r>
            <w:r w:rsidR="00BF34DB" w:rsidRPr="00530266">
              <w:rPr>
                <w:rFonts w:ascii="Times New Roman" w:eastAsia="Times New Roman" w:hAnsi="Times New Roman" w:cs="Times New Roman"/>
                <w:iCs/>
                <w:sz w:val="24"/>
                <w:szCs w:val="24"/>
                <w:lang w:eastAsia="lv-LV"/>
              </w:rPr>
              <w:t>kategoriju slimības gadījumā, kas</w:t>
            </w:r>
            <w:r w:rsidR="009E5EA4" w:rsidRPr="00530266">
              <w:rPr>
                <w:rFonts w:ascii="Times New Roman" w:eastAsia="Times New Roman" w:hAnsi="Times New Roman" w:cs="Times New Roman"/>
                <w:iCs/>
                <w:sz w:val="24"/>
                <w:szCs w:val="24"/>
                <w:lang w:eastAsia="lv-LV"/>
              </w:rPr>
              <w:t xml:space="preserve"> izraisa smagu un neatgriezenisku invaliditāti</w:t>
            </w:r>
            <w:r w:rsidR="00BF34DB" w:rsidRPr="00530266">
              <w:rPr>
                <w:rFonts w:ascii="Times New Roman" w:eastAsia="Times New Roman" w:hAnsi="Times New Roman" w:cs="Times New Roman"/>
                <w:iCs/>
                <w:sz w:val="24"/>
                <w:szCs w:val="24"/>
                <w:lang w:eastAsia="lv-LV"/>
              </w:rPr>
              <w:t>.</w:t>
            </w:r>
          </w:p>
          <w:p w14:paraId="31CDF651" w14:textId="1F0EC0F0" w:rsidR="00BE47F1" w:rsidRPr="00530266" w:rsidRDefault="004E5C13" w:rsidP="004E5C13">
            <w:pPr>
              <w:spacing w:after="0" w:line="240" w:lineRule="auto"/>
              <w:jc w:val="both"/>
              <w:rPr>
                <w:rFonts w:ascii="Times New Roman" w:hAnsi="Times New Roman" w:cs="Times New Roman"/>
                <w:sz w:val="24"/>
                <w:szCs w:val="24"/>
              </w:rPr>
            </w:pPr>
            <w:r w:rsidRPr="00530266">
              <w:rPr>
                <w:rFonts w:ascii="Times New Roman" w:eastAsia="Times New Roman" w:hAnsi="Times New Roman" w:cs="Times New Roman"/>
                <w:iCs/>
                <w:sz w:val="24"/>
                <w:szCs w:val="24"/>
                <w:lang w:eastAsia="lv-LV"/>
              </w:rPr>
              <w:t xml:space="preserve">Noteikumi stājas spēkā </w:t>
            </w:r>
            <w:r w:rsidR="00FA1FFA" w:rsidRPr="00530266">
              <w:rPr>
                <w:rFonts w:ascii="Times New Roman" w:eastAsia="Times New Roman" w:hAnsi="Times New Roman" w:cs="Times New Roman"/>
                <w:iCs/>
                <w:sz w:val="24"/>
                <w:szCs w:val="24"/>
                <w:lang w:eastAsia="lv-LV"/>
              </w:rPr>
              <w:t>vispārējā kārtībā.</w:t>
            </w:r>
          </w:p>
        </w:tc>
      </w:tr>
    </w:tbl>
    <w:p w14:paraId="233E4B44" w14:textId="7E6EB0A0" w:rsidR="002E5AA8" w:rsidRPr="00530266" w:rsidRDefault="002E5AA8" w:rsidP="00076AF1">
      <w:pPr>
        <w:rPr>
          <w:rFonts w:ascii="Times New Roman" w:eastAsia="Times New Roman" w:hAnsi="Times New Roman" w:cs="Times New Roman"/>
          <w:sz w:val="24"/>
          <w:szCs w:val="24"/>
          <w:lang w:eastAsia="lv-LV"/>
        </w:rPr>
      </w:pPr>
    </w:p>
    <w:p w14:paraId="777ADD70" w14:textId="77777777" w:rsidR="00076AF1" w:rsidRPr="00530266" w:rsidRDefault="00076AF1" w:rsidP="00076AF1">
      <w:pPr>
        <w:rPr>
          <w:rFonts w:ascii="Times New Roman" w:eastAsia="Times New Roman" w:hAnsi="Times New Roman" w:cs="Times New Roman"/>
          <w:sz w:val="24"/>
          <w:szCs w:val="24"/>
          <w:lang w:eastAsia="lv-LV"/>
        </w:rPr>
      </w:pPr>
    </w:p>
    <w:tbl>
      <w:tblPr>
        <w:tblpPr w:leftFromText="180" w:rightFromText="180" w:vertAnchor="text" w:tblpXSpec="right" w:tblpY="1"/>
        <w:tblOverlap w:val="neve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42"/>
        <w:gridCol w:w="2962"/>
        <w:gridCol w:w="6482"/>
      </w:tblGrid>
      <w:tr w:rsidR="00CE33B2" w:rsidRPr="00530266" w14:paraId="55B0FF7C" w14:textId="77777777" w:rsidTr="00980CAA">
        <w:trPr>
          <w:trHeight w:val="32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A0DFD09"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30266">
              <w:rPr>
                <w:rFonts w:ascii="Times New Roman" w:eastAsia="Times New Roman" w:hAnsi="Times New Roman" w:cs="Times New Roman"/>
                <w:b/>
                <w:bCs/>
                <w:sz w:val="24"/>
                <w:szCs w:val="24"/>
                <w:lang w:eastAsia="lv-LV"/>
              </w:rPr>
              <w:t>I. Tiesību akta projekta izstrādes nepieciešamība</w:t>
            </w:r>
          </w:p>
        </w:tc>
      </w:tr>
      <w:tr w:rsidR="00CE33B2" w:rsidRPr="00530266" w14:paraId="74DA2CF6" w14:textId="77777777" w:rsidTr="00980CAA">
        <w:trPr>
          <w:trHeight w:val="324"/>
        </w:trPr>
        <w:tc>
          <w:tcPr>
            <w:tcW w:w="125" w:type="pct"/>
            <w:tcBorders>
              <w:top w:val="outset" w:sz="6" w:space="0" w:color="414142"/>
              <w:left w:val="outset" w:sz="6" w:space="0" w:color="414142"/>
              <w:bottom w:val="outset" w:sz="6" w:space="0" w:color="414142"/>
              <w:right w:val="outset" w:sz="6" w:space="0" w:color="414142"/>
            </w:tcBorders>
            <w:hideMark/>
          </w:tcPr>
          <w:p w14:paraId="02462140"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1.</w:t>
            </w:r>
          </w:p>
        </w:tc>
        <w:tc>
          <w:tcPr>
            <w:tcW w:w="1529" w:type="pct"/>
            <w:tcBorders>
              <w:top w:val="outset" w:sz="6" w:space="0" w:color="414142"/>
              <w:left w:val="outset" w:sz="6" w:space="0" w:color="414142"/>
              <w:bottom w:val="outset" w:sz="6" w:space="0" w:color="414142"/>
              <w:right w:val="outset" w:sz="6" w:space="0" w:color="414142"/>
            </w:tcBorders>
            <w:hideMark/>
          </w:tcPr>
          <w:p w14:paraId="577648A0" w14:textId="77777777" w:rsidR="00BE47F1" w:rsidRPr="00530266" w:rsidRDefault="00BE47F1" w:rsidP="00980CAA">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iCs/>
                <w:sz w:val="24"/>
                <w:szCs w:val="24"/>
              </w:rPr>
              <w:t>Pamatojums</w:t>
            </w:r>
          </w:p>
        </w:tc>
        <w:tc>
          <w:tcPr>
            <w:tcW w:w="3346" w:type="pct"/>
            <w:tcBorders>
              <w:top w:val="outset" w:sz="6" w:space="0" w:color="414142"/>
              <w:left w:val="outset" w:sz="6" w:space="0" w:color="414142"/>
              <w:bottom w:val="outset" w:sz="6" w:space="0" w:color="414142"/>
              <w:right w:val="outset" w:sz="6" w:space="0" w:color="414142"/>
            </w:tcBorders>
            <w:hideMark/>
          </w:tcPr>
          <w:p w14:paraId="1C4D798F" w14:textId="140C8CAF" w:rsidR="00FA1FFA" w:rsidRPr="00530266" w:rsidRDefault="009E5EA4" w:rsidP="00FA1FFA">
            <w:pPr>
              <w:pStyle w:val="NoSpacing"/>
              <w:rPr>
                <w:rFonts w:ascii="Times New Roman" w:hAnsi="Times New Roman" w:cs="Times New Roman"/>
                <w:sz w:val="24"/>
                <w:szCs w:val="24"/>
                <w:lang w:eastAsia="lv-LV"/>
              </w:rPr>
            </w:pPr>
            <w:r w:rsidRPr="00530266">
              <w:rPr>
                <w:rFonts w:ascii="Times New Roman" w:hAnsi="Times New Roman" w:cs="Times New Roman"/>
                <w:sz w:val="24"/>
                <w:szCs w:val="24"/>
                <w:lang w:eastAsia="lv-LV"/>
              </w:rPr>
              <w:t xml:space="preserve">1) Farmācijas likuma 5. panta 20. punkts </w:t>
            </w:r>
          </w:p>
          <w:p w14:paraId="39168AD5" w14:textId="30D8D829" w:rsidR="00FA1FFA" w:rsidRPr="00530266" w:rsidRDefault="009E5EA4" w:rsidP="00FA1FFA">
            <w:pPr>
              <w:pStyle w:val="NoSpacing"/>
              <w:rPr>
                <w:rFonts w:ascii="Times New Roman" w:hAnsi="Times New Roman" w:cs="Times New Roman"/>
                <w:sz w:val="24"/>
                <w:szCs w:val="24"/>
                <w:lang w:eastAsia="lv-LV"/>
              </w:rPr>
            </w:pPr>
            <w:r w:rsidRPr="00530266">
              <w:rPr>
                <w:rFonts w:ascii="Times New Roman" w:hAnsi="Times New Roman" w:cs="Times New Roman"/>
                <w:sz w:val="24"/>
                <w:szCs w:val="24"/>
                <w:lang w:eastAsia="lv-LV"/>
              </w:rPr>
              <w:t xml:space="preserve">2) </w:t>
            </w:r>
            <w:r w:rsidR="00FA1FFA" w:rsidRPr="00530266">
              <w:rPr>
                <w:rFonts w:ascii="Times New Roman" w:hAnsi="Times New Roman" w:cs="Times New Roman"/>
                <w:sz w:val="24"/>
                <w:szCs w:val="24"/>
                <w:lang w:eastAsia="lv-LV"/>
              </w:rPr>
              <w:t>Veselības ministrijas iniciatīva</w:t>
            </w:r>
          </w:p>
          <w:p w14:paraId="25BA3D9B" w14:textId="407DD2B7" w:rsidR="008049F2" w:rsidRPr="00530266" w:rsidRDefault="008049F2" w:rsidP="00FA1FFA">
            <w:pPr>
              <w:pStyle w:val="NoSpacing"/>
              <w:rPr>
                <w:rFonts w:ascii="Times New Roman" w:hAnsi="Times New Roman" w:cs="Times New Roman"/>
                <w:sz w:val="24"/>
                <w:szCs w:val="24"/>
                <w:lang w:eastAsia="lv-LV"/>
              </w:rPr>
            </w:pPr>
            <w:r w:rsidRPr="00530266">
              <w:rPr>
                <w:rFonts w:ascii="Times New Roman" w:hAnsi="Times New Roman" w:cs="Times New Roman"/>
                <w:sz w:val="24"/>
                <w:szCs w:val="24"/>
                <w:lang w:eastAsia="lv-LV"/>
              </w:rPr>
              <w:t>3) SSK – 10 atjaunotā versija</w:t>
            </w:r>
          </w:p>
        </w:tc>
      </w:tr>
      <w:tr w:rsidR="00CE33B2" w:rsidRPr="00530266" w14:paraId="04A7F56B" w14:textId="77777777" w:rsidTr="00980CAA">
        <w:trPr>
          <w:trHeight w:val="372"/>
        </w:trPr>
        <w:tc>
          <w:tcPr>
            <w:tcW w:w="125" w:type="pct"/>
            <w:tcBorders>
              <w:top w:val="outset" w:sz="6" w:space="0" w:color="414142"/>
              <w:left w:val="outset" w:sz="6" w:space="0" w:color="414142"/>
              <w:bottom w:val="outset" w:sz="6" w:space="0" w:color="414142"/>
              <w:right w:val="outset" w:sz="6" w:space="0" w:color="414142"/>
            </w:tcBorders>
            <w:hideMark/>
          </w:tcPr>
          <w:p w14:paraId="70FBC869"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2.</w:t>
            </w:r>
          </w:p>
        </w:tc>
        <w:tc>
          <w:tcPr>
            <w:tcW w:w="1529" w:type="pct"/>
            <w:tcBorders>
              <w:top w:val="outset" w:sz="6" w:space="0" w:color="414142"/>
              <w:left w:val="outset" w:sz="6" w:space="0" w:color="414142"/>
              <w:bottom w:val="outset" w:sz="6" w:space="0" w:color="414142"/>
              <w:right w:val="outset" w:sz="6" w:space="0" w:color="414142"/>
            </w:tcBorders>
            <w:hideMark/>
          </w:tcPr>
          <w:p w14:paraId="0644457B"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042A315D" w14:textId="77777777" w:rsidR="00BE47F1" w:rsidRPr="00530266" w:rsidRDefault="00BE47F1" w:rsidP="00980CAA">
            <w:pPr>
              <w:rPr>
                <w:rFonts w:ascii="Times New Roman" w:eastAsia="Times New Roman" w:hAnsi="Times New Roman" w:cs="Times New Roman"/>
                <w:sz w:val="24"/>
                <w:szCs w:val="24"/>
                <w:lang w:eastAsia="lv-LV"/>
              </w:rPr>
            </w:pPr>
          </w:p>
          <w:p w14:paraId="61B480AB" w14:textId="77777777" w:rsidR="00BE47F1" w:rsidRPr="00530266" w:rsidRDefault="00BE47F1" w:rsidP="00980CAA">
            <w:pPr>
              <w:tabs>
                <w:tab w:val="left" w:pos="600"/>
              </w:tabs>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ab/>
            </w:r>
          </w:p>
          <w:p w14:paraId="64B90FB0" w14:textId="77777777" w:rsidR="00BE47F1" w:rsidRPr="00530266" w:rsidRDefault="00BE47F1" w:rsidP="00980CAA">
            <w:pPr>
              <w:rPr>
                <w:rFonts w:ascii="Times New Roman" w:eastAsia="Times New Roman" w:hAnsi="Times New Roman" w:cs="Times New Roman"/>
                <w:sz w:val="24"/>
                <w:szCs w:val="24"/>
                <w:lang w:eastAsia="lv-LV"/>
              </w:rPr>
            </w:pPr>
          </w:p>
          <w:p w14:paraId="2A9BBE89" w14:textId="77777777" w:rsidR="00BE47F1" w:rsidRPr="00530266" w:rsidRDefault="00BE47F1" w:rsidP="00980CAA">
            <w:pPr>
              <w:rPr>
                <w:rFonts w:ascii="Times New Roman" w:eastAsia="Times New Roman" w:hAnsi="Times New Roman" w:cs="Times New Roman"/>
                <w:sz w:val="24"/>
                <w:szCs w:val="24"/>
                <w:lang w:eastAsia="lv-LV"/>
              </w:rPr>
            </w:pPr>
          </w:p>
          <w:p w14:paraId="33E96151" w14:textId="77777777" w:rsidR="00BE47F1" w:rsidRPr="00530266" w:rsidRDefault="00BE47F1" w:rsidP="00980CAA">
            <w:pPr>
              <w:jc w:val="center"/>
              <w:rPr>
                <w:rFonts w:ascii="Times New Roman" w:eastAsia="Times New Roman" w:hAnsi="Times New Roman" w:cs="Times New Roman"/>
                <w:sz w:val="24"/>
                <w:szCs w:val="24"/>
                <w:lang w:eastAsia="lv-LV"/>
              </w:rPr>
            </w:pPr>
          </w:p>
        </w:tc>
        <w:tc>
          <w:tcPr>
            <w:tcW w:w="3346" w:type="pct"/>
            <w:tcBorders>
              <w:top w:val="outset" w:sz="6" w:space="0" w:color="414142"/>
              <w:left w:val="outset" w:sz="6" w:space="0" w:color="414142"/>
              <w:bottom w:val="outset" w:sz="6" w:space="0" w:color="414142"/>
              <w:right w:val="outset" w:sz="6" w:space="0" w:color="414142"/>
            </w:tcBorders>
            <w:hideMark/>
          </w:tcPr>
          <w:p w14:paraId="3470D678" w14:textId="79EC019A" w:rsidR="007903B9" w:rsidRPr="00530266" w:rsidRDefault="00776DEC" w:rsidP="00776DEC">
            <w:pPr>
              <w:pStyle w:val="tv213"/>
              <w:spacing w:before="0" w:beforeAutospacing="0" w:after="0" w:afterAutospacing="0"/>
              <w:jc w:val="both"/>
              <w:rPr>
                <w:shd w:val="clear" w:color="auto" w:fill="FFFFFF"/>
                <w:lang w:val="lv-LV"/>
              </w:rPr>
            </w:pPr>
            <w:r w:rsidRPr="00530266">
              <w:rPr>
                <w:iCs/>
                <w:lang w:val="lv-LV" w:eastAsia="lv-LV"/>
              </w:rPr>
              <w:t> </w:t>
            </w:r>
            <w:r w:rsidR="007903B9" w:rsidRPr="00530266">
              <w:rPr>
                <w:iCs/>
                <w:lang w:val="lv-LV" w:eastAsia="lv-LV"/>
              </w:rPr>
              <w:t xml:space="preserve">1) </w:t>
            </w:r>
            <w:r w:rsidRPr="00530266">
              <w:rPr>
                <w:iCs/>
                <w:lang w:val="lv-LV" w:eastAsia="lv-LV"/>
              </w:rPr>
              <w:t>Ministru kabineta 2006. gada 31. oktobra noteikumu Nr. 899 “Ambulatorajai ārstēšanai paredzēto zāļu un medicīnisko ierīču iegādes izdevumu kompensācijas kārtība”</w:t>
            </w:r>
            <w:r w:rsidR="0083718C" w:rsidRPr="00530266">
              <w:rPr>
                <w:iCs/>
                <w:lang w:val="lv-LV" w:eastAsia="lv-LV"/>
              </w:rPr>
              <w:t xml:space="preserve"> (turpmāk – Noteikumi)</w:t>
            </w:r>
            <w:r w:rsidRPr="00530266">
              <w:rPr>
                <w:iCs/>
                <w:lang w:val="lv-LV" w:eastAsia="lv-LV"/>
              </w:rPr>
              <w:t xml:space="preserve"> </w:t>
            </w:r>
            <w:r w:rsidR="00177941" w:rsidRPr="00530266">
              <w:rPr>
                <w:shd w:val="clear" w:color="auto" w:fill="FFFFFF"/>
                <w:lang w:val="lv-LV"/>
              </w:rPr>
              <w:t xml:space="preserve"> </w:t>
            </w:r>
          </w:p>
          <w:p w14:paraId="03E68DCE" w14:textId="62F3DA5D" w:rsidR="007903B9" w:rsidRPr="00530266" w:rsidRDefault="007903B9" w:rsidP="007903B9">
            <w:pPr>
              <w:pStyle w:val="tv213"/>
              <w:spacing w:before="0" w:beforeAutospacing="0" w:after="0" w:afterAutospacing="0"/>
              <w:jc w:val="both"/>
              <w:rPr>
                <w:shd w:val="clear" w:color="auto" w:fill="FFFFFF"/>
                <w:lang w:val="lv-LV"/>
              </w:rPr>
            </w:pPr>
            <w:r w:rsidRPr="00530266">
              <w:rPr>
                <w:lang w:val="lv-LV"/>
              </w:rPr>
              <w:t>38.</w:t>
            </w:r>
            <w:r w:rsidRPr="00530266">
              <w:rPr>
                <w:vertAlign w:val="superscript"/>
                <w:lang w:val="lv-LV"/>
              </w:rPr>
              <w:t xml:space="preserve">3 </w:t>
            </w:r>
            <w:r w:rsidRPr="00530266">
              <w:rPr>
                <w:lang w:val="lv-LV"/>
              </w:rPr>
              <w:t>punkts nosaka proporcionāl</w:t>
            </w:r>
            <w:r w:rsidR="002F6748" w:rsidRPr="00530266">
              <w:rPr>
                <w:lang w:val="lv-LV"/>
              </w:rPr>
              <w:t>u</w:t>
            </w:r>
            <w:r w:rsidRPr="00530266">
              <w:rPr>
                <w:lang w:val="lv-LV"/>
              </w:rPr>
              <w:t xml:space="preserve"> cenas samazinājumu</w:t>
            </w:r>
            <w:r w:rsidR="002F6748" w:rsidRPr="00530266">
              <w:rPr>
                <w:lang w:val="lv-LV"/>
              </w:rPr>
              <w:t>,</w:t>
            </w:r>
            <w:r w:rsidRPr="00530266">
              <w:rPr>
                <w:lang w:val="lv-LV"/>
              </w:rPr>
              <w:t xml:space="preserve"> iekļaujot jaunas zāles kompensējamo zāļu A sarakstā attiecīgā zāļu vispārīg</w:t>
            </w:r>
            <w:r w:rsidR="002F6748" w:rsidRPr="00530266">
              <w:rPr>
                <w:lang w:val="lv-LV"/>
              </w:rPr>
              <w:t>ā</w:t>
            </w:r>
            <w:r w:rsidRPr="00530266">
              <w:rPr>
                <w:lang w:val="lv-LV"/>
              </w:rPr>
              <w:t xml:space="preserve"> nosaukuma vai kombinēto zāļu ietvarā.</w:t>
            </w:r>
            <w:r w:rsidRPr="00530266">
              <w:rPr>
                <w:shd w:val="clear" w:color="auto" w:fill="FFFFFF"/>
                <w:lang w:val="lv-LV"/>
              </w:rPr>
              <w:t xml:space="preserve"> </w:t>
            </w:r>
          </w:p>
          <w:p w14:paraId="3EDAB821" w14:textId="68BF0BAD" w:rsidR="007903B9" w:rsidRPr="00530266" w:rsidRDefault="00B85F4C" w:rsidP="007903B9">
            <w:pPr>
              <w:pStyle w:val="tv213"/>
              <w:spacing w:before="0" w:beforeAutospacing="0" w:after="0" w:afterAutospacing="0"/>
              <w:jc w:val="both"/>
              <w:rPr>
                <w:lang w:val="lv-LV"/>
              </w:rPr>
            </w:pPr>
            <w:r w:rsidRPr="00530266">
              <w:rPr>
                <w:shd w:val="clear" w:color="auto" w:fill="FFFFFF"/>
                <w:lang w:val="lv-LV"/>
              </w:rPr>
              <w:t>Taču zāļu ražotāju pārstāvji ir norādījuši, ka situācijā, kad KZS viena vispārīgā nosaukuma ietvarā ir vismaz piecas ražotāju zāles un tādējādi sākotnējā cena ir s</w:t>
            </w:r>
            <w:r w:rsidR="003E6BDF" w:rsidRPr="00530266">
              <w:rPr>
                <w:shd w:val="clear" w:color="auto" w:fill="FFFFFF"/>
                <w:lang w:val="lv-LV"/>
              </w:rPr>
              <w:t>a</w:t>
            </w:r>
            <w:r w:rsidRPr="00530266">
              <w:rPr>
                <w:shd w:val="clear" w:color="auto" w:fill="FFFFFF"/>
                <w:lang w:val="lv-LV"/>
              </w:rPr>
              <w:t>mazināta gandrīz par pusi vai vairāk (</w:t>
            </w:r>
            <w:r w:rsidRPr="00530266">
              <w:rPr>
                <w:i/>
                <w:iCs/>
                <w:shd w:val="clear" w:color="auto" w:fill="FFFFFF"/>
                <w:lang w:val="lv-LV"/>
              </w:rPr>
              <w:t>30%., 10%., 10.%, 5%</w:t>
            </w:r>
            <w:r w:rsidR="00595E45" w:rsidRPr="00530266">
              <w:rPr>
                <w:i/>
                <w:iCs/>
                <w:shd w:val="clear" w:color="auto" w:fill="FFFFFF"/>
                <w:lang w:val="lv-LV"/>
              </w:rPr>
              <w:t xml:space="preserve"> – </w:t>
            </w:r>
            <w:r w:rsidRPr="00530266">
              <w:rPr>
                <w:i/>
                <w:iCs/>
                <w:shd w:val="clear" w:color="auto" w:fill="FFFFFF"/>
                <w:lang w:val="lv-LV"/>
              </w:rPr>
              <w:t>attiecīgi katrā solī</w:t>
            </w:r>
            <w:r w:rsidR="00595E45" w:rsidRPr="00530266">
              <w:rPr>
                <w:i/>
                <w:iCs/>
                <w:shd w:val="clear" w:color="auto" w:fill="FFFFFF"/>
                <w:lang w:val="lv-LV"/>
              </w:rPr>
              <w:t xml:space="preserve"> iekļaujot jaunas līdzvērtīgas efektivitātes zāles</w:t>
            </w:r>
            <w:r w:rsidRPr="00530266">
              <w:rPr>
                <w:shd w:val="clear" w:color="auto" w:fill="FFFFFF"/>
                <w:lang w:val="lv-LV"/>
              </w:rPr>
              <w:t>)</w:t>
            </w:r>
            <w:r w:rsidR="003E6BDF" w:rsidRPr="00530266">
              <w:rPr>
                <w:shd w:val="clear" w:color="auto" w:fill="FFFFFF"/>
                <w:lang w:val="lv-LV"/>
              </w:rPr>
              <w:t>,</w:t>
            </w:r>
            <w:r w:rsidRPr="00530266">
              <w:rPr>
                <w:shd w:val="clear" w:color="auto" w:fill="FFFFFF"/>
                <w:lang w:val="lv-LV"/>
              </w:rPr>
              <w:t xml:space="preserve"> jauni ražotāji savas zāles neiekļauj, jo tie nevar piedāvāt vēl zemāku cenu. Arī </w:t>
            </w:r>
            <w:r w:rsidR="001A0917" w:rsidRPr="00530266">
              <w:rPr>
                <w:shd w:val="clear" w:color="auto" w:fill="FFFFFF"/>
                <w:lang w:val="lv-LV"/>
              </w:rPr>
              <w:t>Nacionālā veselības dienesta (</w:t>
            </w:r>
            <w:r w:rsidR="007903B9" w:rsidRPr="00530266">
              <w:rPr>
                <w:shd w:val="clear" w:color="auto" w:fill="FFFFFF"/>
                <w:lang w:val="lv-LV"/>
              </w:rPr>
              <w:t>NVD</w:t>
            </w:r>
            <w:r w:rsidR="001A0917" w:rsidRPr="00530266">
              <w:rPr>
                <w:shd w:val="clear" w:color="auto" w:fill="FFFFFF"/>
                <w:lang w:val="lv-LV"/>
              </w:rPr>
              <w:t>)</w:t>
            </w:r>
            <w:r w:rsidR="007903B9" w:rsidRPr="00530266">
              <w:rPr>
                <w:shd w:val="clear" w:color="auto" w:fill="FFFFFF"/>
                <w:lang w:val="lv-LV"/>
              </w:rPr>
              <w:t xml:space="preserve"> pieredze rāda, ka minētā norma sāk kavēt jaunu lētāko līdzvērtīgas terapeitiskās efektivitātes zāļu ienākšan</w:t>
            </w:r>
            <w:r w:rsidR="002F6748" w:rsidRPr="00530266">
              <w:rPr>
                <w:shd w:val="clear" w:color="auto" w:fill="FFFFFF"/>
                <w:lang w:val="lv-LV"/>
              </w:rPr>
              <w:t>u</w:t>
            </w:r>
            <w:r w:rsidR="007903B9" w:rsidRPr="00530266">
              <w:rPr>
                <w:shd w:val="clear" w:color="auto" w:fill="FFFFFF"/>
                <w:lang w:val="lv-LV"/>
              </w:rPr>
              <w:t xml:space="preserve"> KZS, jo norādītais cenu starpības slieksnis 5% </w:t>
            </w:r>
            <w:r w:rsidR="00FE35CA" w:rsidRPr="00530266">
              <w:rPr>
                <w:shd w:val="clear" w:color="auto" w:fill="FFFFFF"/>
                <w:lang w:val="lv-LV"/>
              </w:rPr>
              <w:t xml:space="preserve">apmērā </w:t>
            </w:r>
            <w:r w:rsidRPr="00530266">
              <w:rPr>
                <w:shd w:val="clear" w:color="auto" w:fill="FFFFFF"/>
                <w:lang w:val="lv-LV"/>
              </w:rPr>
              <w:t>arī piektajā, sestajā, septītajā u</w:t>
            </w:r>
            <w:r w:rsidR="00FE35CA" w:rsidRPr="00530266">
              <w:rPr>
                <w:shd w:val="clear" w:color="auto" w:fill="FFFFFF"/>
                <w:lang w:val="lv-LV"/>
              </w:rPr>
              <w:t xml:space="preserve">n turpmākajos </w:t>
            </w:r>
            <w:r w:rsidRPr="00530266">
              <w:rPr>
                <w:shd w:val="clear" w:color="auto" w:fill="FFFFFF"/>
                <w:lang w:val="lv-LV"/>
              </w:rPr>
              <w:t>gadījum</w:t>
            </w:r>
            <w:r w:rsidR="003E6BDF" w:rsidRPr="00530266">
              <w:rPr>
                <w:shd w:val="clear" w:color="auto" w:fill="FFFFFF"/>
                <w:lang w:val="lv-LV"/>
              </w:rPr>
              <w:t>os</w:t>
            </w:r>
            <w:r w:rsidRPr="00530266">
              <w:rPr>
                <w:shd w:val="clear" w:color="auto" w:fill="FFFFFF"/>
                <w:lang w:val="lv-LV"/>
              </w:rPr>
              <w:t xml:space="preserve"> </w:t>
            </w:r>
            <w:r w:rsidR="00595E45" w:rsidRPr="00530266">
              <w:rPr>
                <w:shd w:val="clear" w:color="auto" w:fill="FFFFFF"/>
                <w:lang w:val="lv-LV"/>
              </w:rPr>
              <w:t>var būt šķērslis jaunu zāļu iekļaušanai</w:t>
            </w:r>
            <w:r w:rsidR="00FE35CA" w:rsidRPr="00530266">
              <w:rPr>
                <w:shd w:val="clear" w:color="auto" w:fill="FFFFFF"/>
                <w:lang w:val="lv-LV"/>
              </w:rPr>
              <w:t xml:space="preserve">, kas </w:t>
            </w:r>
            <w:r w:rsidR="00595E45" w:rsidRPr="00530266">
              <w:rPr>
                <w:shd w:val="clear" w:color="auto" w:fill="FFFFFF"/>
                <w:lang w:val="lv-LV"/>
              </w:rPr>
              <w:t xml:space="preserve">savukārt </w:t>
            </w:r>
            <w:r w:rsidR="00FE35CA" w:rsidRPr="00530266">
              <w:rPr>
                <w:shd w:val="clear" w:color="auto" w:fill="FFFFFF"/>
                <w:lang w:val="lv-LV"/>
              </w:rPr>
              <w:t xml:space="preserve">neveicina </w:t>
            </w:r>
            <w:r w:rsidR="00595E45" w:rsidRPr="00530266">
              <w:rPr>
                <w:shd w:val="clear" w:color="auto" w:fill="FFFFFF"/>
                <w:lang w:val="lv-LV"/>
              </w:rPr>
              <w:t xml:space="preserve">attiecīgo zāļu </w:t>
            </w:r>
            <w:r w:rsidR="00FE35CA" w:rsidRPr="00530266">
              <w:rPr>
                <w:shd w:val="clear" w:color="auto" w:fill="FFFFFF"/>
                <w:lang w:val="lv-LV"/>
              </w:rPr>
              <w:t>konkurenci, daudzveidību un līdzvērtīgas efektivitātes zāļu plašāku pieejamību. T</w:t>
            </w:r>
            <w:r w:rsidR="007903B9" w:rsidRPr="00530266">
              <w:rPr>
                <w:shd w:val="clear" w:color="auto" w:fill="FFFFFF"/>
                <w:lang w:val="lv-LV"/>
              </w:rPr>
              <w:t xml:space="preserve">ādēļ ar grozījumiem norma tiek precizēta, </w:t>
            </w:r>
            <w:r w:rsidR="007903B9" w:rsidRPr="00530266">
              <w:rPr>
                <w:shd w:val="clear" w:color="auto" w:fill="FFFFFF"/>
                <w:lang w:val="lv-LV"/>
              </w:rPr>
              <w:lastRenderedPageBreak/>
              <w:t>nosakot,</w:t>
            </w:r>
            <w:r w:rsidR="007903B9" w:rsidRPr="00530266">
              <w:rPr>
                <w:lang w:val="lv-LV"/>
              </w:rPr>
              <w:t xml:space="preserve"> ja Kompensējamo zāļu sarakstā attiecīgā zāļu vispārīgā nosaukuma vai </w:t>
            </w:r>
            <w:r w:rsidR="007903B9" w:rsidRPr="00530266">
              <w:rPr>
                <w:shd w:val="clear" w:color="auto" w:fill="FFFFFF"/>
                <w:lang w:val="lv-LV"/>
              </w:rPr>
              <w:t>kombinēt</w:t>
            </w:r>
            <w:r w:rsidR="002F6748" w:rsidRPr="00530266">
              <w:rPr>
                <w:shd w:val="clear" w:color="auto" w:fill="FFFFFF"/>
                <w:lang w:val="lv-LV"/>
              </w:rPr>
              <w:t>ā</w:t>
            </w:r>
            <w:r w:rsidR="007903B9" w:rsidRPr="00530266">
              <w:rPr>
                <w:shd w:val="clear" w:color="auto" w:fill="FFFFFF"/>
                <w:lang w:val="lv-LV"/>
              </w:rPr>
              <w:t xml:space="preserve"> sastāva zāļu</w:t>
            </w:r>
            <w:r w:rsidR="007903B9" w:rsidRPr="00530266">
              <w:rPr>
                <w:lang w:val="lv-LV"/>
              </w:rPr>
              <w:t xml:space="preserve"> ietvaros ir vismaz piecas zāles, tad nākamo iekļaujamo zāļu kompensācijas bāzes  cena var būt </w:t>
            </w:r>
            <w:r w:rsidR="00FE35CA" w:rsidRPr="00530266">
              <w:rPr>
                <w:lang w:val="lv-LV"/>
              </w:rPr>
              <w:t xml:space="preserve">arī </w:t>
            </w:r>
            <w:r w:rsidR="007903B9" w:rsidRPr="00530266">
              <w:rPr>
                <w:lang w:val="lv-LV"/>
              </w:rPr>
              <w:t>vienāda ar esošo references vai lētāko zāļu kompensācijas bāzes cenu. Ņemot vērā to, ka šobrīd Noteikumos ir paredzēti citi mehānismi zāļu cenu samazināšanai</w:t>
            </w:r>
            <w:r w:rsidR="00FE35CA" w:rsidRPr="00530266">
              <w:rPr>
                <w:lang w:val="lv-LV"/>
              </w:rPr>
              <w:t xml:space="preserve"> (</w:t>
            </w:r>
            <w:r w:rsidR="00FE35CA" w:rsidRPr="0077747A">
              <w:rPr>
                <w:i/>
                <w:iCs/>
                <w:lang w:val="lv-LV"/>
              </w:rPr>
              <w:t>zāļu vispārīgā nosaukuma izrakstīšana un aptiekas pienākums izsniegt lētākās zāles viena vispārīgā nosaukuma ietvarā</w:t>
            </w:r>
            <w:r w:rsidR="00FE35CA" w:rsidRPr="00530266">
              <w:rPr>
                <w:lang w:val="lv-LV"/>
              </w:rPr>
              <w:t>)</w:t>
            </w:r>
            <w:r w:rsidR="007903B9" w:rsidRPr="00530266">
              <w:rPr>
                <w:lang w:val="lv-LV"/>
              </w:rPr>
              <w:t xml:space="preserve">, </w:t>
            </w:r>
            <w:r w:rsidR="0077747A">
              <w:rPr>
                <w:lang w:val="lv-LV"/>
              </w:rPr>
              <w:t>projekta</w:t>
            </w:r>
            <w:r w:rsidR="007903B9" w:rsidRPr="00530266">
              <w:rPr>
                <w:lang w:val="lv-LV"/>
              </w:rPr>
              <w:t xml:space="preserve"> norma sekmētu jaunu zemākas cenas zāļu ienākšan</w:t>
            </w:r>
            <w:r w:rsidR="002F6748" w:rsidRPr="00530266">
              <w:rPr>
                <w:lang w:val="lv-LV"/>
              </w:rPr>
              <w:t>u</w:t>
            </w:r>
            <w:r w:rsidR="007903B9" w:rsidRPr="00530266">
              <w:rPr>
                <w:lang w:val="lv-LV"/>
              </w:rPr>
              <w:t xml:space="preserve"> KZS, kas palielinātu lētāko līdzvērtīgas terapeitiskās efektivitātes zāļu klāstu, un mazināt</w:t>
            </w:r>
            <w:r w:rsidR="002F6748" w:rsidRPr="00530266">
              <w:rPr>
                <w:lang w:val="lv-LV"/>
              </w:rPr>
              <w:t>u</w:t>
            </w:r>
            <w:r w:rsidR="007903B9" w:rsidRPr="00530266">
              <w:rPr>
                <w:lang w:val="lv-LV"/>
              </w:rPr>
              <w:t xml:space="preserve"> lētāko zāļu neesamības risku  tirgū</w:t>
            </w:r>
            <w:r w:rsidR="001A0917" w:rsidRPr="00530266">
              <w:rPr>
                <w:lang w:val="lv-LV"/>
              </w:rPr>
              <w:t>, kā arī veicinātu</w:t>
            </w:r>
            <w:r w:rsidR="00FE35CA" w:rsidRPr="00530266">
              <w:rPr>
                <w:lang w:val="lv-LV"/>
              </w:rPr>
              <w:t xml:space="preserve"> pacientu izvēles iespējas starp vienādas cenas lēt</w:t>
            </w:r>
            <w:r w:rsidR="003E6BDF" w:rsidRPr="00530266">
              <w:rPr>
                <w:lang w:val="lv-LV"/>
              </w:rPr>
              <w:t>ā</w:t>
            </w:r>
            <w:r w:rsidR="00FE35CA" w:rsidRPr="00530266">
              <w:rPr>
                <w:lang w:val="lv-LV"/>
              </w:rPr>
              <w:t>kajām zālēm viena vispārīgā nosaukuma ietvarā.</w:t>
            </w:r>
            <w:r w:rsidR="007903B9" w:rsidRPr="00530266">
              <w:rPr>
                <w:lang w:val="lv-LV"/>
              </w:rPr>
              <w:t xml:space="preserve"> (</w:t>
            </w:r>
            <w:r w:rsidR="007903B9" w:rsidRPr="00530266">
              <w:rPr>
                <w:i/>
                <w:iCs/>
                <w:lang w:val="lv-LV"/>
              </w:rPr>
              <w:t>Projekta 1.punkts</w:t>
            </w:r>
            <w:r w:rsidR="007903B9" w:rsidRPr="00530266">
              <w:rPr>
                <w:lang w:val="lv-LV"/>
              </w:rPr>
              <w:t>).</w:t>
            </w:r>
          </w:p>
          <w:p w14:paraId="6A4C9320" w14:textId="77777777" w:rsidR="007903B9" w:rsidRPr="00530266" w:rsidRDefault="007903B9" w:rsidP="00776DEC">
            <w:pPr>
              <w:pStyle w:val="tv213"/>
              <w:spacing w:before="0" w:beforeAutospacing="0" w:after="0" w:afterAutospacing="0"/>
              <w:jc w:val="both"/>
              <w:rPr>
                <w:shd w:val="clear" w:color="auto" w:fill="FFFFFF"/>
                <w:lang w:val="lv-LV"/>
              </w:rPr>
            </w:pPr>
          </w:p>
          <w:p w14:paraId="3E3B39E8" w14:textId="77777777" w:rsidR="007903B9" w:rsidRPr="00530266" w:rsidRDefault="007903B9" w:rsidP="00776DEC">
            <w:pPr>
              <w:pStyle w:val="tv213"/>
              <w:spacing w:before="0" w:beforeAutospacing="0" w:after="0" w:afterAutospacing="0"/>
              <w:jc w:val="both"/>
              <w:rPr>
                <w:shd w:val="clear" w:color="auto" w:fill="FFFFFF"/>
                <w:lang w:val="lv-LV"/>
              </w:rPr>
            </w:pPr>
          </w:p>
          <w:p w14:paraId="7DF48174" w14:textId="40CFB27F" w:rsidR="00BE47F1" w:rsidRPr="00530266" w:rsidRDefault="007903B9" w:rsidP="00776DEC">
            <w:pPr>
              <w:pStyle w:val="tv213"/>
              <w:spacing w:before="0" w:beforeAutospacing="0" w:after="0" w:afterAutospacing="0"/>
              <w:jc w:val="both"/>
              <w:rPr>
                <w:shd w:val="clear" w:color="auto" w:fill="FFFFFF"/>
                <w:lang w:val="lv-LV"/>
              </w:rPr>
            </w:pPr>
            <w:r w:rsidRPr="00530266">
              <w:rPr>
                <w:shd w:val="clear" w:color="auto" w:fill="FFFFFF"/>
                <w:lang w:val="lv-LV"/>
              </w:rPr>
              <w:t xml:space="preserve">2) </w:t>
            </w:r>
            <w:r w:rsidR="001A0917" w:rsidRPr="0077747A">
              <w:rPr>
                <w:shd w:val="clear" w:color="auto" w:fill="FFFFFF"/>
                <w:lang w:val="lv-LV"/>
              </w:rPr>
              <w:t xml:space="preserve">Šobrīd </w:t>
            </w:r>
            <w:r w:rsidRPr="0077747A">
              <w:rPr>
                <w:shd w:val="clear" w:color="auto" w:fill="FFFFFF"/>
                <w:lang w:val="lv-LV"/>
              </w:rPr>
              <w:t xml:space="preserve">Noteikumu </w:t>
            </w:r>
            <w:r w:rsidR="00177941" w:rsidRPr="0077747A">
              <w:rPr>
                <w:shd w:val="clear" w:color="auto" w:fill="FFFFFF"/>
                <w:lang w:val="lv-LV"/>
              </w:rPr>
              <w:t>38.</w:t>
            </w:r>
            <w:r w:rsidR="00177941" w:rsidRPr="0077747A">
              <w:rPr>
                <w:shd w:val="clear" w:color="auto" w:fill="FFFFFF"/>
                <w:vertAlign w:val="superscript"/>
                <w:lang w:val="lv-LV"/>
              </w:rPr>
              <w:t>4 </w:t>
            </w:r>
            <w:r w:rsidR="00776DEC" w:rsidRPr="0077747A">
              <w:rPr>
                <w:iCs/>
                <w:lang w:val="lv-LV" w:eastAsia="lv-LV"/>
              </w:rPr>
              <w:t>apakšpunkts nosaka,</w:t>
            </w:r>
            <w:r w:rsidR="00177941" w:rsidRPr="0077747A">
              <w:rPr>
                <w:iCs/>
                <w:lang w:val="lv-LV" w:eastAsia="lv-LV"/>
              </w:rPr>
              <w:t xml:space="preserve"> j</w:t>
            </w:r>
            <w:r w:rsidR="00177941" w:rsidRPr="0077747A">
              <w:rPr>
                <w:shd w:val="clear" w:color="auto" w:fill="FFFFFF"/>
                <w:lang w:val="lv-LV"/>
              </w:rPr>
              <w:t xml:space="preserve">a </w:t>
            </w:r>
            <w:r w:rsidR="001A0917" w:rsidRPr="0077747A">
              <w:rPr>
                <w:shd w:val="clear" w:color="auto" w:fill="FFFFFF"/>
                <w:lang w:val="lv-LV"/>
              </w:rPr>
              <w:t xml:space="preserve"> zāļu vai medicīnisko ierīču reģistrācijas apliecības turētājs (īpašnieks) vai viņa pilnvarots pārstāvis vai medicīnisko ierīču ražotājs vai viņa pilnvarots pārstāvis, vai zāļu vai medicīnisko ierīču vairumtirgotājs vai viņa pilnvarots pārstāvis (turpmāk – iesniedzējs) </w:t>
            </w:r>
            <w:r w:rsidR="00177941" w:rsidRPr="0077747A">
              <w:rPr>
                <w:shd w:val="clear" w:color="auto" w:fill="FFFFFF"/>
                <w:lang w:val="lv-LV"/>
              </w:rPr>
              <w:t xml:space="preserve"> vismaz mēnesi pirms references zāļu vai medicīnisko ierīču piegāžu pārtraukuma iesniedz </w:t>
            </w:r>
            <w:r w:rsidR="00BD44D6" w:rsidRPr="0077747A">
              <w:rPr>
                <w:shd w:val="clear" w:color="auto" w:fill="FFFFFF"/>
                <w:lang w:val="lv-LV"/>
              </w:rPr>
              <w:t>NVD</w:t>
            </w:r>
            <w:r w:rsidR="00177941" w:rsidRPr="0077747A">
              <w:rPr>
                <w:shd w:val="clear" w:color="auto" w:fill="FFFFFF"/>
                <w:lang w:val="lv-LV"/>
              </w:rPr>
              <w:t xml:space="preserve"> pamatotu iesniegumu par piegāžu pārtraukumu uz laiku no viena mēneša līdz trīs mēnešiem, attiecīgās zāles vai medicīniskās ierīces nesvītro no kompensējamo zāļu saraksta, bet uz šo periodu par references zālēm vai medicīniskām </w:t>
            </w:r>
            <w:r w:rsidR="00177941" w:rsidRPr="00530266">
              <w:rPr>
                <w:shd w:val="clear" w:color="auto" w:fill="FFFFFF"/>
                <w:lang w:val="lv-LV"/>
              </w:rPr>
              <w:t>ierīcēm nosaka nākamās lētākās Latvijas tirgū pieejamās attiecīgās grupas kompensējamās zāles vai medicīniskās ierīces. Ja iesniedzējs nenodrošina references zāļu vai medicīnisko ierīču pastāvīgu un nepārtrauktu pieejamību Latvijas tirgū, neiesniedzot pamatotu iesniegumu par paredzamo piegāžu pārtraukumu, vai pēc iesniegumā norādītā termiņa, attiecīgās zāles vai medicīniskās ierīces svītro no kompensējamo zāļu saraksta.</w:t>
            </w:r>
          </w:p>
          <w:p w14:paraId="7FF190FE" w14:textId="57973227" w:rsidR="007903B9" w:rsidRDefault="00FE35CA" w:rsidP="00776DEC">
            <w:pPr>
              <w:pStyle w:val="tv213"/>
              <w:spacing w:before="0" w:beforeAutospacing="0" w:after="0" w:afterAutospacing="0"/>
              <w:jc w:val="both"/>
              <w:rPr>
                <w:shd w:val="clear" w:color="auto" w:fill="FFFFFF"/>
                <w:lang w:val="lv-LV"/>
              </w:rPr>
            </w:pPr>
            <w:r w:rsidRPr="00530266">
              <w:rPr>
                <w:shd w:val="clear" w:color="auto" w:fill="FFFFFF"/>
                <w:lang w:val="lv-LV"/>
              </w:rPr>
              <w:t>Ar ilgākiem vai īsākiem zāļu piegāžu traucējumiem saskaras visas valstis, tai skaitā Eiropas Savienības</w:t>
            </w:r>
            <w:r w:rsidR="00211297" w:rsidRPr="00530266">
              <w:rPr>
                <w:shd w:val="clear" w:color="auto" w:fill="FFFFFF"/>
                <w:lang w:val="lv-LV"/>
              </w:rPr>
              <w:t xml:space="preserve"> dalībvalstis</w:t>
            </w:r>
            <w:r w:rsidRPr="00530266">
              <w:rPr>
                <w:shd w:val="clear" w:color="auto" w:fill="FFFFFF"/>
                <w:lang w:val="lv-LV"/>
              </w:rPr>
              <w:t>. Prakse ir apliecinājusi, ka bieži zāļu piegādes traucējumi var būt arī neplānoti</w:t>
            </w:r>
            <w:r w:rsidR="00211297" w:rsidRPr="00530266">
              <w:rPr>
                <w:shd w:val="clear" w:color="auto" w:fill="FFFFFF"/>
                <w:lang w:val="lv-LV"/>
              </w:rPr>
              <w:t>,</w:t>
            </w:r>
            <w:r w:rsidRPr="00530266">
              <w:rPr>
                <w:shd w:val="clear" w:color="auto" w:fill="FFFFFF"/>
                <w:lang w:val="lv-LV"/>
              </w:rPr>
              <w:t xml:space="preserve"> un tādējādi nav iespējams ievērot </w:t>
            </w:r>
            <w:r w:rsidR="0077747A">
              <w:rPr>
                <w:shd w:val="clear" w:color="auto" w:fill="FFFFFF"/>
                <w:lang w:val="lv-LV"/>
              </w:rPr>
              <w:t>šobrīd</w:t>
            </w:r>
            <w:r w:rsidR="006374B4" w:rsidRPr="00530266">
              <w:rPr>
                <w:shd w:val="clear" w:color="auto" w:fill="FFFFFF"/>
                <w:lang w:val="lv-LV"/>
              </w:rPr>
              <w:t xml:space="preserve"> noteikto termiņu, proti, vismaz vienu mēnesi pirms piegādes pā</w:t>
            </w:r>
            <w:r w:rsidR="00211297" w:rsidRPr="00530266">
              <w:rPr>
                <w:shd w:val="clear" w:color="auto" w:fill="FFFFFF"/>
                <w:lang w:val="lv-LV"/>
              </w:rPr>
              <w:t>r</w:t>
            </w:r>
            <w:r w:rsidR="006374B4" w:rsidRPr="00530266">
              <w:rPr>
                <w:shd w:val="clear" w:color="auto" w:fill="FFFFFF"/>
                <w:lang w:val="lv-LV"/>
              </w:rPr>
              <w:t xml:space="preserve">traukuma. Līdz ar to normā </w:t>
            </w:r>
            <w:r w:rsidR="00A6405F" w:rsidRPr="00530266">
              <w:rPr>
                <w:shd w:val="clear" w:color="auto" w:fill="FFFFFF"/>
                <w:lang w:val="lv-LV"/>
              </w:rPr>
              <w:t>tiek precizēts</w:t>
            </w:r>
            <w:r w:rsidR="006374B4" w:rsidRPr="00530266">
              <w:rPr>
                <w:shd w:val="clear" w:color="auto" w:fill="FFFFFF"/>
                <w:lang w:val="lv-LV"/>
              </w:rPr>
              <w:t xml:space="preserve"> termiņš, kādā iesniedzējam jāpaziņo par piegāžu pā</w:t>
            </w:r>
            <w:r w:rsidR="00211297" w:rsidRPr="00530266">
              <w:rPr>
                <w:shd w:val="clear" w:color="auto" w:fill="FFFFFF"/>
                <w:lang w:val="lv-LV"/>
              </w:rPr>
              <w:t>r</w:t>
            </w:r>
            <w:r w:rsidR="006374B4" w:rsidRPr="00530266">
              <w:rPr>
                <w:shd w:val="clear" w:color="auto" w:fill="FFFFFF"/>
                <w:lang w:val="lv-LV"/>
              </w:rPr>
              <w:t xml:space="preserve">traukumiem, kas </w:t>
            </w:r>
            <w:r w:rsidR="0077747A">
              <w:rPr>
                <w:shd w:val="clear" w:color="auto" w:fill="FFFFFF"/>
                <w:lang w:val="lv-LV"/>
              </w:rPr>
              <w:t xml:space="preserve">faktiski </w:t>
            </w:r>
            <w:r w:rsidR="006374B4" w:rsidRPr="00530266">
              <w:rPr>
                <w:shd w:val="clear" w:color="auto" w:fill="FFFFFF"/>
                <w:lang w:val="lv-LV"/>
              </w:rPr>
              <w:t>nozīmē, ka viņam tas ir jāizdara nekavējo</w:t>
            </w:r>
            <w:r w:rsidR="00997700">
              <w:rPr>
                <w:shd w:val="clear" w:color="auto" w:fill="FFFFFF"/>
                <w:lang w:val="lv-LV"/>
              </w:rPr>
              <w:t>ši</w:t>
            </w:r>
            <w:r w:rsidR="00C059FE">
              <w:rPr>
                <w:shd w:val="clear" w:color="auto" w:fill="FFFFFF"/>
                <w:lang w:val="lv-LV"/>
              </w:rPr>
              <w:t xml:space="preserve"> – tiklīdz informācija ir viņa rīcībā</w:t>
            </w:r>
            <w:r w:rsidR="006374B4" w:rsidRPr="006B57C6">
              <w:rPr>
                <w:shd w:val="clear" w:color="auto" w:fill="FFFFFF"/>
                <w:lang w:val="lv-LV"/>
              </w:rPr>
              <w:t xml:space="preserve">. </w:t>
            </w:r>
            <w:r w:rsidR="006374B4" w:rsidRPr="00530266">
              <w:rPr>
                <w:shd w:val="clear" w:color="auto" w:fill="FFFFFF"/>
                <w:lang w:val="lv-LV"/>
              </w:rPr>
              <w:t>Tādējādi iesniedzējam</w:t>
            </w:r>
            <w:r w:rsidR="00211297" w:rsidRPr="00530266">
              <w:rPr>
                <w:shd w:val="clear" w:color="auto" w:fill="FFFFFF"/>
                <w:lang w:val="lv-LV"/>
              </w:rPr>
              <w:t>,</w:t>
            </w:r>
            <w:r w:rsidR="006374B4" w:rsidRPr="00530266">
              <w:rPr>
                <w:shd w:val="clear" w:color="auto" w:fill="FFFFFF"/>
                <w:lang w:val="lv-LV"/>
              </w:rPr>
              <w:t xml:space="preserve"> sniedzot informāciju </w:t>
            </w:r>
            <w:r w:rsidR="00C059FE">
              <w:rPr>
                <w:shd w:val="clear" w:color="auto" w:fill="FFFFFF"/>
                <w:lang w:val="lv-LV"/>
              </w:rPr>
              <w:t>par zāļu piegādes pā</w:t>
            </w:r>
            <w:r w:rsidR="00997700">
              <w:rPr>
                <w:shd w:val="clear" w:color="auto" w:fill="FFFFFF"/>
                <w:lang w:val="lv-LV"/>
              </w:rPr>
              <w:t>r</w:t>
            </w:r>
            <w:r w:rsidR="00C059FE">
              <w:rPr>
                <w:shd w:val="clear" w:color="auto" w:fill="FFFFFF"/>
                <w:lang w:val="lv-LV"/>
              </w:rPr>
              <w:t xml:space="preserve">traukumiem </w:t>
            </w:r>
            <w:r w:rsidR="006374B4" w:rsidRPr="00530266">
              <w:rPr>
                <w:shd w:val="clear" w:color="auto" w:fill="FFFFFF"/>
                <w:lang w:val="lv-LV"/>
              </w:rPr>
              <w:t>Zāļu valsts aģentūrai</w:t>
            </w:r>
            <w:r w:rsidR="00211297" w:rsidRPr="00530266">
              <w:rPr>
                <w:shd w:val="clear" w:color="auto" w:fill="FFFFFF"/>
                <w:lang w:val="lv-LV"/>
              </w:rPr>
              <w:t>,</w:t>
            </w:r>
            <w:r w:rsidR="006374B4" w:rsidRPr="00530266">
              <w:rPr>
                <w:shd w:val="clear" w:color="auto" w:fill="FFFFFF"/>
                <w:lang w:val="lv-LV"/>
              </w:rPr>
              <w:t xml:space="preserve"> būtu nepieciešams </w:t>
            </w:r>
            <w:r w:rsidR="00211297" w:rsidRPr="00530266">
              <w:rPr>
                <w:shd w:val="clear" w:color="auto" w:fill="FFFFFF"/>
                <w:lang w:val="lv-LV"/>
              </w:rPr>
              <w:t>vienlaikus informēt</w:t>
            </w:r>
            <w:r w:rsidR="006374B4" w:rsidRPr="00530266">
              <w:rPr>
                <w:shd w:val="clear" w:color="auto" w:fill="FFFFFF"/>
                <w:lang w:val="lv-LV"/>
              </w:rPr>
              <w:t xml:space="preserve"> </w:t>
            </w:r>
            <w:r w:rsidR="00A6405F" w:rsidRPr="00530266">
              <w:rPr>
                <w:shd w:val="clear" w:color="auto" w:fill="FFFFFF"/>
                <w:lang w:val="lv-LV"/>
              </w:rPr>
              <w:t xml:space="preserve">arī </w:t>
            </w:r>
            <w:r w:rsidR="00BD44D6" w:rsidRPr="00530266">
              <w:rPr>
                <w:shd w:val="clear" w:color="auto" w:fill="FFFFFF"/>
                <w:lang w:val="lv-LV"/>
              </w:rPr>
              <w:t>NVD</w:t>
            </w:r>
            <w:r w:rsidR="006374B4" w:rsidRPr="00530266">
              <w:rPr>
                <w:shd w:val="clear" w:color="auto" w:fill="FFFFFF"/>
                <w:lang w:val="lv-LV"/>
              </w:rPr>
              <w:t xml:space="preserve"> </w:t>
            </w:r>
            <w:r w:rsidR="00A6405F" w:rsidRPr="00530266">
              <w:rPr>
                <w:shd w:val="clear" w:color="auto" w:fill="FFFFFF"/>
                <w:lang w:val="lv-LV"/>
              </w:rPr>
              <w:t xml:space="preserve">par </w:t>
            </w:r>
            <w:r w:rsidR="006374B4" w:rsidRPr="00530266">
              <w:rPr>
                <w:shd w:val="clear" w:color="auto" w:fill="FFFFFF"/>
                <w:lang w:val="lv-LV"/>
              </w:rPr>
              <w:t>lūgumu zāles nesvītrot, ja iesniedzējs vēlas tās turp</w:t>
            </w:r>
            <w:r w:rsidR="00211297" w:rsidRPr="00530266">
              <w:rPr>
                <w:shd w:val="clear" w:color="auto" w:fill="FFFFFF"/>
                <w:lang w:val="lv-LV"/>
              </w:rPr>
              <w:t>i</w:t>
            </w:r>
            <w:r w:rsidR="006374B4" w:rsidRPr="00530266">
              <w:rPr>
                <w:shd w:val="clear" w:color="auto" w:fill="FFFFFF"/>
                <w:lang w:val="lv-LV"/>
              </w:rPr>
              <w:t xml:space="preserve">nāt izplatīt kompensācijas kārtības ietvarā arī pēc piegādes atjaunošanas. </w:t>
            </w:r>
            <w:r w:rsidR="007903B9" w:rsidRPr="00530266">
              <w:rPr>
                <w:shd w:val="clear" w:color="auto" w:fill="FFFFFF"/>
                <w:lang w:val="lv-LV"/>
              </w:rPr>
              <w:t>P</w:t>
            </w:r>
            <w:r w:rsidR="00177941" w:rsidRPr="00530266">
              <w:rPr>
                <w:shd w:val="clear" w:color="auto" w:fill="FFFFFF"/>
                <w:lang w:val="lv-LV"/>
              </w:rPr>
              <w:t>rojekts paredz</w:t>
            </w:r>
            <w:r w:rsidR="006374B4" w:rsidRPr="00530266">
              <w:rPr>
                <w:shd w:val="clear" w:color="auto" w:fill="FFFFFF"/>
                <w:lang w:val="lv-LV"/>
              </w:rPr>
              <w:t xml:space="preserve"> ris</w:t>
            </w:r>
            <w:r w:rsidR="00211297" w:rsidRPr="00530266">
              <w:rPr>
                <w:shd w:val="clear" w:color="auto" w:fill="FFFFFF"/>
                <w:lang w:val="lv-LV"/>
              </w:rPr>
              <w:t>i</w:t>
            </w:r>
            <w:r w:rsidR="006374B4" w:rsidRPr="00530266">
              <w:rPr>
                <w:shd w:val="clear" w:color="auto" w:fill="FFFFFF"/>
                <w:lang w:val="lv-LV"/>
              </w:rPr>
              <w:t xml:space="preserve">nāt </w:t>
            </w:r>
            <w:r w:rsidR="00177941" w:rsidRPr="00530266">
              <w:rPr>
                <w:shd w:val="clear" w:color="auto" w:fill="FFFFFF"/>
                <w:lang w:val="lv-LV"/>
              </w:rPr>
              <w:t xml:space="preserve">zāļu </w:t>
            </w:r>
            <w:r w:rsidR="00C059FE">
              <w:rPr>
                <w:shd w:val="clear" w:color="auto" w:fill="FFFFFF"/>
                <w:lang w:val="lv-LV"/>
              </w:rPr>
              <w:t xml:space="preserve">un medicīnisko ierīču </w:t>
            </w:r>
            <w:r w:rsidR="00177941" w:rsidRPr="00530266">
              <w:rPr>
                <w:shd w:val="clear" w:color="auto" w:fill="FFFFFF"/>
                <w:lang w:val="lv-LV"/>
              </w:rPr>
              <w:t xml:space="preserve">īslaicīgu nepieejamību uz laiku līdz 6 mēnešiem, </w:t>
            </w:r>
            <w:r w:rsidR="00C059FE">
              <w:rPr>
                <w:shd w:val="clear" w:color="auto" w:fill="FFFFFF"/>
                <w:lang w:val="lv-LV"/>
              </w:rPr>
              <w:t xml:space="preserve">tai skaitā, </w:t>
            </w:r>
            <w:r w:rsidR="002319C0">
              <w:rPr>
                <w:shd w:val="clear" w:color="auto" w:fill="FFFFFF"/>
                <w:lang w:val="lv-LV"/>
              </w:rPr>
              <w:t>arī</w:t>
            </w:r>
            <w:r w:rsidR="00177941" w:rsidRPr="00530266">
              <w:rPr>
                <w:shd w:val="clear" w:color="auto" w:fill="FFFFFF"/>
                <w:lang w:val="lv-LV"/>
              </w:rPr>
              <w:t xml:space="preserve"> gadījumos, kad noteiktās references zāles </w:t>
            </w:r>
            <w:r w:rsidR="00C059FE">
              <w:rPr>
                <w:shd w:val="clear" w:color="auto" w:fill="FFFFFF"/>
                <w:lang w:val="lv-LV"/>
              </w:rPr>
              <w:t>un medicīniskās ierīces nav pieejamas</w:t>
            </w:r>
            <w:r w:rsidR="00177941" w:rsidRPr="00530266">
              <w:rPr>
                <w:shd w:val="clear" w:color="auto" w:fill="FFFFFF"/>
                <w:lang w:val="lv-LV"/>
              </w:rPr>
              <w:t xml:space="preserve">, savlaicīgi </w:t>
            </w:r>
            <w:r w:rsidR="00C059FE">
              <w:rPr>
                <w:shd w:val="clear" w:color="auto" w:fill="FFFFFF"/>
                <w:lang w:val="lv-LV"/>
              </w:rPr>
              <w:t xml:space="preserve">tiktu </w:t>
            </w:r>
            <w:r w:rsidR="00177941" w:rsidRPr="00530266">
              <w:rPr>
                <w:shd w:val="clear" w:color="auto" w:fill="FFFFFF"/>
                <w:lang w:val="lv-LV"/>
              </w:rPr>
              <w:t>noteikt</w:t>
            </w:r>
            <w:r w:rsidR="00C059FE">
              <w:rPr>
                <w:shd w:val="clear" w:color="auto" w:fill="FFFFFF"/>
                <w:lang w:val="lv-LV"/>
              </w:rPr>
              <w:t>s</w:t>
            </w:r>
            <w:r w:rsidR="00177941" w:rsidRPr="00530266">
              <w:rPr>
                <w:shd w:val="clear" w:color="auto" w:fill="FFFFFF"/>
                <w:lang w:val="lv-LV"/>
              </w:rPr>
              <w:t xml:space="preserve"> references zāļu status</w:t>
            </w:r>
            <w:r w:rsidR="00C059FE">
              <w:rPr>
                <w:shd w:val="clear" w:color="auto" w:fill="FFFFFF"/>
                <w:lang w:val="lv-LV"/>
              </w:rPr>
              <w:t>s</w:t>
            </w:r>
            <w:r w:rsidR="00177941" w:rsidRPr="00530266">
              <w:rPr>
                <w:shd w:val="clear" w:color="auto" w:fill="FFFFFF"/>
                <w:lang w:val="lv-LV"/>
              </w:rPr>
              <w:t xml:space="preserve"> citām KZS</w:t>
            </w:r>
            <w:r w:rsidR="00177941" w:rsidRPr="006B57C6">
              <w:rPr>
                <w:shd w:val="clear" w:color="auto" w:fill="FFFFFF"/>
                <w:lang w:val="lv-LV"/>
              </w:rPr>
              <w:t xml:space="preserve"> esošajām zālēm,</w:t>
            </w:r>
            <w:r w:rsidR="00BF34DB" w:rsidRPr="006B57C6">
              <w:rPr>
                <w:shd w:val="clear" w:color="auto" w:fill="FFFFFF"/>
                <w:lang w:val="lv-LV"/>
              </w:rPr>
              <w:t xml:space="preserve"> vienlaicīgi ļautu pacientiem izsniegt </w:t>
            </w:r>
            <w:r w:rsidR="00177941" w:rsidRPr="006B57C6">
              <w:rPr>
                <w:shd w:val="clear" w:color="auto" w:fill="FFFFFF"/>
                <w:lang w:val="lv-LV"/>
              </w:rPr>
              <w:t xml:space="preserve"> </w:t>
            </w:r>
            <w:r w:rsidR="00BF34DB" w:rsidRPr="006B57C6">
              <w:rPr>
                <w:shd w:val="clear" w:color="auto" w:fill="FFFFFF"/>
                <w:lang w:val="lv-LV"/>
              </w:rPr>
              <w:t xml:space="preserve">arī esošās references vai lētākās zāles </w:t>
            </w:r>
            <w:r w:rsidR="00BF34DB" w:rsidRPr="006B57C6">
              <w:rPr>
                <w:shd w:val="clear" w:color="auto" w:fill="FFFFFF"/>
                <w:lang w:val="lv-LV"/>
              </w:rPr>
              <w:lastRenderedPageBreak/>
              <w:t>līdzvērtīgas terapeitiskās efektivitātes zāļu grupā, ja tās ir vēl pieejamas aptiekā.</w:t>
            </w:r>
            <w:r w:rsidR="00177941" w:rsidRPr="006B57C6">
              <w:rPr>
                <w:shd w:val="clear" w:color="auto" w:fill="FFFFFF"/>
                <w:lang w:val="lv-LV"/>
              </w:rPr>
              <w:t xml:space="preserve"> </w:t>
            </w:r>
            <w:r w:rsidR="00FA1FFA" w:rsidRPr="006B57C6">
              <w:rPr>
                <w:shd w:val="clear" w:color="auto" w:fill="FFFFFF"/>
                <w:lang w:val="lv-LV"/>
              </w:rPr>
              <w:t>Vienlaikus</w:t>
            </w:r>
            <w:r w:rsidR="00177941" w:rsidRPr="006B57C6">
              <w:rPr>
                <w:shd w:val="clear" w:color="auto" w:fill="FFFFFF"/>
                <w:lang w:val="lv-LV"/>
              </w:rPr>
              <w:t xml:space="preserve"> </w:t>
            </w:r>
            <w:r w:rsidR="00BF34DB" w:rsidRPr="006B57C6">
              <w:rPr>
                <w:shd w:val="clear" w:color="auto" w:fill="FFFFFF"/>
                <w:lang w:val="lv-LV"/>
              </w:rPr>
              <w:t xml:space="preserve">tiktu </w:t>
            </w:r>
            <w:r w:rsidR="00177941" w:rsidRPr="006B57C6">
              <w:rPr>
                <w:shd w:val="clear" w:color="auto" w:fill="FFFFFF"/>
                <w:lang w:val="lv-LV"/>
              </w:rPr>
              <w:t>mazināt</w:t>
            </w:r>
            <w:r w:rsidR="00BF34DB" w:rsidRPr="006B57C6">
              <w:rPr>
                <w:shd w:val="clear" w:color="auto" w:fill="FFFFFF"/>
                <w:lang w:val="lv-LV"/>
              </w:rPr>
              <w:t>s</w:t>
            </w:r>
            <w:r w:rsidR="00177941" w:rsidRPr="006B57C6">
              <w:rPr>
                <w:shd w:val="clear" w:color="auto" w:fill="FFFFFF"/>
                <w:lang w:val="lv-LV"/>
              </w:rPr>
              <w:t xml:space="preserve"> administratīv</w:t>
            </w:r>
            <w:r w:rsidR="00BF34DB" w:rsidRPr="006B57C6">
              <w:rPr>
                <w:shd w:val="clear" w:color="auto" w:fill="FFFFFF"/>
                <w:lang w:val="lv-LV"/>
              </w:rPr>
              <w:t>ais</w:t>
            </w:r>
            <w:r w:rsidR="00177941" w:rsidRPr="006B57C6">
              <w:rPr>
                <w:shd w:val="clear" w:color="auto" w:fill="FFFFFF"/>
                <w:lang w:val="lv-LV"/>
              </w:rPr>
              <w:t xml:space="preserve"> slog</w:t>
            </w:r>
            <w:r w:rsidR="00BF34DB" w:rsidRPr="006B57C6">
              <w:rPr>
                <w:shd w:val="clear" w:color="auto" w:fill="FFFFFF"/>
                <w:lang w:val="lv-LV"/>
              </w:rPr>
              <w:t>s</w:t>
            </w:r>
            <w:r w:rsidR="00177941" w:rsidRPr="006B57C6">
              <w:rPr>
                <w:shd w:val="clear" w:color="auto" w:fill="FFFFFF"/>
                <w:lang w:val="lv-LV"/>
              </w:rPr>
              <w:t xml:space="preserve"> un </w:t>
            </w:r>
            <w:r w:rsidR="00BF34DB" w:rsidRPr="006B57C6">
              <w:rPr>
                <w:shd w:val="clear" w:color="auto" w:fill="FFFFFF"/>
                <w:lang w:val="lv-LV"/>
              </w:rPr>
              <w:t>netiktu radīti</w:t>
            </w:r>
            <w:r w:rsidR="00177941" w:rsidRPr="006B57C6">
              <w:rPr>
                <w:shd w:val="clear" w:color="auto" w:fill="FFFFFF"/>
                <w:lang w:val="lv-LV"/>
              </w:rPr>
              <w:t xml:space="preserve"> papildus izdevum</w:t>
            </w:r>
            <w:r w:rsidR="00751D4A" w:rsidRPr="006B57C6">
              <w:rPr>
                <w:shd w:val="clear" w:color="auto" w:fill="FFFFFF"/>
                <w:lang w:val="lv-LV"/>
              </w:rPr>
              <w:t>i un administratīvais slogs</w:t>
            </w:r>
            <w:r w:rsidR="00177941" w:rsidRPr="006B57C6">
              <w:rPr>
                <w:shd w:val="clear" w:color="auto" w:fill="FFFFFF"/>
                <w:lang w:val="lv-LV"/>
              </w:rPr>
              <w:t xml:space="preserve"> iesniedzējam</w:t>
            </w:r>
            <w:r w:rsidR="00751D4A" w:rsidRPr="006B57C6">
              <w:rPr>
                <w:shd w:val="clear" w:color="auto" w:fill="FFFFFF"/>
                <w:lang w:val="lv-LV"/>
              </w:rPr>
              <w:t xml:space="preserve">, </w:t>
            </w:r>
            <w:r w:rsidR="00BD44D6" w:rsidRPr="006B57C6">
              <w:rPr>
                <w:shd w:val="clear" w:color="auto" w:fill="FFFFFF"/>
                <w:lang w:val="lv-LV"/>
              </w:rPr>
              <w:t>NVD</w:t>
            </w:r>
            <w:r w:rsidR="00751D4A" w:rsidRPr="006B57C6">
              <w:rPr>
                <w:shd w:val="clear" w:color="auto" w:fill="FFFFFF"/>
                <w:lang w:val="lv-LV"/>
              </w:rPr>
              <w:t xml:space="preserve"> un kompensējamo zāļu budžetam</w:t>
            </w:r>
            <w:r w:rsidR="00177941" w:rsidRPr="006B57C6">
              <w:rPr>
                <w:shd w:val="clear" w:color="auto" w:fill="FFFFFF"/>
                <w:lang w:val="lv-LV"/>
              </w:rPr>
              <w:t>, ja</w:t>
            </w:r>
            <w:r w:rsidR="00751D4A" w:rsidRPr="006B57C6">
              <w:rPr>
                <w:shd w:val="clear" w:color="auto" w:fill="FFFFFF"/>
                <w:lang w:val="lv-LV"/>
              </w:rPr>
              <w:t xml:space="preserve"> references vai</w:t>
            </w:r>
            <w:r w:rsidR="00177941" w:rsidRPr="006B57C6">
              <w:rPr>
                <w:shd w:val="clear" w:color="auto" w:fill="FFFFFF"/>
                <w:lang w:val="lv-LV"/>
              </w:rPr>
              <w:t xml:space="preserve"> lētāko zāļu piegāde tiek atjaunota</w:t>
            </w:r>
            <w:r w:rsidR="00C059FE">
              <w:rPr>
                <w:shd w:val="clear" w:color="auto" w:fill="FFFFFF"/>
                <w:lang w:val="lv-LV"/>
              </w:rPr>
              <w:t>. Svarīgi, ka ar projektu references zālēm un medicīn</w:t>
            </w:r>
            <w:r w:rsidR="00997700">
              <w:rPr>
                <w:shd w:val="clear" w:color="auto" w:fill="FFFFFF"/>
                <w:lang w:val="lv-LV"/>
              </w:rPr>
              <w:t>iskajām</w:t>
            </w:r>
            <w:r w:rsidR="00C059FE">
              <w:rPr>
                <w:shd w:val="clear" w:color="auto" w:fill="FFFFFF"/>
                <w:lang w:val="lv-LV"/>
              </w:rPr>
              <w:t xml:space="preserve"> ierī</w:t>
            </w:r>
            <w:r w:rsidR="00997700">
              <w:rPr>
                <w:shd w:val="clear" w:color="auto" w:fill="FFFFFF"/>
                <w:lang w:val="lv-LV"/>
              </w:rPr>
              <w:t>cēm</w:t>
            </w:r>
            <w:r w:rsidR="00C059FE">
              <w:rPr>
                <w:shd w:val="clear" w:color="auto" w:fill="FFFFFF"/>
                <w:lang w:val="lv-LV"/>
              </w:rPr>
              <w:t xml:space="preserve"> references statuss nemainīgums netiek garantēts, tādējādi, ja piegādes pā</w:t>
            </w:r>
            <w:r w:rsidR="00997700">
              <w:rPr>
                <w:shd w:val="clear" w:color="auto" w:fill="FFFFFF"/>
                <w:lang w:val="lv-LV"/>
              </w:rPr>
              <w:t>r</w:t>
            </w:r>
            <w:r w:rsidR="00C059FE">
              <w:rPr>
                <w:shd w:val="clear" w:color="auto" w:fill="FFFFFF"/>
                <w:lang w:val="lv-LV"/>
              </w:rPr>
              <w:t>traukuma laikā citām zālēm vai medicīn</w:t>
            </w:r>
            <w:r w:rsidR="00997700">
              <w:rPr>
                <w:shd w:val="clear" w:color="auto" w:fill="FFFFFF"/>
                <w:lang w:val="lv-LV"/>
              </w:rPr>
              <w:t>iskajām</w:t>
            </w:r>
            <w:r w:rsidR="00C059FE">
              <w:rPr>
                <w:shd w:val="clear" w:color="auto" w:fill="FFFFFF"/>
                <w:lang w:val="lv-LV"/>
              </w:rPr>
              <w:t xml:space="preserve"> ierīcēm ir noteikta zemāka cena (pārskatīts KZS), references statuss </w:t>
            </w:r>
            <w:r w:rsidR="00715460">
              <w:rPr>
                <w:shd w:val="clear" w:color="auto" w:fill="FFFFFF"/>
                <w:lang w:val="lv-LV"/>
              </w:rPr>
              <w:t xml:space="preserve">piegāžu atjaunošanas brīdī </w:t>
            </w:r>
            <w:r w:rsidR="00C059FE">
              <w:rPr>
                <w:shd w:val="clear" w:color="auto" w:fill="FFFFFF"/>
                <w:lang w:val="lv-LV"/>
              </w:rPr>
              <w:t>var  netikt saglabāts</w:t>
            </w:r>
            <w:r w:rsidR="002319C0">
              <w:rPr>
                <w:shd w:val="clear" w:color="auto" w:fill="FFFFFF"/>
                <w:lang w:val="lv-LV"/>
              </w:rPr>
              <w:t>.</w:t>
            </w:r>
            <w:r w:rsidR="00C059FE">
              <w:rPr>
                <w:shd w:val="clear" w:color="auto" w:fill="FFFFFF"/>
                <w:lang w:val="lv-LV"/>
              </w:rPr>
              <w:t xml:space="preserve"> </w:t>
            </w:r>
            <w:r w:rsidR="002319C0" w:rsidRPr="00CE1DC3">
              <w:rPr>
                <w:shd w:val="clear" w:color="auto" w:fill="FFFFFF"/>
                <w:lang w:val="lv-LV"/>
              </w:rPr>
              <w:t>B un C saraksta zāļu gadījumā tām nav alternatīvu, līdz ar to, ja īslaicīga piegāžu traucējuma gadījumā tās tiktu svītrotas, tas būtiski pasliktināto šo zāļu pieejamību pacientiem, jo iesniedzējam atkārtoti būtu jāsniedz iesniegums par to iekļaušanu kompensējamo zāļu sarakstā, bet NVD jāizvērtē un jāpieņem attiecīgs lēmums, kas zāļu pieejamību pacientiem pēc to piegāžu atjaunošanas var aizkavēt pat vairāk kā mēnesi. Turklāt iesniedzējs var atkārtoti tās kompensējamo zāļu sarakstā neiekļaut. Savukārt, ja zāles svītrotas netiek, pacienti tās var saņemt tiklīdz zāļu piegādes traucējumi ir novērsti. Ņemot vērā, ka arī iesniedzējam šāda darbība ir labvēlīga, iesniedzējam savs pienākums jāizpilda godprātīgi un informācija Zāļu valsts aģentūrai un NVD jāsniedz tiklīdz ir viņa rīcībā.</w:t>
            </w:r>
            <w:r w:rsidR="002319C0" w:rsidRPr="006B57C6">
              <w:rPr>
                <w:shd w:val="clear" w:color="auto" w:fill="FFFFFF"/>
                <w:lang w:val="lv-LV"/>
              </w:rPr>
              <w:t>(</w:t>
            </w:r>
            <w:r w:rsidR="002319C0" w:rsidRPr="006B57C6">
              <w:rPr>
                <w:i/>
                <w:iCs/>
                <w:shd w:val="clear" w:color="auto" w:fill="FFFFFF"/>
                <w:lang w:val="lv-LV"/>
              </w:rPr>
              <w:t>Projekta 2. un 6.punkts</w:t>
            </w:r>
            <w:r w:rsidR="002319C0" w:rsidRPr="006B57C6">
              <w:rPr>
                <w:shd w:val="clear" w:color="auto" w:fill="FFFFFF"/>
                <w:lang w:val="lv-LV"/>
              </w:rPr>
              <w:t>).</w:t>
            </w:r>
          </w:p>
          <w:p w14:paraId="72A5E374" w14:textId="77777777" w:rsidR="002319C0" w:rsidRPr="006B57C6" w:rsidRDefault="002319C0" w:rsidP="00776DEC">
            <w:pPr>
              <w:pStyle w:val="tv213"/>
              <w:spacing w:before="0" w:beforeAutospacing="0" w:after="0" w:afterAutospacing="0"/>
              <w:jc w:val="both"/>
              <w:rPr>
                <w:shd w:val="clear" w:color="auto" w:fill="FFFFFF"/>
                <w:lang w:val="lv-LV"/>
              </w:rPr>
            </w:pPr>
          </w:p>
          <w:p w14:paraId="4E92A838" w14:textId="5FAEDF34" w:rsidR="007903B9" w:rsidRPr="006B57C6" w:rsidRDefault="007903B9" w:rsidP="00776DEC">
            <w:pPr>
              <w:pStyle w:val="tv213"/>
              <w:spacing w:before="0" w:beforeAutospacing="0" w:after="0" w:afterAutospacing="0"/>
              <w:jc w:val="both"/>
              <w:rPr>
                <w:shd w:val="clear" w:color="auto" w:fill="FFFFFF"/>
                <w:lang w:val="lv-LV"/>
              </w:rPr>
            </w:pPr>
            <w:r w:rsidRPr="006B57C6">
              <w:rPr>
                <w:shd w:val="clear" w:color="auto" w:fill="FFFFFF"/>
                <w:lang w:val="lv-LV"/>
              </w:rPr>
              <w:t xml:space="preserve">Noteikumu ietvarā tiek redakcionāli precizēta terminoloģija un saskaņota </w:t>
            </w:r>
            <w:r w:rsidRPr="006B57C6">
              <w:rPr>
                <w:lang w:val="lv-LV"/>
              </w:rPr>
              <w:t xml:space="preserve"> ar Noteikumu </w:t>
            </w:r>
            <w:r w:rsidRPr="006B57C6">
              <w:rPr>
                <w:shd w:val="clear" w:color="auto" w:fill="FFFFFF"/>
                <w:lang w:val="lv-LV"/>
              </w:rPr>
              <w:t>16.</w:t>
            </w:r>
            <w:r w:rsidRPr="006B57C6">
              <w:rPr>
                <w:shd w:val="clear" w:color="auto" w:fill="FFFFFF"/>
                <w:vertAlign w:val="superscript"/>
                <w:lang w:val="lv-LV"/>
              </w:rPr>
              <w:t>3</w:t>
            </w:r>
            <w:r w:rsidR="007C29EE" w:rsidRPr="006B57C6">
              <w:rPr>
                <w:shd w:val="clear" w:color="auto" w:fill="FFFFFF"/>
                <w:vertAlign w:val="superscript"/>
                <w:lang w:val="lv-LV"/>
              </w:rPr>
              <w:t xml:space="preserve"> </w:t>
            </w:r>
            <w:r w:rsidRPr="006B57C6">
              <w:rPr>
                <w:shd w:val="clear" w:color="auto" w:fill="FFFFFF"/>
                <w:lang w:val="lv-LV"/>
              </w:rPr>
              <w:t>punktu attiecībā uz vārdu  “cenas samazināšan</w:t>
            </w:r>
            <w:r w:rsidR="0038303B" w:rsidRPr="006B57C6">
              <w:rPr>
                <w:shd w:val="clear" w:color="auto" w:fill="FFFFFF"/>
                <w:lang w:val="lv-LV"/>
              </w:rPr>
              <w:t>a</w:t>
            </w:r>
            <w:r w:rsidRPr="006B57C6">
              <w:rPr>
                <w:shd w:val="clear" w:color="auto" w:fill="FFFFFF"/>
                <w:lang w:val="lv-LV"/>
              </w:rPr>
              <w:t xml:space="preserve"> uz laiku” lietojumu. (</w:t>
            </w:r>
            <w:r w:rsidRPr="006B57C6">
              <w:rPr>
                <w:i/>
                <w:iCs/>
                <w:shd w:val="clear" w:color="auto" w:fill="FFFFFF"/>
                <w:lang w:val="lv-LV"/>
              </w:rPr>
              <w:t>Projekta 3.</w:t>
            </w:r>
            <w:r w:rsidR="00C059FE">
              <w:rPr>
                <w:i/>
                <w:iCs/>
                <w:shd w:val="clear" w:color="auto" w:fill="FFFFFF"/>
                <w:lang w:val="lv-LV"/>
              </w:rPr>
              <w:t xml:space="preserve"> un 5.</w:t>
            </w:r>
            <w:r w:rsidRPr="006B57C6">
              <w:rPr>
                <w:i/>
                <w:iCs/>
                <w:shd w:val="clear" w:color="auto" w:fill="FFFFFF"/>
                <w:lang w:val="lv-LV"/>
              </w:rPr>
              <w:t>punkts</w:t>
            </w:r>
            <w:r w:rsidRPr="006B57C6">
              <w:rPr>
                <w:shd w:val="clear" w:color="auto" w:fill="FFFFFF"/>
                <w:lang w:val="lv-LV"/>
              </w:rPr>
              <w:t>).</w:t>
            </w:r>
          </w:p>
          <w:p w14:paraId="68A9B37F" w14:textId="5157F710" w:rsidR="007903B9" w:rsidRPr="006B57C6" w:rsidRDefault="007903B9" w:rsidP="00776DEC">
            <w:pPr>
              <w:pStyle w:val="tv213"/>
              <w:spacing w:before="0" w:beforeAutospacing="0" w:after="0" w:afterAutospacing="0"/>
              <w:jc w:val="both"/>
              <w:rPr>
                <w:shd w:val="clear" w:color="auto" w:fill="FFFFFF"/>
                <w:lang w:val="lv-LV"/>
              </w:rPr>
            </w:pPr>
          </w:p>
          <w:p w14:paraId="48DB1F00" w14:textId="1960DFE4" w:rsidR="007903B9" w:rsidRPr="006B57C6" w:rsidRDefault="007903B9" w:rsidP="007903B9">
            <w:pPr>
              <w:pStyle w:val="xmsonormal"/>
              <w:shd w:val="clear" w:color="auto" w:fill="FFFFFF"/>
              <w:spacing w:before="0" w:beforeAutospacing="0" w:after="0" w:afterAutospacing="0"/>
              <w:jc w:val="both"/>
            </w:pPr>
            <w:r w:rsidRPr="006B57C6">
              <w:t>N</w:t>
            </w:r>
            <w:r w:rsidR="00BD44D6" w:rsidRPr="006B57C6">
              <w:t>VD</w:t>
            </w:r>
            <w:r w:rsidR="0097079C">
              <w:t xml:space="preserve"> </w:t>
            </w:r>
            <w:r w:rsidRPr="006B57C6">
              <w:t>i</w:t>
            </w:r>
            <w:r w:rsidR="00956200" w:rsidRPr="006B57C6">
              <w:t>r konstatējis, ka 45</w:t>
            </w:r>
            <w:r w:rsidRPr="006B57C6">
              <w:t>.</w:t>
            </w:r>
            <w:r w:rsidR="00956200" w:rsidRPr="006B57C6">
              <w:rPr>
                <w:vertAlign w:val="superscript"/>
              </w:rPr>
              <w:t>1</w:t>
            </w:r>
            <w:r w:rsidRPr="006B57C6">
              <w:t xml:space="preserve">  punktā </w:t>
            </w:r>
            <w:r w:rsidR="00956200" w:rsidRPr="006B57C6">
              <w:t xml:space="preserve">noteiktie izņēmuma gadījumi, kādos </w:t>
            </w:r>
            <w:r w:rsidR="001A0917" w:rsidRPr="006B57C6">
              <w:t>NVD</w:t>
            </w:r>
            <w:r w:rsidR="00956200" w:rsidRPr="006B57C6">
              <w:t xml:space="preserve"> neinformē iesniedzēju par pārdošanas apjoma pieauguma pārsniegumu</w:t>
            </w:r>
            <w:r w:rsidR="0038303B" w:rsidRPr="006B57C6">
              <w:t>,</w:t>
            </w:r>
            <w:r w:rsidR="00956200" w:rsidRPr="006B57C6">
              <w:t xml:space="preserve"> nav izsmeļoši. Prakse parāda, ka atsevišķos gadījumos papildus normā </w:t>
            </w:r>
            <w:r w:rsidRPr="006B57C6">
              <w:t xml:space="preserve">noteiktajam </w:t>
            </w:r>
            <w:r w:rsidR="00956200" w:rsidRPr="006B57C6">
              <w:t xml:space="preserve">ir </w:t>
            </w:r>
            <w:r w:rsidRPr="006B57C6">
              <w:t xml:space="preserve">jāizvērtē </w:t>
            </w:r>
            <w:r w:rsidR="00956200" w:rsidRPr="006B57C6">
              <w:t xml:space="preserve">arī </w:t>
            </w:r>
            <w:r w:rsidRPr="006B57C6">
              <w:t>pārdoto zāļu (konkrēta forma)  iepakojumu dinamika (vairāki gadi), jo dažos gadījumos konstatēts, ka nav pastāvīgi  pieaugošas dinamikas.</w:t>
            </w:r>
            <w:r w:rsidR="00956200" w:rsidRPr="006B57C6">
              <w:t xml:space="preserve"> </w:t>
            </w:r>
            <w:r w:rsidRPr="006B57C6">
              <w:t>Papildus jāanalizē, kad no kom</w:t>
            </w:r>
            <w:r w:rsidR="001A0917" w:rsidRPr="006B57C6">
              <w:t>p</w:t>
            </w:r>
            <w:r w:rsidRPr="006B57C6">
              <w:t>en</w:t>
            </w:r>
            <w:r w:rsidR="00503101" w:rsidRPr="006B57C6">
              <w:t>s</w:t>
            </w:r>
            <w:r w:rsidRPr="006B57C6">
              <w:t>ējamo zāļu saraksta  tiek svītroti paralēli importētie medikamenti.</w:t>
            </w:r>
            <w:r w:rsidR="00956200" w:rsidRPr="006B57C6">
              <w:t xml:space="preserve"> </w:t>
            </w:r>
            <w:r w:rsidRPr="006B57C6">
              <w:t>Zāļu konkrēto formu svītrošanā no KZS ietekmē esošo zāļu (ar citu formu) izrakstīšanas apjomu.</w:t>
            </w:r>
            <w:r w:rsidR="00956200" w:rsidRPr="006B57C6">
              <w:t xml:space="preserve"> Ja konkrēto zāļu pārdošanas apjomi ir nelieli, pastāv iespēja, ka iesniedzējs pārtrauc zāļu izplatīšanu Latvijā, piemēram, gadījumos, ja konkrētās zāles lieto tikai daži pacienti. Līdz ar to, lai nodrošinātu normas adekvātu un pareizu piemērošanu, kā arī neradītu terapijas pārtraukuma risku pacientiem, kuri lieto izteikti zema patēriņa  (kopēji izplatām</w:t>
            </w:r>
            <w:r w:rsidR="0038303B" w:rsidRPr="006B57C6">
              <w:t>a</w:t>
            </w:r>
            <w:r w:rsidR="00956200" w:rsidRPr="006B57C6">
              <w:t xml:space="preserve"> daudzuma) zāles, tiesību norma tiek precizēta, nosakot, ka N</w:t>
            </w:r>
            <w:r w:rsidR="00BD44D6" w:rsidRPr="006B57C6">
              <w:t>VD</w:t>
            </w:r>
            <w:r w:rsidR="0038303B" w:rsidRPr="006B57C6">
              <w:t>,</w:t>
            </w:r>
            <w:r w:rsidR="00956200" w:rsidRPr="006B57C6">
              <w:t xml:space="preserve"> izvērtējot</w:t>
            </w:r>
            <w:r w:rsidR="0038303B" w:rsidRPr="006B57C6">
              <w:t>,</w:t>
            </w:r>
            <w:r w:rsidR="00956200" w:rsidRPr="006B57C6">
              <w:t xml:space="preserve"> vai nosūtīt iesniedzējam informāciju par pārdošanas apjoma pieauguma pārsniegumu</w:t>
            </w:r>
            <w:r w:rsidR="0038303B" w:rsidRPr="006B57C6">
              <w:t>,</w:t>
            </w:r>
            <w:r w:rsidR="00956200" w:rsidRPr="006B57C6">
              <w:t xml:space="preserve"> var ņemt vērā arī citus apstākļus. (</w:t>
            </w:r>
            <w:r w:rsidR="003005EF" w:rsidRPr="006B57C6">
              <w:rPr>
                <w:i/>
                <w:iCs/>
              </w:rPr>
              <w:t>P</w:t>
            </w:r>
            <w:r w:rsidR="00956200" w:rsidRPr="006B57C6">
              <w:rPr>
                <w:i/>
                <w:iCs/>
              </w:rPr>
              <w:t>rojekta</w:t>
            </w:r>
            <w:r w:rsidR="003005EF" w:rsidRPr="006B57C6">
              <w:rPr>
                <w:i/>
                <w:iCs/>
              </w:rPr>
              <w:t xml:space="preserve"> 4.punkts</w:t>
            </w:r>
            <w:r w:rsidR="00956200" w:rsidRPr="006B57C6">
              <w:t>)</w:t>
            </w:r>
            <w:r w:rsidR="003005EF" w:rsidRPr="006B57C6">
              <w:t>.</w:t>
            </w:r>
          </w:p>
          <w:p w14:paraId="7D9A0667" w14:textId="77777777" w:rsidR="006B57C6" w:rsidRPr="00530266" w:rsidRDefault="006B57C6" w:rsidP="00E95FEE">
            <w:pPr>
              <w:shd w:val="clear" w:color="auto" w:fill="FFFFFF"/>
              <w:spacing w:after="0" w:line="240" w:lineRule="auto"/>
              <w:contextualSpacing/>
              <w:jc w:val="both"/>
              <w:rPr>
                <w:rFonts w:ascii="Times New Roman" w:eastAsia="Times New Roman" w:hAnsi="Times New Roman" w:cs="Times New Roman"/>
                <w:sz w:val="24"/>
                <w:szCs w:val="24"/>
                <w:lang w:eastAsia="lv-LV"/>
              </w:rPr>
            </w:pPr>
          </w:p>
          <w:p w14:paraId="71AD72B8" w14:textId="4EF1E426" w:rsidR="00E95FEE" w:rsidRPr="00530266" w:rsidRDefault="00E95FEE" w:rsidP="002319C0">
            <w:pPr>
              <w:shd w:val="clear" w:color="auto" w:fill="FFFFFF"/>
              <w:spacing w:after="0" w:line="240" w:lineRule="auto"/>
              <w:contextualSpacing/>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 xml:space="preserve">Saskaņā ar Slimību profilakses un kontroles centra sniegto informāciju no 2020. gada 1. janvāra ir aktualizēta SSK-10 versija, saskaņā ar kuru no SSK-10 tiek izņemta diagnoze Kauzalģija  </w:t>
            </w:r>
            <w:r w:rsidRPr="00530266">
              <w:rPr>
                <w:rFonts w:ascii="Times New Roman" w:eastAsia="Times New Roman" w:hAnsi="Times New Roman" w:cs="Times New Roman"/>
                <w:sz w:val="24"/>
                <w:szCs w:val="24"/>
                <w:lang w:eastAsia="lv-LV"/>
              </w:rPr>
              <w:lastRenderedPageBreak/>
              <w:t>G56.4 un ieviesta diagnoze Kompleksais reģionālais sāpju sindroms, II tips G90.6. Līdz ar to precizējams Noteikumu 1. pielikuma 14.9.3. apakšpunkts. (</w:t>
            </w:r>
            <w:r w:rsidRPr="00530266">
              <w:rPr>
                <w:rFonts w:ascii="Times New Roman" w:eastAsia="Times New Roman" w:hAnsi="Times New Roman" w:cs="Times New Roman"/>
                <w:i/>
                <w:iCs/>
                <w:sz w:val="24"/>
                <w:szCs w:val="24"/>
                <w:lang w:eastAsia="lv-LV"/>
              </w:rPr>
              <w:t xml:space="preserve">Projekta </w:t>
            </w:r>
            <w:r w:rsidR="00936017">
              <w:rPr>
                <w:rFonts w:ascii="Times New Roman" w:eastAsia="Times New Roman" w:hAnsi="Times New Roman" w:cs="Times New Roman"/>
                <w:i/>
                <w:iCs/>
                <w:sz w:val="24"/>
                <w:szCs w:val="24"/>
                <w:lang w:eastAsia="lv-LV"/>
              </w:rPr>
              <w:t>7</w:t>
            </w:r>
            <w:r w:rsidRPr="00530266">
              <w:rPr>
                <w:rFonts w:ascii="Times New Roman" w:eastAsia="Times New Roman" w:hAnsi="Times New Roman" w:cs="Times New Roman"/>
                <w:i/>
                <w:iCs/>
                <w:sz w:val="24"/>
                <w:szCs w:val="24"/>
                <w:lang w:eastAsia="lv-LV"/>
              </w:rPr>
              <w:t>.punkts</w:t>
            </w:r>
            <w:r w:rsidRPr="00530266">
              <w:rPr>
                <w:rFonts w:ascii="Times New Roman" w:eastAsia="Times New Roman" w:hAnsi="Times New Roman" w:cs="Times New Roman"/>
                <w:sz w:val="24"/>
                <w:szCs w:val="24"/>
                <w:lang w:eastAsia="lv-LV"/>
              </w:rPr>
              <w:t>)</w:t>
            </w:r>
          </w:p>
          <w:p w14:paraId="56F73525" w14:textId="77777777" w:rsidR="00E95FEE" w:rsidRPr="00530266" w:rsidRDefault="00E95FEE" w:rsidP="00FA1FFA">
            <w:pPr>
              <w:shd w:val="clear" w:color="auto" w:fill="FFFFFF"/>
              <w:spacing w:after="0" w:line="240" w:lineRule="auto"/>
              <w:ind w:firstLine="720"/>
              <w:contextualSpacing/>
              <w:jc w:val="both"/>
              <w:rPr>
                <w:rFonts w:ascii="Times New Roman" w:eastAsia="Times New Roman" w:hAnsi="Times New Roman" w:cs="Times New Roman"/>
                <w:sz w:val="24"/>
                <w:szCs w:val="24"/>
                <w:lang w:eastAsia="lv-LV"/>
              </w:rPr>
            </w:pPr>
          </w:p>
          <w:p w14:paraId="257150E3" w14:textId="07D2B593" w:rsidR="000A729B" w:rsidRPr="00530266" w:rsidRDefault="000A729B" w:rsidP="002319C0">
            <w:pPr>
              <w:shd w:val="clear" w:color="auto" w:fill="FFFFFF"/>
              <w:spacing w:after="0" w:line="240" w:lineRule="auto"/>
              <w:contextualSpacing/>
              <w:jc w:val="both"/>
              <w:rPr>
                <w:rFonts w:ascii="Times New Roman" w:eastAsia="Times New Roman" w:hAnsi="Times New Roman" w:cs="Times New Roman"/>
                <w:sz w:val="24"/>
                <w:szCs w:val="24"/>
                <w:lang w:eastAsia="lv-LV"/>
              </w:rPr>
            </w:pPr>
            <w:bookmarkStart w:id="0" w:name="_GoBack"/>
            <w:bookmarkEnd w:id="0"/>
            <w:r w:rsidRPr="00530266">
              <w:rPr>
                <w:rFonts w:ascii="Times New Roman" w:eastAsia="Times New Roman" w:hAnsi="Times New Roman" w:cs="Times New Roman"/>
                <w:sz w:val="24"/>
                <w:szCs w:val="24"/>
                <w:lang w:eastAsia="lv-LV"/>
              </w:rPr>
              <w:t xml:space="preserve">No Latvijas Neiroimunologu biedrības un Veselības ministrijas galvenā speciālista neiroloģijā saņemta informācija, ka </w:t>
            </w:r>
            <w:r w:rsidR="007C29EE" w:rsidRPr="00530266">
              <w:rPr>
                <w:rFonts w:ascii="Times New Roman" w:eastAsia="Times New Roman" w:hAnsi="Times New Roman" w:cs="Times New Roman"/>
                <w:i/>
                <w:iCs/>
                <w:sz w:val="24"/>
                <w:szCs w:val="24"/>
                <w:lang w:eastAsia="lv-LV"/>
              </w:rPr>
              <w:t xml:space="preserve">Cita veida iekaisīgas polineiropātijas </w:t>
            </w:r>
            <w:r w:rsidR="007C29EE" w:rsidRPr="00530266">
              <w:rPr>
                <w:rFonts w:ascii="Times New Roman" w:eastAsia="Times New Roman" w:hAnsi="Times New Roman" w:cs="Times New Roman"/>
                <w:sz w:val="24"/>
                <w:szCs w:val="24"/>
                <w:lang w:eastAsia="lv-LV"/>
              </w:rPr>
              <w:t xml:space="preserve">(t.sk.hroniska iekaisīga demielinizējoša polineiropātija) (G61.8) </w:t>
            </w:r>
            <w:r w:rsidRPr="00530266">
              <w:rPr>
                <w:rFonts w:ascii="Times New Roman" w:eastAsia="Times New Roman" w:hAnsi="Times New Roman" w:cs="Times New Roman"/>
                <w:sz w:val="24"/>
                <w:szCs w:val="24"/>
                <w:lang w:eastAsia="lv-LV"/>
              </w:rPr>
              <w:t xml:space="preserve"> ir</w:t>
            </w:r>
            <w:r w:rsidR="00751D4A" w:rsidRPr="00530266">
              <w:rPr>
                <w:rFonts w:ascii="Times New Roman" w:eastAsia="Times New Roman" w:hAnsi="Times New Roman" w:cs="Times New Roman"/>
                <w:sz w:val="24"/>
                <w:szCs w:val="24"/>
                <w:lang w:eastAsia="lv-LV"/>
              </w:rPr>
              <w:t xml:space="preserve"> smagu neatgriezen</w:t>
            </w:r>
            <w:r w:rsidR="00E95FEE" w:rsidRPr="00530266">
              <w:rPr>
                <w:rFonts w:ascii="Times New Roman" w:eastAsia="Times New Roman" w:hAnsi="Times New Roman" w:cs="Times New Roman"/>
                <w:sz w:val="24"/>
                <w:szCs w:val="24"/>
                <w:lang w:eastAsia="lv-LV"/>
              </w:rPr>
              <w:t>i</w:t>
            </w:r>
            <w:r w:rsidR="00751D4A" w:rsidRPr="00530266">
              <w:rPr>
                <w:rFonts w:ascii="Times New Roman" w:eastAsia="Times New Roman" w:hAnsi="Times New Roman" w:cs="Times New Roman"/>
                <w:sz w:val="24"/>
                <w:szCs w:val="24"/>
                <w:lang w:eastAsia="lv-LV"/>
              </w:rPr>
              <w:t>sku</w:t>
            </w:r>
            <w:r w:rsidRPr="00530266">
              <w:rPr>
                <w:rFonts w:ascii="Times New Roman" w:eastAsia="Times New Roman" w:hAnsi="Times New Roman" w:cs="Times New Roman"/>
                <w:sz w:val="24"/>
                <w:szCs w:val="24"/>
                <w:lang w:eastAsia="lv-LV"/>
              </w:rPr>
              <w:t xml:space="preserve"> invalidi</w:t>
            </w:r>
            <w:r w:rsidR="00751D4A" w:rsidRPr="00530266">
              <w:rPr>
                <w:rFonts w:ascii="Times New Roman" w:eastAsia="Times New Roman" w:hAnsi="Times New Roman" w:cs="Times New Roman"/>
                <w:sz w:val="24"/>
                <w:szCs w:val="24"/>
                <w:lang w:eastAsia="lv-LV"/>
              </w:rPr>
              <w:t>tāti izraisoša</w:t>
            </w:r>
            <w:r w:rsidRPr="00530266">
              <w:rPr>
                <w:rFonts w:ascii="Times New Roman" w:eastAsia="Times New Roman" w:hAnsi="Times New Roman" w:cs="Times New Roman"/>
                <w:sz w:val="24"/>
                <w:szCs w:val="24"/>
                <w:lang w:eastAsia="lv-LV"/>
              </w:rPr>
              <w:t xml:space="preserve"> slimība, kas pacientam, nesaņemot ārstēšanu, rada kustību ierobežojumu visās ekstremitātēs - paralīzi. Ja pacients savlaicīgi saņem terapiju, nespēja var būt viegla vai izzust</w:t>
            </w:r>
            <w:r w:rsidR="00EC102B" w:rsidRPr="00530266">
              <w:rPr>
                <w:rFonts w:ascii="Times New Roman" w:eastAsia="Times New Roman" w:hAnsi="Times New Roman" w:cs="Times New Roman"/>
                <w:sz w:val="24"/>
                <w:szCs w:val="24"/>
                <w:lang w:eastAsia="lv-LV"/>
              </w:rPr>
              <w:t>,</w:t>
            </w:r>
            <w:r w:rsidRPr="00530266">
              <w:rPr>
                <w:rFonts w:ascii="Times New Roman" w:eastAsia="Times New Roman" w:hAnsi="Times New Roman" w:cs="Times New Roman"/>
                <w:sz w:val="24"/>
                <w:szCs w:val="24"/>
                <w:lang w:eastAsia="lv-LV"/>
              </w:rPr>
              <w:t xml:space="preserve"> vai progresēt būtiski lēnāk, kas saglabā pacientam gan darbaspējas, gan spējas parūpēties par sevi ikdienas aktivitātēs. Zāļu pieejamība mājas apstākļos mazinātu stacionēšanas dienas un ar to saistītās papildus valsts budžeta izmaksas.</w:t>
            </w:r>
          </w:p>
          <w:p w14:paraId="4EB5C396" w14:textId="77777777" w:rsidR="00E95FEE" w:rsidRPr="00530266" w:rsidRDefault="00E95FEE" w:rsidP="00FA1FFA">
            <w:pPr>
              <w:shd w:val="clear" w:color="auto" w:fill="FFFFFF"/>
              <w:spacing w:after="0" w:line="240" w:lineRule="auto"/>
              <w:ind w:firstLine="720"/>
              <w:contextualSpacing/>
              <w:jc w:val="both"/>
              <w:rPr>
                <w:rFonts w:ascii="Times New Roman" w:eastAsia="Times New Roman" w:hAnsi="Times New Roman" w:cs="Times New Roman"/>
                <w:sz w:val="24"/>
                <w:szCs w:val="24"/>
                <w:lang w:eastAsia="lv-LV"/>
              </w:rPr>
            </w:pPr>
          </w:p>
          <w:p w14:paraId="0738D7D4" w14:textId="5D0C4266" w:rsidR="000A729B" w:rsidRPr="00530266" w:rsidRDefault="000A729B" w:rsidP="00FA1FFA">
            <w:pPr>
              <w:spacing w:line="240" w:lineRule="auto"/>
              <w:contextualSpacing/>
              <w:jc w:val="both"/>
              <w:rPr>
                <w:rFonts w:ascii="Times New Roman" w:hAnsi="Times New Roman" w:cs="Times New Roman"/>
                <w:sz w:val="24"/>
                <w:szCs w:val="24"/>
                <w:shd w:val="clear" w:color="auto" w:fill="FFFFFF"/>
              </w:rPr>
            </w:pPr>
            <w:r w:rsidRPr="00530266">
              <w:rPr>
                <w:rFonts w:ascii="Times New Roman" w:eastAsia="Times New Roman" w:hAnsi="Times New Roman" w:cs="Times New Roman"/>
                <w:sz w:val="24"/>
                <w:szCs w:val="24"/>
                <w:lang w:eastAsia="lv-LV"/>
              </w:rPr>
              <w:t>Slimība ir reta un Latvijā šī terapija ir indicēta 15-20 pacientiem. Turklāt jāatzīmē, ka pacientu skaits ir relatīvi stabils - slimībai raksturīgas remisijas, kuru laikā medikaments tiek atcelts. Atbilstoši spēkā esošiem Noteikumiem zāļu kompensācijas apmērs diagnozes G61.8 gadījumā ir 50%, kas neatbilst Noteikumu 4. punktā noteiktaj</w:t>
            </w:r>
            <w:r w:rsidR="00B67EA7" w:rsidRPr="00530266">
              <w:rPr>
                <w:rFonts w:ascii="Times New Roman" w:eastAsia="Times New Roman" w:hAnsi="Times New Roman" w:cs="Times New Roman"/>
                <w:sz w:val="24"/>
                <w:szCs w:val="24"/>
                <w:lang w:eastAsia="lv-LV"/>
              </w:rPr>
              <w:t>ai</w:t>
            </w:r>
            <w:r w:rsidRPr="00530266">
              <w:rPr>
                <w:rFonts w:ascii="Times New Roman" w:eastAsia="Times New Roman" w:hAnsi="Times New Roman" w:cs="Times New Roman"/>
                <w:sz w:val="24"/>
                <w:szCs w:val="24"/>
                <w:lang w:eastAsia="lv-LV"/>
              </w:rPr>
              <w:t xml:space="preserve"> zāļu kompensācijas kategorijai, j</w:t>
            </w:r>
            <w:r w:rsidR="00751D4A" w:rsidRPr="00530266">
              <w:rPr>
                <w:rFonts w:ascii="Times New Roman" w:eastAsia="Times New Roman" w:hAnsi="Times New Roman" w:cs="Times New Roman"/>
                <w:sz w:val="24"/>
                <w:szCs w:val="24"/>
                <w:lang w:eastAsia="lv-LV"/>
              </w:rPr>
              <w:t>o</w:t>
            </w:r>
            <w:r w:rsidRPr="00530266">
              <w:rPr>
                <w:rFonts w:ascii="Times New Roman" w:eastAsia="Times New Roman" w:hAnsi="Times New Roman" w:cs="Times New Roman"/>
                <w:sz w:val="24"/>
                <w:szCs w:val="24"/>
                <w:lang w:eastAsia="lv-LV"/>
              </w:rPr>
              <w:t xml:space="preserve"> </w:t>
            </w:r>
            <w:r w:rsidR="00AE03A2" w:rsidRPr="00530266">
              <w:rPr>
                <w:rFonts w:ascii="Times New Roman" w:hAnsi="Times New Roman" w:cs="Times New Roman"/>
                <w:sz w:val="24"/>
                <w:szCs w:val="24"/>
                <w:shd w:val="clear" w:color="auto" w:fill="FFFFFF"/>
              </w:rPr>
              <w:t>izraisa smagu neatgriezenisku invaliditāti, tāpēc norma precizējama, nosakot zāļu</w:t>
            </w:r>
            <w:r w:rsidR="008049F2" w:rsidRPr="00530266">
              <w:rPr>
                <w:rFonts w:ascii="Times New Roman" w:hAnsi="Times New Roman" w:cs="Times New Roman"/>
                <w:sz w:val="24"/>
                <w:szCs w:val="24"/>
                <w:shd w:val="clear" w:color="auto" w:fill="FFFFFF"/>
              </w:rPr>
              <w:t xml:space="preserve"> un medicīnisko ierīču</w:t>
            </w:r>
            <w:r w:rsidR="00AE03A2" w:rsidRPr="00530266">
              <w:rPr>
                <w:rFonts w:ascii="Times New Roman" w:hAnsi="Times New Roman" w:cs="Times New Roman"/>
                <w:sz w:val="24"/>
                <w:szCs w:val="24"/>
                <w:shd w:val="clear" w:color="auto" w:fill="FFFFFF"/>
              </w:rPr>
              <w:t xml:space="preserve"> kompensāciju 100% apmērā</w:t>
            </w:r>
            <w:r w:rsidR="00E95FEE" w:rsidRPr="00530266">
              <w:rPr>
                <w:rFonts w:ascii="Times New Roman" w:hAnsi="Times New Roman" w:cs="Times New Roman"/>
                <w:sz w:val="24"/>
                <w:szCs w:val="24"/>
                <w:shd w:val="clear" w:color="auto" w:fill="FFFFFF"/>
              </w:rPr>
              <w:t xml:space="preserve"> (</w:t>
            </w:r>
            <w:r w:rsidR="00E95FEE" w:rsidRPr="00530266">
              <w:rPr>
                <w:rFonts w:ascii="Times New Roman" w:hAnsi="Times New Roman" w:cs="Times New Roman"/>
                <w:i/>
                <w:iCs/>
                <w:sz w:val="24"/>
                <w:szCs w:val="24"/>
                <w:shd w:val="clear" w:color="auto" w:fill="FFFFFF"/>
              </w:rPr>
              <w:t xml:space="preserve">Projekta </w:t>
            </w:r>
            <w:r w:rsidR="00936017">
              <w:rPr>
                <w:rFonts w:ascii="Times New Roman" w:hAnsi="Times New Roman" w:cs="Times New Roman"/>
                <w:i/>
                <w:iCs/>
                <w:sz w:val="24"/>
                <w:szCs w:val="24"/>
                <w:shd w:val="clear" w:color="auto" w:fill="FFFFFF"/>
              </w:rPr>
              <w:t>8</w:t>
            </w:r>
            <w:r w:rsidR="00E95FEE" w:rsidRPr="00530266">
              <w:rPr>
                <w:rFonts w:ascii="Times New Roman" w:hAnsi="Times New Roman" w:cs="Times New Roman"/>
                <w:i/>
                <w:iCs/>
                <w:sz w:val="24"/>
                <w:szCs w:val="24"/>
                <w:shd w:val="clear" w:color="auto" w:fill="FFFFFF"/>
              </w:rPr>
              <w:t>.punkts</w:t>
            </w:r>
            <w:r w:rsidR="00E95FEE" w:rsidRPr="00530266">
              <w:rPr>
                <w:rFonts w:ascii="Times New Roman" w:hAnsi="Times New Roman" w:cs="Times New Roman"/>
                <w:sz w:val="24"/>
                <w:szCs w:val="24"/>
                <w:shd w:val="clear" w:color="auto" w:fill="FFFFFF"/>
              </w:rPr>
              <w:t>).</w:t>
            </w:r>
          </w:p>
          <w:p w14:paraId="10D03BEA" w14:textId="77777777" w:rsidR="00C63F77" w:rsidRPr="00530266" w:rsidRDefault="00C63F77" w:rsidP="00FA1FFA">
            <w:pPr>
              <w:spacing w:line="240" w:lineRule="auto"/>
              <w:contextualSpacing/>
              <w:jc w:val="both"/>
              <w:rPr>
                <w:rFonts w:ascii="Times New Roman" w:hAnsi="Times New Roman" w:cs="Times New Roman"/>
                <w:sz w:val="24"/>
                <w:szCs w:val="24"/>
                <w:shd w:val="clear" w:color="auto" w:fill="FFFFFF"/>
              </w:rPr>
            </w:pPr>
          </w:p>
          <w:p w14:paraId="79491B44" w14:textId="5DFCF012" w:rsidR="00C74DE7" w:rsidRPr="00530266" w:rsidRDefault="00C74DE7" w:rsidP="00E95FEE">
            <w:pPr>
              <w:shd w:val="clear" w:color="auto" w:fill="FFFFFF"/>
              <w:spacing w:after="0" w:line="240" w:lineRule="auto"/>
              <w:jc w:val="both"/>
              <w:rPr>
                <w:rFonts w:ascii="Times New Roman" w:hAnsi="Times New Roman" w:cs="Times New Roman"/>
                <w:sz w:val="24"/>
                <w:szCs w:val="24"/>
              </w:rPr>
            </w:pPr>
          </w:p>
        </w:tc>
      </w:tr>
      <w:tr w:rsidR="00CC08CB" w:rsidRPr="00530266" w14:paraId="19C91BA6" w14:textId="77777777" w:rsidTr="00980CAA">
        <w:trPr>
          <w:trHeight w:val="372"/>
        </w:trPr>
        <w:tc>
          <w:tcPr>
            <w:tcW w:w="125" w:type="pct"/>
            <w:tcBorders>
              <w:top w:val="outset" w:sz="6" w:space="0" w:color="414142"/>
              <w:left w:val="outset" w:sz="6" w:space="0" w:color="414142"/>
              <w:bottom w:val="outset" w:sz="6" w:space="0" w:color="414142"/>
              <w:right w:val="outset" w:sz="6" w:space="0" w:color="414142"/>
            </w:tcBorders>
            <w:hideMark/>
          </w:tcPr>
          <w:p w14:paraId="3A7ECB22"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lastRenderedPageBreak/>
              <w:t>3.</w:t>
            </w:r>
          </w:p>
        </w:tc>
        <w:tc>
          <w:tcPr>
            <w:tcW w:w="1529" w:type="pct"/>
            <w:tcBorders>
              <w:top w:val="outset" w:sz="6" w:space="0" w:color="414142"/>
              <w:left w:val="outset" w:sz="6" w:space="0" w:color="414142"/>
              <w:bottom w:val="outset" w:sz="6" w:space="0" w:color="414142"/>
              <w:right w:val="outset" w:sz="6" w:space="0" w:color="414142"/>
            </w:tcBorders>
            <w:hideMark/>
          </w:tcPr>
          <w:p w14:paraId="2D43B936"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Projekta izstrādē iesaistītās institūcijas un publiskas personas kapitālsabiedrības</w:t>
            </w:r>
          </w:p>
        </w:tc>
        <w:tc>
          <w:tcPr>
            <w:tcW w:w="3346" w:type="pct"/>
            <w:tcBorders>
              <w:top w:val="outset" w:sz="6" w:space="0" w:color="414142"/>
              <w:left w:val="outset" w:sz="6" w:space="0" w:color="414142"/>
              <w:bottom w:val="outset" w:sz="6" w:space="0" w:color="414142"/>
              <w:right w:val="outset" w:sz="6" w:space="0" w:color="414142"/>
            </w:tcBorders>
            <w:hideMark/>
          </w:tcPr>
          <w:p w14:paraId="1A2508A3" w14:textId="77777777" w:rsidR="00BE47F1" w:rsidRPr="00530266" w:rsidRDefault="00BE47F1" w:rsidP="00980CAA">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Veselības ministrija, Nacionālais veselības dienests, Zāļu valsts aģentūra</w:t>
            </w:r>
          </w:p>
        </w:tc>
      </w:tr>
      <w:tr w:rsidR="00CC08CB" w:rsidRPr="00530266" w14:paraId="238876A2" w14:textId="77777777" w:rsidTr="00980CAA">
        <w:tc>
          <w:tcPr>
            <w:tcW w:w="125" w:type="pct"/>
            <w:tcBorders>
              <w:top w:val="outset" w:sz="6" w:space="0" w:color="414142"/>
              <w:left w:val="outset" w:sz="6" w:space="0" w:color="414142"/>
              <w:bottom w:val="outset" w:sz="6" w:space="0" w:color="414142"/>
              <w:right w:val="outset" w:sz="6" w:space="0" w:color="414142"/>
            </w:tcBorders>
            <w:hideMark/>
          </w:tcPr>
          <w:p w14:paraId="53367F41"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4.</w:t>
            </w:r>
          </w:p>
        </w:tc>
        <w:tc>
          <w:tcPr>
            <w:tcW w:w="1529" w:type="pct"/>
            <w:tcBorders>
              <w:top w:val="outset" w:sz="6" w:space="0" w:color="414142"/>
              <w:left w:val="outset" w:sz="6" w:space="0" w:color="414142"/>
              <w:bottom w:val="outset" w:sz="6" w:space="0" w:color="414142"/>
              <w:right w:val="outset" w:sz="6" w:space="0" w:color="414142"/>
            </w:tcBorders>
            <w:hideMark/>
          </w:tcPr>
          <w:p w14:paraId="6CBCB32F"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Cita informācija</w:t>
            </w:r>
          </w:p>
        </w:tc>
        <w:tc>
          <w:tcPr>
            <w:tcW w:w="3346" w:type="pct"/>
            <w:tcBorders>
              <w:top w:val="outset" w:sz="6" w:space="0" w:color="414142"/>
              <w:left w:val="outset" w:sz="6" w:space="0" w:color="414142"/>
              <w:bottom w:val="outset" w:sz="6" w:space="0" w:color="414142"/>
              <w:right w:val="outset" w:sz="6" w:space="0" w:color="414142"/>
            </w:tcBorders>
            <w:hideMark/>
          </w:tcPr>
          <w:p w14:paraId="1E32F25C" w14:textId="77777777" w:rsidR="00BE47F1" w:rsidRPr="00530266" w:rsidRDefault="00BE47F1" w:rsidP="00980CAA">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 xml:space="preserve"> Nav</w:t>
            </w:r>
          </w:p>
        </w:tc>
      </w:tr>
    </w:tbl>
    <w:p w14:paraId="453BFC11" w14:textId="77777777" w:rsidR="00BE47F1" w:rsidRPr="00530266" w:rsidRDefault="00BE47F1" w:rsidP="00BE47F1">
      <w:pPr>
        <w:jc w:val="both"/>
        <w:rPr>
          <w:rFonts w:ascii="Times New Roman" w:hAnsi="Times New Roman" w:cs="Times New Roman"/>
          <w:sz w:val="24"/>
          <w:szCs w:val="24"/>
        </w:rPr>
      </w:pPr>
      <w:r w:rsidRPr="00530266">
        <w:rPr>
          <w:rFonts w:ascii="Times New Roman" w:hAnsi="Times New Roman" w:cs="Times New Roman"/>
          <w:sz w:val="24"/>
          <w:szCs w:val="24"/>
        </w:rPr>
        <w:br w:type="textWrapping" w:clear="all"/>
      </w:r>
    </w:p>
    <w:tbl>
      <w:tblPr>
        <w:tblW w:w="5003" w:type="pct"/>
        <w:tblInd w:w="-3"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4"/>
        <w:gridCol w:w="3005"/>
        <w:gridCol w:w="6203"/>
      </w:tblGrid>
      <w:tr w:rsidR="00CC08CB" w:rsidRPr="00530266" w14:paraId="6466B8AC" w14:textId="77777777" w:rsidTr="00980CAA">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29420280"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30266">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CC08CB" w:rsidRPr="00530266" w14:paraId="3D80DED1" w14:textId="77777777" w:rsidTr="00980CAA">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53C785F6"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286B024A"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Sabiedrības mērķgrupas,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5F8512CD" w14:textId="77777777" w:rsidR="00E63537" w:rsidRPr="00530266" w:rsidRDefault="00E63537" w:rsidP="00E63537">
            <w:pPr>
              <w:suppressAutoHyphens/>
              <w:autoSpaceDN w:val="0"/>
              <w:spacing w:after="0" w:line="240" w:lineRule="auto"/>
              <w:jc w:val="both"/>
              <w:textAlignment w:val="baseline"/>
              <w:rPr>
                <w:rFonts w:ascii="Times New Roman" w:eastAsia="Times New Roman" w:hAnsi="Times New Roman" w:cs="Times New Roman"/>
                <w:i/>
                <w:color w:val="2E74B5"/>
                <w:sz w:val="24"/>
                <w:szCs w:val="24"/>
                <w:lang w:eastAsia="lv-LV"/>
              </w:rPr>
            </w:pPr>
            <w:r w:rsidRPr="00530266">
              <w:rPr>
                <w:rFonts w:ascii="Times New Roman" w:eastAsia="Times New Roman" w:hAnsi="Times New Roman" w:cs="Times New Roman"/>
                <w:sz w:val="24"/>
                <w:szCs w:val="24"/>
                <w:lang w:eastAsia="lv-LV"/>
              </w:rPr>
              <w:t>Pacienti un  zāļu vai medicīnisko ierīču reģistrācijas apliecības turētāji (īpašnieki) un medicīnisko ierīču ražotāji un to pilnvarotie pārstāvji, kā arī zāļu vai medicīnisko ierīču vairumtirgotāji uni viņu pilnvarotie pārstāvji.</w:t>
            </w:r>
          </w:p>
          <w:p w14:paraId="79D00C9D" w14:textId="37FF7DAC" w:rsidR="00BE47F1" w:rsidRPr="00530266" w:rsidRDefault="00BE47F1" w:rsidP="00980CAA">
            <w:pPr>
              <w:spacing w:after="0" w:line="240" w:lineRule="auto"/>
              <w:jc w:val="both"/>
              <w:rPr>
                <w:rFonts w:ascii="Times New Roman" w:eastAsia="Times New Roman" w:hAnsi="Times New Roman" w:cs="Times New Roman"/>
                <w:sz w:val="24"/>
                <w:szCs w:val="24"/>
                <w:lang w:eastAsia="lv-LV"/>
              </w:rPr>
            </w:pPr>
          </w:p>
        </w:tc>
      </w:tr>
      <w:tr w:rsidR="00CC08CB" w:rsidRPr="00530266" w14:paraId="6909BBBA" w14:textId="77777777" w:rsidTr="00980CAA">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13F0D477"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19139939"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1FE9D7D5" w14:textId="0DE055DE" w:rsidR="000B062B" w:rsidRPr="00530266" w:rsidRDefault="000B062B" w:rsidP="00980CAA">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 xml:space="preserve"> </w:t>
            </w:r>
            <w:r w:rsidR="00E12258" w:rsidRPr="00530266">
              <w:rPr>
                <w:rFonts w:ascii="Times New Roman" w:eastAsia="Times New Roman" w:hAnsi="Times New Roman" w:cs="Times New Roman"/>
                <w:sz w:val="24"/>
                <w:szCs w:val="24"/>
                <w:lang w:eastAsia="lv-LV"/>
              </w:rPr>
              <w:t xml:space="preserve">Mazināts administratīvais slogs zāļu ražotāju pārstāvjiem, Nacionālajam veselības dienestam, uzlabota finansiālā un faktiskā zāļu pieejamība pacientiem. </w:t>
            </w:r>
          </w:p>
        </w:tc>
      </w:tr>
      <w:tr w:rsidR="00CC08CB" w:rsidRPr="00530266" w14:paraId="21A12FB8" w14:textId="77777777" w:rsidTr="00980CAA">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3573B500"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32F38017"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285C9F2"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Projekts šo jomu neskar</w:t>
            </w:r>
          </w:p>
        </w:tc>
      </w:tr>
      <w:tr w:rsidR="00BE47F1" w:rsidRPr="00530266" w14:paraId="352EE02D" w14:textId="77777777" w:rsidTr="00980CAA">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3FB06169"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14:paraId="6C95E27E"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hAnsi="Times New Roman" w:cs="Times New Roman"/>
                <w:sz w:val="24"/>
                <w:szCs w:val="24"/>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D1EE473" w14:textId="77777777" w:rsidR="00BE47F1" w:rsidRPr="00530266" w:rsidRDefault="00BE47F1" w:rsidP="00980CAA">
            <w:pPr>
              <w:spacing w:before="100" w:beforeAutospacing="1" w:after="100" w:afterAutospacing="1" w:line="293" w:lineRule="atLeast"/>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Projekts šo jomu neskar</w:t>
            </w:r>
          </w:p>
        </w:tc>
      </w:tr>
      <w:tr w:rsidR="00BE47F1" w:rsidRPr="00530266" w14:paraId="7B359A31" w14:textId="77777777" w:rsidTr="00980C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Ex>
        <w:trPr>
          <w:cantSplit/>
        </w:trPr>
        <w:tc>
          <w:tcPr>
            <w:tcW w:w="250" w:type="pct"/>
            <w:hideMark/>
          </w:tcPr>
          <w:p w14:paraId="625AF45D" w14:textId="77777777" w:rsidR="00BE47F1" w:rsidRPr="00530266" w:rsidRDefault="00BE47F1" w:rsidP="00980CAA">
            <w:pPr>
              <w:rPr>
                <w:rFonts w:ascii="Times New Roman" w:hAnsi="Times New Roman" w:cs="Times New Roman"/>
                <w:sz w:val="24"/>
                <w:szCs w:val="24"/>
              </w:rPr>
            </w:pPr>
            <w:r w:rsidRPr="00530266">
              <w:rPr>
                <w:rFonts w:ascii="Times New Roman" w:hAnsi="Times New Roman" w:cs="Times New Roman"/>
                <w:sz w:val="24"/>
                <w:szCs w:val="24"/>
              </w:rPr>
              <w:t>5.</w:t>
            </w:r>
          </w:p>
        </w:tc>
        <w:tc>
          <w:tcPr>
            <w:tcW w:w="1550" w:type="pct"/>
            <w:hideMark/>
          </w:tcPr>
          <w:p w14:paraId="565D81B4" w14:textId="77777777" w:rsidR="00BE47F1" w:rsidRPr="00530266" w:rsidRDefault="00BE47F1" w:rsidP="00980CAA">
            <w:pPr>
              <w:rPr>
                <w:rFonts w:ascii="Times New Roman" w:hAnsi="Times New Roman" w:cs="Times New Roman"/>
                <w:sz w:val="24"/>
                <w:szCs w:val="24"/>
              </w:rPr>
            </w:pPr>
            <w:r w:rsidRPr="00530266">
              <w:rPr>
                <w:rFonts w:ascii="Times New Roman" w:hAnsi="Times New Roman" w:cs="Times New Roman"/>
                <w:sz w:val="24"/>
                <w:szCs w:val="24"/>
              </w:rPr>
              <w:t>Cita informācija</w:t>
            </w:r>
          </w:p>
        </w:tc>
        <w:tc>
          <w:tcPr>
            <w:tcW w:w="3200" w:type="pct"/>
            <w:hideMark/>
          </w:tcPr>
          <w:p w14:paraId="5C45C223" w14:textId="77777777" w:rsidR="00BE47F1" w:rsidRPr="00530266" w:rsidRDefault="00BE47F1" w:rsidP="00980CAA">
            <w:pPr>
              <w:rPr>
                <w:rFonts w:ascii="Times New Roman" w:hAnsi="Times New Roman" w:cs="Times New Roman"/>
                <w:sz w:val="24"/>
                <w:szCs w:val="24"/>
              </w:rPr>
            </w:pPr>
            <w:r w:rsidRPr="00530266">
              <w:rPr>
                <w:rFonts w:ascii="Times New Roman" w:hAnsi="Times New Roman" w:cs="Times New Roman"/>
                <w:sz w:val="24"/>
                <w:szCs w:val="24"/>
              </w:rPr>
              <w:t>Nav</w:t>
            </w:r>
          </w:p>
        </w:tc>
      </w:tr>
      <w:tr w:rsidR="007C29EE" w:rsidRPr="00530266" w14:paraId="075A6883" w14:textId="77777777" w:rsidTr="00980C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PrEx>
        <w:trPr>
          <w:cantSplit/>
        </w:trPr>
        <w:tc>
          <w:tcPr>
            <w:tcW w:w="250" w:type="pct"/>
          </w:tcPr>
          <w:p w14:paraId="3744DCEE" w14:textId="50856F22" w:rsidR="007C29EE" w:rsidRPr="00530266" w:rsidRDefault="007C29EE" w:rsidP="00980CAA">
            <w:pPr>
              <w:rPr>
                <w:rFonts w:ascii="Times New Roman" w:hAnsi="Times New Roman" w:cs="Times New Roman"/>
                <w:sz w:val="24"/>
                <w:szCs w:val="24"/>
              </w:rPr>
            </w:pPr>
          </w:p>
        </w:tc>
        <w:tc>
          <w:tcPr>
            <w:tcW w:w="1550" w:type="pct"/>
          </w:tcPr>
          <w:p w14:paraId="67DC5B9E" w14:textId="77777777" w:rsidR="007C29EE" w:rsidRPr="00530266" w:rsidRDefault="007C29EE" w:rsidP="00980CAA">
            <w:pPr>
              <w:rPr>
                <w:rFonts w:ascii="Times New Roman" w:hAnsi="Times New Roman" w:cs="Times New Roman"/>
                <w:sz w:val="24"/>
                <w:szCs w:val="24"/>
              </w:rPr>
            </w:pPr>
          </w:p>
        </w:tc>
        <w:tc>
          <w:tcPr>
            <w:tcW w:w="3200" w:type="pct"/>
          </w:tcPr>
          <w:p w14:paraId="0BB3AF58" w14:textId="77777777" w:rsidR="007C29EE" w:rsidRPr="00530266" w:rsidRDefault="007C29EE" w:rsidP="00980CAA">
            <w:pPr>
              <w:rPr>
                <w:rFonts w:ascii="Times New Roman" w:hAnsi="Times New Roman" w:cs="Times New Roman"/>
                <w:sz w:val="24"/>
                <w:szCs w:val="24"/>
              </w:rPr>
            </w:pPr>
          </w:p>
        </w:tc>
      </w:tr>
    </w:tbl>
    <w:p w14:paraId="52695611" w14:textId="2A055B99" w:rsidR="00BE47F1" w:rsidRPr="00530266" w:rsidRDefault="00BE47F1" w:rsidP="00BE47F1">
      <w:pPr>
        <w:jc w:val="both"/>
        <w:rPr>
          <w:rFonts w:ascii="Times New Roman" w:hAnsi="Times New Roman" w:cs="Times New Roman"/>
          <w:sz w:val="24"/>
          <w:szCs w:val="24"/>
        </w:rPr>
      </w:pPr>
    </w:p>
    <w:p w14:paraId="2A97B3CE" w14:textId="77777777" w:rsidR="007C29EE" w:rsidRPr="00530266" w:rsidRDefault="007C29EE" w:rsidP="00BE47F1">
      <w:pPr>
        <w:jc w:val="both"/>
        <w:rPr>
          <w:rFonts w:ascii="Times New Roman" w:hAnsi="Times New Roman" w:cs="Times New Roman"/>
          <w:sz w:val="24"/>
          <w:szCs w:val="24"/>
        </w:rPr>
      </w:pPr>
    </w:p>
    <w:tbl>
      <w:tblPr>
        <w:tblW w:w="5008" w:type="pct"/>
        <w:tblInd w:w="-8"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2"/>
        <w:gridCol w:w="1572"/>
        <w:gridCol w:w="984"/>
        <w:gridCol w:w="1028"/>
        <w:gridCol w:w="999"/>
        <w:gridCol w:w="1252"/>
        <w:gridCol w:w="954"/>
        <w:gridCol w:w="1299"/>
        <w:gridCol w:w="1600"/>
        <w:gridCol w:w="14"/>
      </w:tblGrid>
      <w:tr w:rsidR="00BE47F1" w:rsidRPr="00530266" w14:paraId="5C29FD0E" w14:textId="77777777" w:rsidTr="007C29EE">
        <w:trPr>
          <w:gridBefore w:val="1"/>
          <w:gridAfter w:val="1"/>
          <w:wBefore w:w="4" w:type="pct"/>
          <w:wAfter w:w="12" w:type="pct"/>
          <w:trHeight w:val="57"/>
        </w:trPr>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7A537"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b/>
                <w:bCs/>
                <w:color w:val="414142"/>
                <w:sz w:val="24"/>
                <w:szCs w:val="24"/>
                <w:lang w:eastAsia="lv-LV"/>
              </w:rPr>
            </w:pPr>
            <w:r w:rsidRPr="00530266">
              <w:rPr>
                <w:rFonts w:ascii="Times New Roman" w:eastAsia="Times New Roman" w:hAnsi="Times New Roman" w:cs="Times New Roman"/>
                <w:b/>
                <w:bCs/>
                <w:color w:val="414142"/>
                <w:sz w:val="24"/>
                <w:szCs w:val="24"/>
                <w:lang w:eastAsia="lv-LV"/>
              </w:rPr>
              <w:t>III. Tiesību akta projekta ietekme uz valsts budžetu un pašvaldību budžetiem</w:t>
            </w:r>
          </w:p>
        </w:tc>
      </w:tr>
      <w:tr w:rsidR="007C29EE" w:rsidRPr="00530266" w14:paraId="6A790197"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1DB1DCF"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Rādītāji</w:t>
            </w:r>
          </w:p>
        </w:tc>
        <w:tc>
          <w:tcPr>
            <w:tcW w:w="1117"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E137527" w14:textId="77777777" w:rsidR="007C29EE" w:rsidRPr="00530266" w:rsidRDefault="007C29EE" w:rsidP="00980CAA">
            <w:pPr>
              <w:spacing w:after="0" w:line="240" w:lineRule="auto"/>
              <w:jc w:val="center"/>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2020.gads</w:t>
            </w:r>
          </w:p>
        </w:tc>
        <w:tc>
          <w:tcPr>
            <w:tcW w:w="3355" w:type="pct"/>
            <w:gridSpan w:val="6"/>
            <w:tcBorders>
              <w:top w:val="outset" w:sz="6" w:space="0" w:color="auto"/>
              <w:left w:val="outset" w:sz="6" w:space="0" w:color="auto"/>
              <w:bottom w:val="outset" w:sz="6" w:space="0" w:color="auto"/>
              <w:right w:val="outset" w:sz="6" w:space="0" w:color="auto"/>
            </w:tcBorders>
            <w:vAlign w:val="center"/>
            <w:hideMark/>
          </w:tcPr>
          <w:p w14:paraId="1B8222AD" w14:textId="77777777" w:rsidR="007C29EE" w:rsidRPr="00530266" w:rsidRDefault="007C29EE" w:rsidP="00980CAA">
            <w:pPr>
              <w:spacing w:after="0" w:line="240" w:lineRule="auto"/>
              <w:jc w:val="center"/>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Turpmākie trīs gadi (</w:t>
            </w:r>
            <w:r w:rsidRPr="00530266">
              <w:rPr>
                <w:rFonts w:ascii="Times New Roman" w:eastAsia="Times New Roman" w:hAnsi="Times New Roman" w:cs="Times New Roman"/>
                <w:i/>
                <w:iCs/>
                <w:sz w:val="24"/>
                <w:szCs w:val="24"/>
                <w:lang w:eastAsia="lv-LV"/>
              </w:rPr>
              <w:t>euro</w:t>
            </w:r>
            <w:r w:rsidRPr="00530266">
              <w:rPr>
                <w:rFonts w:ascii="Times New Roman" w:eastAsia="Times New Roman" w:hAnsi="Times New Roman" w:cs="Times New Roman"/>
                <w:iCs/>
                <w:sz w:val="24"/>
                <w:szCs w:val="24"/>
                <w:lang w:eastAsia="lv-LV"/>
              </w:rPr>
              <w:t>)</w:t>
            </w:r>
          </w:p>
        </w:tc>
      </w:tr>
      <w:tr w:rsidR="007C29EE" w:rsidRPr="00530266" w14:paraId="1F49233A"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vMerge/>
            <w:tcBorders>
              <w:top w:val="outset" w:sz="6" w:space="0" w:color="auto"/>
              <w:left w:val="outset" w:sz="6" w:space="0" w:color="auto"/>
              <w:bottom w:val="outset" w:sz="6" w:space="0" w:color="auto"/>
              <w:right w:val="outset" w:sz="6" w:space="0" w:color="auto"/>
            </w:tcBorders>
            <w:vAlign w:val="center"/>
            <w:hideMark/>
          </w:tcPr>
          <w:p w14:paraId="3F3EE748"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1117" w:type="pct"/>
            <w:gridSpan w:val="2"/>
            <w:vMerge/>
            <w:tcBorders>
              <w:top w:val="outset" w:sz="6" w:space="0" w:color="auto"/>
              <w:left w:val="outset" w:sz="6" w:space="0" w:color="auto"/>
              <w:bottom w:val="outset" w:sz="6" w:space="0" w:color="auto"/>
              <w:right w:val="outset" w:sz="6" w:space="0" w:color="auto"/>
            </w:tcBorders>
            <w:vAlign w:val="center"/>
            <w:hideMark/>
          </w:tcPr>
          <w:p w14:paraId="6B3B7E6F"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1240" w:type="pct"/>
            <w:gridSpan w:val="2"/>
            <w:tcBorders>
              <w:top w:val="outset" w:sz="6" w:space="0" w:color="auto"/>
              <w:left w:val="outset" w:sz="6" w:space="0" w:color="auto"/>
              <w:bottom w:val="outset" w:sz="6" w:space="0" w:color="auto"/>
              <w:right w:val="outset" w:sz="6" w:space="0" w:color="auto"/>
            </w:tcBorders>
            <w:vAlign w:val="center"/>
            <w:hideMark/>
          </w:tcPr>
          <w:p w14:paraId="646E5AE3" w14:textId="77777777" w:rsidR="007C29EE" w:rsidRPr="00530266" w:rsidRDefault="007C29EE" w:rsidP="00980CAA">
            <w:pPr>
              <w:spacing w:after="0" w:line="240" w:lineRule="auto"/>
              <w:jc w:val="center"/>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2021</w:t>
            </w:r>
          </w:p>
        </w:tc>
        <w:tc>
          <w:tcPr>
            <w:tcW w:w="1240" w:type="pct"/>
            <w:gridSpan w:val="2"/>
            <w:tcBorders>
              <w:top w:val="outset" w:sz="6" w:space="0" w:color="auto"/>
              <w:left w:val="outset" w:sz="6" w:space="0" w:color="auto"/>
              <w:bottom w:val="outset" w:sz="6" w:space="0" w:color="auto"/>
              <w:right w:val="outset" w:sz="6" w:space="0" w:color="auto"/>
            </w:tcBorders>
            <w:vAlign w:val="center"/>
            <w:hideMark/>
          </w:tcPr>
          <w:p w14:paraId="78A1AC53" w14:textId="77777777" w:rsidR="007C29EE" w:rsidRPr="00530266" w:rsidRDefault="007C29EE" w:rsidP="00980CAA">
            <w:pPr>
              <w:spacing w:after="0" w:line="240" w:lineRule="auto"/>
              <w:jc w:val="center"/>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2022</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6D5CE1A3" w14:textId="77777777" w:rsidR="007C29EE" w:rsidRPr="00530266" w:rsidRDefault="007C29EE" w:rsidP="00980CAA">
            <w:pPr>
              <w:spacing w:after="0" w:line="240" w:lineRule="auto"/>
              <w:jc w:val="center"/>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2023</w:t>
            </w:r>
          </w:p>
        </w:tc>
      </w:tr>
      <w:tr w:rsidR="007C29EE" w:rsidRPr="00530266" w14:paraId="5E5D9EDC"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vMerge/>
            <w:tcBorders>
              <w:top w:val="outset" w:sz="6" w:space="0" w:color="auto"/>
              <w:left w:val="outset" w:sz="6" w:space="0" w:color="auto"/>
              <w:bottom w:val="outset" w:sz="6" w:space="0" w:color="auto"/>
              <w:right w:val="outset" w:sz="6" w:space="0" w:color="auto"/>
            </w:tcBorders>
            <w:vAlign w:val="center"/>
            <w:hideMark/>
          </w:tcPr>
          <w:p w14:paraId="53D92908"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547" w:type="pct"/>
            <w:tcBorders>
              <w:top w:val="outset" w:sz="6" w:space="0" w:color="auto"/>
              <w:left w:val="outset" w:sz="6" w:space="0" w:color="auto"/>
              <w:bottom w:val="outset" w:sz="6" w:space="0" w:color="auto"/>
              <w:right w:val="outset" w:sz="6" w:space="0" w:color="auto"/>
            </w:tcBorders>
            <w:vAlign w:val="center"/>
            <w:hideMark/>
          </w:tcPr>
          <w:p w14:paraId="4D08044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saskaņā ar valsts budžetu kārtējam gadam*</w:t>
            </w:r>
          </w:p>
        </w:tc>
        <w:tc>
          <w:tcPr>
            <w:tcW w:w="570" w:type="pct"/>
            <w:tcBorders>
              <w:top w:val="outset" w:sz="6" w:space="0" w:color="auto"/>
              <w:left w:val="outset" w:sz="6" w:space="0" w:color="auto"/>
              <w:bottom w:val="outset" w:sz="6" w:space="0" w:color="auto"/>
              <w:right w:val="outset" w:sz="6" w:space="0" w:color="auto"/>
            </w:tcBorders>
            <w:vAlign w:val="center"/>
            <w:hideMark/>
          </w:tcPr>
          <w:p w14:paraId="4797FE1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izmaiņas kārtējā gadā, salīdzinot ar valsts budžetu kārtējam gadam</w:t>
            </w:r>
          </w:p>
        </w:tc>
        <w:tc>
          <w:tcPr>
            <w:tcW w:w="555" w:type="pct"/>
            <w:tcBorders>
              <w:top w:val="outset" w:sz="6" w:space="0" w:color="auto"/>
              <w:left w:val="outset" w:sz="6" w:space="0" w:color="auto"/>
              <w:bottom w:val="outset" w:sz="6" w:space="0" w:color="auto"/>
              <w:right w:val="outset" w:sz="6" w:space="0" w:color="auto"/>
            </w:tcBorders>
            <w:vAlign w:val="center"/>
            <w:hideMark/>
          </w:tcPr>
          <w:p w14:paraId="2CFC89D5"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saskaņā ar vidēja termiņa budžeta ietvaru*</w:t>
            </w:r>
          </w:p>
        </w:tc>
        <w:tc>
          <w:tcPr>
            <w:tcW w:w="685" w:type="pct"/>
            <w:tcBorders>
              <w:top w:val="outset" w:sz="6" w:space="0" w:color="auto"/>
              <w:left w:val="outset" w:sz="6" w:space="0" w:color="auto"/>
              <w:bottom w:val="outset" w:sz="6" w:space="0" w:color="auto"/>
              <w:right w:val="outset" w:sz="6" w:space="0" w:color="auto"/>
            </w:tcBorders>
            <w:vAlign w:val="center"/>
            <w:hideMark/>
          </w:tcPr>
          <w:p w14:paraId="6F408E6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izmaiņas, salīdzinot ar vidēja termiņa budžeta ietvaru n+1 gadam</w:t>
            </w:r>
          </w:p>
        </w:tc>
        <w:tc>
          <w:tcPr>
            <w:tcW w:w="531" w:type="pct"/>
            <w:tcBorders>
              <w:top w:val="outset" w:sz="6" w:space="0" w:color="auto"/>
              <w:left w:val="outset" w:sz="6" w:space="0" w:color="auto"/>
              <w:bottom w:val="outset" w:sz="6" w:space="0" w:color="auto"/>
              <w:right w:val="outset" w:sz="6" w:space="0" w:color="auto"/>
            </w:tcBorders>
            <w:vAlign w:val="center"/>
            <w:hideMark/>
          </w:tcPr>
          <w:p w14:paraId="1AA450C7"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saskaņā ar vidēja termiņa budžeta ietvaru*</w:t>
            </w:r>
          </w:p>
        </w:tc>
        <w:tc>
          <w:tcPr>
            <w:tcW w:w="709" w:type="pct"/>
            <w:tcBorders>
              <w:top w:val="outset" w:sz="6" w:space="0" w:color="auto"/>
              <w:left w:val="outset" w:sz="6" w:space="0" w:color="auto"/>
              <w:bottom w:val="outset" w:sz="6" w:space="0" w:color="auto"/>
              <w:right w:val="outset" w:sz="6" w:space="0" w:color="auto"/>
            </w:tcBorders>
            <w:vAlign w:val="center"/>
            <w:hideMark/>
          </w:tcPr>
          <w:p w14:paraId="2CBB94DF"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izmaiņas, salīdzinot ar vidēja termiņa budžeta ietvaru n+2 gadam</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334AF9CB"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izmaiņas, salīdzinot ar vidēja termiņa budžeta ietvaru n+2 gadam</w:t>
            </w:r>
          </w:p>
        </w:tc>
      </w:tr>
      <w:tr w:rsidR="007C29EE" w:rsidRPr="00530266" w14:paraId="79DD1F96"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vAlign w:val="center"/>
            <w:hideMark/>
          </w:tcPr>
          <w:p w14:paraId="48A44E04"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1</w:t>
            </w:r>
          </w:p>
        </w:tc>
        <w:tc>
          <w:tcPr>
            <w:tcW w:w="547" w:type="pct"/>
            <w:tcBorders>
              <w:top w:val="outset" w:sz="6" w:space="0" w:color="auto"/>
              <w:left w:val="outset" w:sz="6" w:space="0" w:color="auto"/>
              <w:bottom w:val="outset" w:sz="6" w:space="0" w:color="auto"/>
              <w:right w:val="outset" w:sz="6" w:space="0" w:color="auto"/>
            </w:tcBorders>
            <w:vAlign w:val="center"/>
            <w:hideMark/>
          </w:tcPr>
          <w:p w14:paraId="6251BF1A"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w:t>
            </w:r>
          </w:p>
        </w:tc>
        <w:tc>
          <w:tcPr>
            <w:tcW w:w="570" w:type="pct"/>
            <w:tcBorders>
              <w:top w:val="outset" w:sz="6" w:space="0" w:color="auto"/>
              <w:left w:val="outset" w:sz="6" w:space="0" w:color="auto"/>
              <w:bottom w:val="outset" w:sz="6" w:space="0" w:color="auto"/>
              <w:right w:val="outset" w:sz="6" w:space="0" w:color="auto"/>
            </w:tcBorders>
            <w:vAlign w:val="center"/>
            <w:hideMark/>
          </w:tcPr>
          <w:p w14:paraId="751D258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3</w:t>
            </w:r>
          </w:p>
        </w:tc>
        <w:tc>
          <w:tcPr>
            <w:tcW w:w="555" w:type="pct"/>
            <w:tcBorders>
              <w:top w:val="outset" w:sz="6" w:space="0" w:color="auto"/>
              <w:left w:val="outset" w:sz="6" w:space="0" w:color="auto"/>
              <w:bottom w:val="outset" w:sz="6" w:space="0" w:color="auto"/>
              <w:right w:val="outset" w:sz="6" w:space="0" w:color="auto"/>
            </w:tcBorders>
            <w:vAlign w:val="center"/>
            <w:hideMark/>
          </w:tcPr>
          <w:p w14:paraId="7A34B6A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4</w:t>
            </w:r>
          </w:p>
        </w:tc>
        <w:tc>
          <w:tcPr>
            <w:tcW w:w="685" w:type="pct"/>
            <w:tcBorders>
              <w:top w:val="outset" w:sz="6" w:space="0" w:color="auto"/>
              <w:left w:val="outset" w:sz="6" w:space="0" w:color="auto"/>
              <w:bottom w:val="outset" w:sz="6" w:space="0" w:color="auto"/>
              <w:right w:val="outset" w:sz="6" w:space="0" w:color="auto"/>
            </w:tcBorders>
            <w:vAlign w:val="center"/>
            <w:hideMark/>
          </w:tcPr>
          <w:p w14:paraId="534F2690"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5</w:t>
            </w:r>
          </w:p>
        </w:tc>
        <w:tc>
          <w:tcPr>
            <w:tcW w:w="531" w:type="pct"/>
            <w:tcBorders>
              <w:top w:val="outset" w:sz="6" w:space="0" w:color="auto"/>
              <w:left w:val="outset" w:sz="6" w:space="0" w:color="auto"/>
              <w:bottom w:val="outset" w:sz="6" w:space="0" w:color="auto"/>
              <w:right w:val="outset" w:sz="6" w:space="0" w:color="auto"/>
            </w:tcBorders>
            <w:vAlign w:val="center"/>
            <w:hideMark/>
          </w:tcPr>
          <w:p w14:paraId="1E8747B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6</w:t>
            </w:r>
          </w:p>
        </w:tc>
        <w:tc>
          <w:tcPr>
            <w:tcW w:w="709" w:type="pct"/>
            <w:tcBorders>
              <w:top w:val="outset" w:sz="6" w:space="0" w:color="auto"/>
              <w:left w:val="outset" w:sz="6" w:space="0" w:color="auto"/>
              <w:bottom w:val="outset" w:sz="6" w:space="0" w:color="auto"/>
              <w:right w:val="outset" w:sz="6" w:space="0" w:color="auto"/>
            </w:tcBorders>
            <w:vAlign w:val="center"/>
            <w:hideMark/>
          </w:tcPr>
          <w:p w14:paraId="46D621EC"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7</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1FE045A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8</w:t>
            </w:r>
          </w:p>
        </w:tc>
      </w:tr>
      <w:tr w:rsidR="007C29EE" w:rsidRPr="00530266" w14:paraId="492BF6DC"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3311AA5D" w14:textId="77777777" w:rsidR="007C29EE" w:rsidRPr="00530266" w:rsidRDefault="007C29EE" w:rsidP="00980CAA">
            <w:pPr>
              <w:spacing w:after="0" w:line="240" w:lineRule="auto"/>
              <w:rPr>
                <w:rFonts w:ascii="Times New Roman" w:eastAsia="Times New Roman" w:hAnsi="Times New Roman" w:cs="Times New Roman"/>
                <w:b/>
                <w:iCs/>
                <w:sz w:val="24"/>
                <w:szCs w:val="24"/>
                <w:lang w:eastAsia="lv-LV"/>
              </w:rPr>
            </w:pPr>
            <w:r w:rsidRPr="00530266">
              <w:rPr>
                <w:rFonts w:ascii="Times New Roman" w:eastAsia="Times New Roman" w:hAnsi="Times New Roman" w:cs="Times New Roman"/>
                <w:b/>
                <w:iCs/>
                <w:sz w:val="24"/>
                <w:szCs w:val="24"/>
                <w:lang w:eastAsia="lv-LV"/>
              </w:rPr>
              <w:t>1. Budžeta ieņēmumi</w:t>
            </w:r>
          </w:p>
        </w:tc>
        <w:tc>
          <w:tcPr>
            <w:tcW w:w="547" w:type="pct"/>
            <w:tcBorders>
              <w:top w:val="outset" w:sz="6" w:space="0" w:color="auto"/>
              <w:left w:val="outset" w:sz="6" w:space="0" w:color="auto"/>
              <w:bottom w:val="outset" w:sz="6" w:space="0" w:color="auto"/>
              <w:right w:val="outset" w:sz="6" w:space="0" w:color="auto"/>
            </w:tcBorders>
            <w:vAlign w:val="center"/>
          </w:tcPr>
          <w:p w14:paraId="47C188C7" w14:textId="77777777" w:rsidR="007C29EE" w:rsidRPr="00530266" w:rsidRDefault="007C29EE" w:rsidP="00980CAA">
            <w:pPr>
              <w:spacing w:after="0" w:line="240" w:lineRule="auto"/>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167 530 684</w:t>
            </w:r>
          </w:p>
        </w:tc>
        <w:tc>
          <w:tcPr>
            <w:tcW w:w="570" w:type="pct"/>
            <w:tcBorders>
              <w:top w:val="outset" w:sz="6" w:space="0" w:color="auto"/>
              <w:left w:val="outset" w:sz="6" w:space="0" w:color="auto"/>
              <w:bottom w:val="outset" w:sz="6" w:space="0" w:color="auto"/>
              <w:right w:val="outset" w:sz="6" w:space="0" w:color="auto"/>
            </w:tcBorders>
            <w:vAlign w:val="center"/>
          </w:tcPr>
          <w:p w14:paraId="66A90FB6"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555" w:type="pct"/>
            <w:tcBorders>
              <w:top w:val="outset" w:sz="6" w:space="0" w:color="auto"/>
              <w:left w:val="outset" w:sz="6" w:space="0" w:color="auto"/>
              <w:bottom w:val="outset" w:sz="6" w:space="0" w:color="auto"/>
              <w:right w:val="outset" w:sz="6" w:space="0" w:color="auto"/>
            </w:tcBorders>
            <w:vAlign w:val="center"/>
          </w:tcPr>
          <w:p w14:paraId="7ECC95A6" w14:textId="77777777" w:rsidR="007C29EE" w:rsidRPr="00530266" w:rsidRDefault="007C29EE" w:rsidP="00980CAA">
            <w:pPr>
              <w:spacing w:after="0" w:line="240" w:lineRule="auto"/>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160 587 684</w:t>
            </w:r>
          </w:p>
        </w:tc>
        <w:tc>
          <w:tcPr>
            <w:tcW w:w="685" w:type="pct"/>
            <w:tcBorders>
              <w:top w:val="outset" w:sz="6" w:space="0" w:color="auto"/>
              <w:left w:val="outset" w:sz="6" w:space="0" w:color="auto"/>
              <w:bottom w:val="outset" w:sz="6" w:space="0" w:color="auto"/>
              <w:right w:val="outset" w:sz="6" w:space="0" w:color="auto"/>
            </w:tcBorders>
            <w:vAlign w:val="center"/>
          </w:tcPr>
          <w:p w14:paraId="09960E06"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531" w:type="pct"/>
            <w:tcBorders>
              <w:top w:val="outset" w:sz="6" w:space="0" w:color="auto"/>
              <w:left w:val="outset" w:sz="6" w:space="0" w:color="auto"/>
              <w:bottom w:val="outset" w:sz="6" w:space="0" w:color="auto"/>
              <w:right w:val="outset" w:sz="6" w:space="0" w:color="auto"/>
            </w:tcBorders>
            <w:vAlign w:val="center"/>
          </w:tcPr>
          <w:p w14:paraId="5CA4B473" w14:textId="77777777" w:rsidR="007C29EE" w:rsidRPr="00530266" w:rsidRDefault="007C29EE" w:rsidP="00980CAA">
            <w:pPr>
              <w:spacing w:after="0" w:line="240" w:lineRule="auto"/>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160 587 684</w:t>
            </w:r>
          </w:p>
        </w:tc>
        <w:tc>
          <w:tcPr>
            <w:tcW w:w="709" w:type="pct"/>
            <w:tcBorders>
              <w:top w:val="outset" w:sz="6" w:space="0" w:color="auto"/>
              <w:left w:val="outset" w:sz="6" w:space="0" w:color="auto"/>
              <w:bottom w:val="outset" w:sz="6" w:space="0" w:color="auto"/>
              <w:right w:val="outset" w:sz="6" w:space="0" w:color="auto"/>
            </w:tcBorders>
            <w:vAlign w:val="center"/>
          </w:tcPr>
          <w:p w14:paraId="35AB896D"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tcPr>
          <w:p w14:paraId="10C3F8C9"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r>
      <w:tr w:rsidR="007C29EE" w:rsidRPr="00530266" w14:paraId="522B0721"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36AA2678"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47" w:type="pct"/>
            <w:tcBorders>
              <w:top w:val="outset" w:sz="6" w:space="0" w:color="auto"/>
              <w:left w:val="outset" w:sz="6" w:space="0" w:color="auto"/>
              <w:bottom w:val="outset" w:sz="6" w:space="0" w:color="auto"/>
              <w:right w:val="outset" w:sz="6" w:space="0" w:color="auto"/>
            </w:tcBorders>
            <w:vAlign w:val="center"/>
            <w:hideMark/>
          </w:tcPr>
          <w:p w14:paraId="3892AD8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70" w:type="pct"/>
            <w:tcBorders>
              <w:top w:val="outset" w:sz="6" w:space="0" w:color="auto"/>
              <w:left w:val="outset" w:sz="6" w:space="0" w:color="auto"/>
              <w:bottom w:val="outset" w:sz="6" w:space="0" w:color="auto"/>
              <w:right w:val="outset" w:sz="6" w:space="0" w:color="auto"/>
            </w:tcBorders>
            <w:vAlign w:val="center"/>
            <w:hideMark/>
          </w:tcPr>
          <w:p w14:paraId="6E18B98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55" w:type="pct"/>
            <w:tcBorders>
              <w:top w:val="outset" w:sz="6" w:space="0" w:color="auto"/>
              <w:left w:val="outset" w:sz="6" w:space="0" w:color="auto"/>
              <w:bottom w:val="outset" w:sz="6" w:space="0" w:color="auto"/>
              <w:right w:val="outset" w:sz="6" w:space="0" w:color="auto"/>
            </w:tcBorders>
            <w:vAlign w:val="center"/>
          </w:tcPr>
          <w:p w14:paraId="4592A944"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26747025"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31" w:type="pct"/>
            <w:tcBorders>
              <w:top w:val="outset" w:sz="6" w:space="0" w:color="auto"/>
              <w:left w:val="outset" w:sz="6" w:space="0" w:color="auto"/>
              <w:bottom w:val="outset" w:sz="6" w:space="0" w:color="auto"/>
              <w:right w:val="outset" w:sz="6" w:space="0" w:color="auto"/>
            </w:tcBorders>
            <w:vAlign w:val="center"/>
          </w:tcPr>
          <w:p w14:paraId="5BFEF822"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709" w:type="pct"/>
            <w:tcBorders>
              <w:top w:val="outset" w:sz="6" w:space="0" w:color="auto"/>
              <w:left w:val="outset" w:sz="6" w:space="0" w:color="auto"/>
              <w:bottom w:val="outset" w:sz="6" w:space="0" w:color="auto"/>
              <w:right w:val="outset" w:sz="6" w:space="0" w:color="auto"/>
            </w:tcBorders>
            <w:vAlign w:val="center"/>
            <w:hideMark/>
          </w:tcPr>
          <w:p w14:paraId="5F820F22"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1B8B82F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r>
      <w:tr w:rsidR="007C29EE" w:rsidRPr="00530266" w14:paraId="6096565F"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tcPr>
          <w:p w14:paraId="57BD63F0"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33.03.00</w:t>
            </w:r>
          </w:p>
        </w:tc>
        <w:tc>
          <w:tcPr>
            <w:tcW w:w="547" w:type="pct"/>
            <w:tcBorders>
              <w:top w:val="outset" w:sz="6" w:space="0" w:color="auto"/>
              <w:left w:val="outset" w:sz="6" w:space="0" w:color="auto"/>
              <w:bottom w:val="outset" w:sz="6" w:space="0" w:color="auto"/>
              <w:right w:val="outset" w:sz="6" w:space="0" w:color="auto"/>
            </w:tcBorders>
            <w:vAlign w:val="center"/>
          </w:tcPr>
          <w:p w14:paraId="17AFDE0F"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167 530 684</w:t>
            </w:r>
          </w:p>
        </w:tc>
        <w:tc>
          <w:tcPr>
            <w:tcW w:w="570" w:type="pct"/>
            <w:tcBorders>
              <w:top w:val="outset" w:sz="6" w:space="0" w:color="auto"/>
              <w:left w:val="outset" w:sz="6" w:space="0" w:color="auto"/>
              <w:bottom w:val="outset" w:sz="6" w:space="0" w:color="auto"/>
              <w:right w:val="outset" w:sz="6" w:space="0" w:color="auto"/>
            </w:tcBorders>
            <w:vAlign w:val="center"/>
          </w:tcPr>
          <w:p w14:paraId="50E6A031"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55" w:type="pct"/>
            <w:tcBorders>
              <w:top w:val="outset" w:sz="6" w:space="0" w:color="auto"/>
              <w:left w:val="outset" w:sz="6" w:space="0" w:color="auto"/>
              <w:bottom w:val="outset" w:sz="6" w:space="0" w:color="auto"/>
              <w:right w:val="outset" w:sz="6" w:space="0" w:color="auto"/>
            </w:tcBorders>
            <w:vAlign w:val="center"/>
          </w:tcPr>
          <w:p w14:paraId="3A9C613A"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160 587 684</w:t>
            </w:r>
          </w:p>
        </w:tc>
        <w:tc>
          <w:tcPr>
            <w:tcW w:w="685" w:type="pct"/>
            <w:tcBorders>
              <w:top w:val="outset" w:sz="6" w:space="0" w:color="auto"/>
              <w:left w:val="outset" w:sz="6" w:space="0" w:color="auto"/>
              <w:bottom w:val="outset" w:sz="6" w:space="0" w:color="auto"/>
              <w:right w:val="outset" w:sz="6" w:space="0" w:color="auto"/>
            </w:tcBorders>
            <w:vAlign w:val="center"/>
          </w:tcPr>
          <w:p w14:paraId="1C4AB75A"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31" w:type="pct"/>
            <w:tcBorders>
              <w:top w:val="outset" w:sz="6" w:space="0" w:color="auto"/>
              <w:left w:val="outset" w:sz="6" w:space="0" w:color="auto"/>
              <w:bottom w:val="outset" w:sz="6" w:space="0" w:color="auto"/>
              <w:right w:val="outset" w:sz="6" w:space="0" w:color="auto"/>
            </w:tcBorders>
            <w:vAlign w:val="center"/>
          </w:tcPr>
          <w:p w14:paraId="7968C3E5"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160 587 684</w:t>
            </w:r>
          </w:p>
        </w:tc>
        <w:tc>
          <w:tcPr>
            <w:tcW w:w="709" w:type="pct"/>
            <w:tcBorders>
              <w:top w:val="outset" w:sz="6" w:space="0" w:color="auto"/>
              <w:left w:val="outset" w:sz="6" w:space="0" w:color="auto"/>
              <w:bottom w:val="outset" w:sz="6" w:space="0" w:color="auto"/>
              <w:right w:val="outset" w:sz="6" w:space="0" w:color="auto"/>
            </w:tcBorders>
            <w:vAlign w:val="center"/>
          </w:tcPr>
          <w:p w14:paraId="43301DFB"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tcPr>
          <w:p w14:paraId="27FAEE57"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r>
      <w:tr w:rsidR="007C29EE" w:rsidRPr="00530266" w14:paraId="688D7765"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027C6164"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1.2. valsts speciālais budžets</w:t>
            </w:r>
          </w:p>
        </w:tc>
        <w:tc>
          <w:tcPr>
            <w:tcW w:w="547" w:type="pct"/>
            <w:tcBorders>
              <w:top w:val="outset" w:sz="6" w:space="0" w:color="auto"/>
              <w:left w:val="outset" w:sz="6" w:space="0" w:color="auto"/>
              <w:bottom w:val="outset" w:sz="6" w:space="0" w:color="auto"/>
              <w:right w:val="outset" w:sz="6" w:space="0" w:color="auto"/>
            </w:tcBorders>
            <w:vAlign w:val="center"/>
            <w:hideMark/>
          </w:tcPr>
          <w:p w14:paraId="78B0FBDC"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70" w:type="pct"/>
            <w:tcBorders>
              <w:top w:val="outset" w:sz="6" w:space="0" w:color="auto"/>
              <w:left w:val="outset" w:sz="6" w:space="0" w:color="auto"/>
              <w:bottom w:val="outset" w:sz="6" w:space="0" w:color="auto"/>
              <w:right w:val="outset" w:sz="6" w:space="0" w:color="auto"/>
            </w:tcBorders>
            <w:vAlign w:val="center"/>
            <w:hideMark/>
          </w:tcPr>
          <w:p w14:paraId="38BB3284"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55" w:type="pct"/>
            <w:tcBorders>
              <w:top w:val="outset" w:sz="6" w:space="0" w:color="auto"/>
              <w:left w:val="outset" w:sz="6" w:space="0" w:color="auto"/>
              <w:bottom w:val="outset" w:sz="6" w:space="0" w:color="auto"/>
              <w:right w:val="outset" w:sz="6" w:space="0" w:color="auto"/>
            </w:tcBorders>
            <w:vAlign w:val="center"/>
          </w:tcPr>
          <w:p w14:paraId="008DCBA6"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5ACA3CA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31" w:type="pct"/>
            <w:tcBorders>
              <w:top w:val="outset" w:sz="6" w:space="0" w:color="auto"/>
              <w:left w:val="outset" w:sz="6" w:space="0" w:color="auto"/>
              <w:bottom w:val="outset" w:sz="6" w:space="0" w:color="auto"/>
              <w:right w:val="outset" w:sz="6" w:space="0" w:color="auto"/>
            </w:tcBorders>
            <w:vAlign w:val="center"/>
          </w:tcPr>
          <w:p w14:paraId="1B869A7C"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709" w:type="pct"/>
            <w:tcBorders>
              <w:top w:val="outset" w:sz="6" w:space="0" w:color="auto"/>
              <w:left w:val="outset" w:sz="6" w:space="0" w:color="auto"/>
              <w:bottom w:val="outset" w:sz="6" w:space="0" w:color="auto"/>
              <w:right w:val="outset" w:sz="6" w:space="0" w:color="auto"/>
            </w:tcBorders>
            <w:vAlign w:val="center"/>
            <w:hideMark/>
          </w:tcPr>
          <w:p w14:paraId="15E139A0"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7C6C79E6"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r>
      <w:tr w:rsidR="007C29EE" w:rsidRPr="00530266" w14:paraId="6844339D"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162A4DD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1.3. pašvaldību budžets</w:t>
            </w:r>
          </w:p>
        </w:tc>
        <w:tc>
          <w:tcPr>
            <w:tcW w:w="547" w:type="pct"/>
            <w:tcBorders>
              <w:top w:val="outset" w:sz="6" w:space="0" w:color="auto"/>
              <w:left w:val="outset" w:sz="6" w:space="0" w:color="auto"/>
              <w:bottom w:val="outset" w:sz="6" w:space="0" w:color="auto"/>
              <w:right w:val="outset" w:sz="6" w:space="0" w:color="auto"/>
            </w:tcBorders>
            <w:vAlign w:val="center"/>
            <w:hideMark/>
          </w:tcPr>
          <w:p w14:paraId="6FF9C78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70" w:type="pct"/>
            <w:tcBorders>
              <w:top w:val="outset" w:sz="6" w:space="0" w:color="auto"/>
              <w:left w:val="outset" w:sz="6" w:space="0" w:color="auto"/>
              <w:bottom w:val="outset" w:sz="6" w:space="0" w:color="auto"/>
              <w:right w:val="outset" w:sz="6" w:space="0" w:color="auto"/>
            </w:tcBorders>
            <w:vAlign w:val="center"/>
            <w:hideMark/>
          </w:tcPr>
          <w:p w14:paraId="5C68D212"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55" w:type="pct"/>
            <w:tcBorders>
              <w:top w:val="outset" w:sz="6" w:space="0" w:color="auto"/>
              <w:left w:val="outset" w:sz="6" w:space="0" w:color="auto"/>
              <w:bottom w:val="outset" w:sz="6" w:space="0" w:color="auto"/>
              <w:right w:val="outset" w:sz="6" w:space="0" w:color="auto"/>
            </w:tcBorders>
            <w:vAlign w:val="center"/>
          </w:tcPr>
          <w:p w14:paraId="3C4FEDC2"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6160F08F"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31" w:type="pct"/>
            <w:tcBorders>
              <w:top w:val="outset" w:sz="6" w:space="0" w:color="auto"/>
              <w:left w:val="outset" w:sz="6" w:space="0" w:color="auto"/>
              <w:bottom w:val="outset" w:sz="6" w:space="0" w:color="auto"/>
              <w:right w:val="outset" w:sz="6" w:space="0" w:color="auto"/>
            </w:tcBorders>
            <w:vAlign w:val="center"/>
          </w:tcPr>
          <w:p w14:paraId="5EF989EB"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709" w:type="pct"/>
            <w:tcBorders>
              <w:top w:val="outset" w:sz="6" w:space="0" w:color="auto"/>
              <w:left w:val="outset" w:sz="6" w:space="0" w:color="auto"/>
              <w:bottom w:val="outset" w:sz="6" w:space="0" w:color="auto"/>
              <w:right w:val="outset" w:sz="6" w:space="0" w:color="auto"/>
            </w:tcBorders>
            <w:vAlign w:val="center"/>
            <w:hideMark/>
          </w:tcPr>
          <w:p w14:paraId="262CF2C2"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2569D605"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r>
      <w:tr w:rsidR="007C29EE" w:rsidRPr="00530266" w14:paraId="35C5B109"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1B7CF7E9" w14:textId="77777777" w:rsidR="007C29EE" w:rsidRPr="00530266" w:rsidRDefault="007C29EE" w:rsidP="00980CAA">
            <w:pPr>
              <w:spacing w:after="0" w:line="240" w:lineRule="auto"/>
              <w:rPr>
                <w:rFonts w:ascii="Times New Roman" w:eastAsia="Times New Roman" w:hAnsi="Times New Roman" w:cs="Times New Roman"/>
                <w:b/>
                <w:iCs/>
                <w:sz w:val="24"/>
                <w:szCs w:val="24"/>
                <w:lang w:eastAsia="lv-LV"/>
              </w:rPr>
            </w:pPr>
            <w:r w:rsidRPr="00530266">
              <w:rPr>
                <w:rFonts w:ascii="Times New Roman" w:eastAsia="Times New Roman" w:hAnsi="Times New Roman" w:cs="Times New Roman"/>
                <w:b/>
                <w:iCs/>
                <w:sz w:val="24"/>
                <w:szCs w:val="24"/>
                <w:lang w:eastAsia="lv-LV"/>
              </w:rPr>
              <w:t>2. Budžeta izdevumi</w:t>
            </w:r>
          </w:p>
        </w:tc>
        <w:tc>
          <w:tcPr>
            <w:tcW w:w="547" w:type="pct"/>
            <w:tcBorders>
              <w:top w:val="outset" w:sz="6" w:space="0" w:color="auto"/>
              <w:left w:val="outset" w:sz="6" w:space="0" w:color="auto"/>
              <w:bottom w:val="outset" w:sz="6" w:space="0" w:color="auto"/>
              <w:right w:val="outset" w:sz="6" w:space="0" w:color="auto"/>
            </w:tcBorders>
            <w:vAlign w:val="center"/>
            <w:hideMark/>
          </w:tcPr>
          <w:p w14:paraId="243F7260" w14:textId="77777777" w:rsidR="007C29EE" w:rsidRPr="00530266" w:rsidRDefault="007C29EE" w:rsidP="00980CAA">
            <w:pPr>
              <w:spacing w:after="0" w:line="240" w:lineRule="auto"/>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167 530 684</w:t>
            </w:r>
          </w:p>
        </w:tc>
        <w:tc>
          <w:tcPr>
            <w:tcW w:w="570" w:type="pct"/>
            <w:tcBorders>
              <w:top w:val="outset" w:sz="6" w:space="0" w:color="auto"/>
              <w:left w:val="outset" w:sz="6" w:space="0" w:color="auto"/>
              <w:bottom w:val="outset" w:sz="6" w:space="0" w:color="auto"/>
              <w:right w:val="outset" w:sz="6" w:space="0" w:color="auto"/>
            </w:tcBorders>
            <w:vAlign w:val="center"/>
          </w:tcPr>
          <w:p w14:paraId="3113805A"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555" w:type="pct"/>
            <w:tcBorders>
              <w:top w:val="outset" w:sz="6" w:space="0" w:color="auto"/>
              <w:left w:val="outset" w:sz="6" w:space="0" w:color="auto"/>
              <w:bottom w:val="outset" w:sz="6" w:space="0" w:color="auto"/>
              <w:right w:val="outset" w:sz="6" w:space="0" w:color="auto"/>
            </w:tcBorders>
            <w:vAlign w:val="center"/>
          </w:tcPr>
          <w:p w14:paraId="542FCE5E" w14:textId="77777777" w:rsidR="007C29EE" w:rsidRPr="00530266" w:rsidRDefault="007C29EE" w:rsidP="00980CAA">
            <w:pPr>
              <w:spacing w:after="0" w:line="240" w:lineRule="auto"/>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160 587 684</w:t>
            </w:r>
          </w:p>
        </w:tc>
        <w:tc>
          <w:tcPr>
            <w:tcW w:w="685" w:type="pct"/>
            <w:tcBorders>
              <w:top w:val="outset" w:sz="6" w:space="0" w:color="auto"/>
              <w:left w:val="outset" w:sz="6" w:space="0" w:color="auto"/>
              <w:bottom w:val="outset" w:sz="6" w:space="0" w:color="auto"/>
              <w:right w:val="outset" w:sz="6" w:space="0" w:color="auto"/>
            </w:tcBorders>
            <w:vAlign w:val="center"/>
          </w:tcPr>
          <w:p w14:paraId="490CC58A"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531" w:type="pct"/>
            <w:tcBorders>
              <w:top w:val="outset" w:sz="6" w:space="0" w:color="auto"/>
              <w:left w:val="outset" w:sz="6" w:space="0" w:color="auto"/>
              <w:bottom w:val="outset" w:sz="6" w:space="0" w:color="auto"/>
              <w:right w:val="outset" w:sz="6" w:space="0" w:color="auto"/>
            </w:tcBorders>
            <w:vAlign w:val="center"/>
          </w:tcPr>
          <w:p w14:paraId="0A030D5D" w14:textId="77777777" w:rsidR="007C29EE" w:rsidRPr="00530266" w:rsidRDefault="007C29EE" w:rsidP="00980CAA">
            <w:pPr>
              <w:spacing w:after="0" w:line="240" w:lineRule="auto"/>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160 587 684</w:t>
            </w:r>
          </w:p>
        </w:tc>
        <w:tc>
          <w:tcPr>
            <w:tcW w:w="709" w:type="pct"/>
            <w:tcBorders>
              <w:top w:val="outset" w:sz="6" w:space="0" w:color="auto"/>
              <w:left w:val="outset" w:sz="6" w:space="0" w:color="auto"/>
              <w:bottom w:val="outset" w:sz="6" w:space="0" w:color="auto"/>
              <w:right w:val="outset" w:sz="6" w:space="0" w:color="auto"/>
            </w:tcBorders>
            <w:vAlign w:val="center"/>
          </w:tcPr>
          <w:p w14:paraId="32244E2D"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35D7E053"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r>
      <w:tr w:rsidR="007C29EE" w:rsidRPr="00530266" w14:paraId="4CC7DA6A"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7C257AC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2.1. valsts pamatbudžets</w:t>
            </w:r>
          </w:p>
        </w:tc>
        <w:tc>
          <w:tcPr>
            <w:tcW w:w="547" w:type="pct"/>
            <w:tcBorders>
              <w:top w:val="outset" w:sz="6" w:space="0" w:color="auto"/>
              <w:left w:val="outset" w:sz="6" w:space="0" w:color="auto"/>
              <w:bottom w:val="outset" w:sz="6" w:space="0" w:color="auto"/>
              <w:right w:val="outset" w:sz="6" w:space="0" w:color="auto"/>
            </w:tcBorders>
            <w:vAlign w:val="center"/>
            <w:hideMark/>
          </w:tcPr>
          <w:p w14:paraId="44E46D07"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70" w:type="pct"/>
            <w:tcBorders>
              <w:top w:val="outset" w:sz="6" w:space="0" w:color="auto"/>
              <w:left w:val="outset" w:sz="6" w:space="0" w:color="auto"/>
              <w:bottom w:val="outset" w:sz="6" w:space="0" w:color="auto"/>
              <w:right w:val="outset" w:sz="6" w:space="0" w:color="auto"/>
            </w:tcBorders>
            <w:vAlign w:val="center"/>
          </w:tcPr>
          <w:p w14:paraId="0A3770B3"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tcPr>
          <w:p w14:paraId="0BEB3DA0"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685" w:type="pct"/>
            <w:tcBorders>
              <w:top w:val="outset" w:sz="6" w:space="0" w:color="auto"/>
              <w:left w:val="outset" w:sz="6" w:space="0" w:color="auto"/>
              <w:bottom w:val="outset" w:sz="6" w:space="0" w:color="auto"/>
              <w:right w:val="outset" w:sz="6" w:space="0" w:color="auto"/>
            </w:tcBorders>
            <w:vAlign w:val="center"/>
          </w:tcPr>
          <w:p w14:paraId="5AA7D83F"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531" w:type="pct"/>
            <w:tcBorders>
              <w:top w:val="outset" w:sz="6" w:space="0" w:color="auto"/>
              <w:left w:val="outset" w:sz="6" w:space="0" w:color="auto"/>
              <w:bottom w:val="outset" w:sz="6" w:space="0" w:color="auto"/>
              <w:right w:val="outset" w:sz="6" w:space="0" w:color="auto"/>
            </w:tcBorders>
            <w:vAlign w:val="center"/>
          </w:tcPr>
          <w:p w14:paraId="741FE0C5"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709" w:type="pct"/>
            <w:tcBorders>
              <w:top w:val="outset" w:sz="6" w:space="0" w:color="auto"/>
              <w:left w:val="outset" w:sz="6" w:space="0" w:color="auto"/>
              <w:bottom w:val="outset" w:sz="6" w:space="0" w:color="auto"/>
              <w:right w:val="outset" w:sz="6" w:space="0" w:color="auto"/>
            </w:tcBorders>
            <w:vAlign w:val="center"/>
          </w:tcPr>
          <w:p w14:paraId="05FED763"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1C99A125"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r>
      <w:tr w:rsidR="007C29EE" w:rsidRPr="00530266" w14:paraId="1C03B3EB"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tcPr>
          <w:p w14:paraId="2A12E36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33.03.00</w:t>
            </w:r>
          </w:p>
        </w:tc>
        <w:tc>
          <w:tcPr>
            <w:tcW w:w="547" w:type="pct"/>
            <w:tcBorders>
              <w:top w:val="outset" w:sz="6" w:space="0" w:color="auto"/>
              <w:left w:val="outset" w:sz="6" w:space="0" w:color="auto"/>
              <w:bottom w:val="outset" w:sz="6" w:space="0" w:color="auto"/>
              <w:right w:val="outset" w:sz="6" w:space="0" w:color="auto"/>
            </w:tcBorders>
            <w:vAlign w:val="center"/>
          </w:tcPr>
          <w:p w14:paraId="31AAF0E3"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167 530 684</w:t>
            </w:r>
          </w:p>
        </w:tc>
        <w:tc>
          <w:tcPr>
            <w:tcW w:w="570" w:type="pct"/>
            <w:tcBorders>
              <w:top w:val="outset" w:sz="6" w:space="0" w:color="auto"/>
              <w:left w:val="outset" w:sz="6" w:space="0" w:color="auto"/>
              <w:bottom w:val="outset" w:sz="6" w:space="0" w:color="auto"/>
              <w:right w:val="outset" w:sz="6" w:space="0" w:color="auto"/>
            </w:tcBorders>
            <w:vAlign w:val="center"/>
          </w:tcPr>
          <w:p w14:paraId="05E801B8"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55" w:type="pct"/>
            <w:tcBorders>
              <w:top w:val="outset" w:sz="6" w:space="0" w:color="auto"/>
              <w:left w:val="outset" w:sz="6" w:space="0" w:color="auto"/>
              <w:bottom w:val="outset" w:sz="6" w:space="0" w:color="auto"/>
              <w:right w:val="outset" w:sz="6" w:space="0" w:color="auto"/>
            </w:tcBorders>
            <w:vAlign w:val="center"/>
          </w:tcPr>
          <w:p w14:paraId="3096ADBC"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160 587 684</w:t>
            </w:r>
          </w:p>
        </w:tc>
        <w:tc>
          <w:tcPr>
            <w:tcW w:w="685" w:type="pct"/>
            <w:tcBorders>
              <w:top w:val="outset" w:sz="6" w:space="0" w:color="auto"/>
              <w:left w:val="outset" w:sz="6" w:space="0" w:color="auto"/>
              <w:bottom w:val="outset" w:sz="6" w:space="0" w:color="auto"/>
              <w:right w:val="outset" w:sz="6" w:space="0" w:color="auto"/>
            </w:tcBorders>
            <w:vAlign w:val="center"/>
          </w:tcPr>
          <w:p w14:paraId="1F93E07D"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31" w:type="pct"/>
            <w:tcBorders>
              <w:top w:val="outset" w:sz="6" w:space="0" w:color="auto"/>
              <w:left w:val="outset" w:sz="6" w:space="0" w:color="auto"/>
              <w:bottom w:val="outset" w:sz="6" w:space="0" w:color="auto"/>
              <w:right w:val="outset" w:sz="6" w:space="0" w:color="auto"/>
            </w:tcBorders>
            <w:vAlign w:val="center"/>
          </w:tcPr>
          <w:p w14:paraId="0717D110"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160 587 684</w:t>
            </w:r>
          </w:p>
        </w:tc>
        <w:tc>
          <w:tcPr>
            <w:tcW w:w="709" w:type="pct"/>
            <w:tcBorders>
              <w:top w:val="outset" w:sz="6" w:space="0" w:color="auto"/>
              <w:left w:val="outset" w:sz="6" w:space="0" w:color="auto"/>
              <w:bottom w:val="outset" w:sz="6" w:space="0" w:color="auto"/>
              <w:right w:val="outset" w:sz="6" w:space="0" w:color="auto"/>
            </w:tcBorders>
            <w:vAlign w:val="center"/>
          </w:tcPr>
          <w:p w14:paraId="37BC0863"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tcPr>
          <w:p w14:paraId="439A92EF"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r>
      <w:tr w:rsidR="007C29EE" w:rsidRPr="00530266" w14:paraId="45703EBF"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5519F0B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2.2. valsts speciālais budžets</w:t>
            </w:r>
          </w:p>
        </w:tc>
        <w:tc>
          <w:tcPr>
            <w:tcW w:w="547" w:type="pct"/>
            <w:tcBorders>
              <w:top w:val="outset" w:sz="6" w:space="0" w:color="auto"/>
              <w:left w:val="outset" w:sz="6" w:space="0" w:color="auto"/>
              <w:bottom w:val="outset" w:sz="6" w:space="0" w:color="auto"/>
              <w:right w:val="outset" w:sz="6" w:space="0" w:color="auto"/>
            </w:tcBorders>
            <w:vAlign w:val="center"/>
            <w:hideMark/>
          </w:tcPr>
          <w:p w14:paraId="5F34C57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70" w:type="pct"/>
            <w:tcBorders>
              <w:top w:val="outset" w:sz="6" w:space="0" w:color="auto"/>
              <w:left w:val="outset" w:sz="6" w:space="0" w:color="auto"/>
              <w:bottom w:val="outset" w:sz="6" w:space="0" w:color="auto"/>
              <w:right w:val="outset" w:sz="6" w:space="0" w:color="auto"/>
            </w:tcBorders>
            <w:vAlign w:val="center"/>
          </w:tcPr>
          <w:p w14:paraId="068770E6"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tcPr>
          <w:p w14:paraId="1502C9C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685" w:type="pct"/>
            <w:tcBorders>
              <w:top w:val="outset" w:sz="6" w:space="0" w:color="auto"/>
              <w:left w:val="outset" w:sz="6" w:space="0" w:color="auto"/>
              <w:bottom w:val="outset" w:sz="6" w:space="0" w:color="auto"/>
              <w:right w:val="outset" w:sz="6" w:space="0" w:color="auto"/>
            </w:tcBorders>
            <w:vAlign w:val="center"/>
          </w:tcPr>
          <w:p w14:paraId="27047153"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531" w:type="pct"/>
            <w:tcBorders>
              <w:top w:val="outset" w:sz="6" w:space="0" w:color="auto"/>
              <w:left w:val="outset" w:sz="6" w:space="0" w:color="auto"/>
              <w:bottom w:val="outset" w:sz="6" w:space="0" w:color="auto"/>
              <w:right w:val="outset" w:sz="6" w:space="0" w:color="auto"/>
            </w:tcBorders>
            <w:vAlign w:val="center"/>
          </w:tcPr>
          <w:p w14:paraId="707C4B4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709" w:type="pct"/>
            <w:tcBorders>
              <w:top w:val="outset" w:sz="6" w:space="0" w:color="auto"/>
              <w:left w:val="outset" w:sz="6" w:space="0" w:color="auto"/>
              <w:bottom w:val="outset" w:sz="6" w:space="0" w:color="auto"/>
              <w:right w:val="outset" w:sz="6" w:space="0" w:color="auto"/>
            </w:tcBorders>
            <w:vAlign w:val="center"/>
          </w:tcPr>
          <w:p w14:paraId="6B61B41E"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1E47D983"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r>
      <w:tr w:rsidR="007C29EE" w:rsidRPr="00530266" w14:paraId="7AB17A8B"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7E23FC26"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2.3. pašvaldību budžets</w:t>
            </w:r>
          </w:p>
        </w:tc>
        <w:tc>
          <w:tcPr>
            <w:tcW w:w="547" w:type="pct"/>
            <w:tcBorders>
              <w:top w:val="outset" w:sz="6" w:space="0" w:color="auto"/>
              <w:left w:val="outset" w:sz="6" w:space="0" w:color="auto"/>
              <w:bottom w:val="outset" w:sz="6" w:space="0" w:color="auto"/>
              <w:right w:val="outset" w:sz="6" w:space="0" w:color="auto"/>
            </w:tcBorders>
            <w:vAlign w:val="center"/>
            <w:hideMark/>
          </w:tcPr>
          <w:p w14:paraId="458D4B0B"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70" w:type="pct"/>
            <w:tcBorders>
              <w:top w:val="outset" w:sz="6" w:space="0" w:color="auto"/>
              <w:left w:val="outset" w:sz="6" w:space="0" w:color="auto"/>
              <w:bottom w:val="outset" w:sz="6" w:space="0" w:color="auto"/>
              <w:right w:val="outset" w:sz="6" w:space="0" w:color="auto"/>
            </w:tcBorders>
            <w:vAlign w:val="center"/>
          </w:tcPr>
          <w:p w14:paraId="5884CDF8"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555" w:type="pct"/>
            <w:tcBorders>
              <w:top w:val="outset" w:sz="6" w:space="0" w:color="auto"/>
              <w:left w:val="outset" w:sz="6" w:space="0" w:color="auto"/>
              <w:bottom w:val="outset" w:sz="6" w:space="0" w:color="auto"/>
              <w:right w:val="outset" w:sz="6" w:space="0" w:color="auto"/>
            </w:tcBorders>
            <w:vAlign w:val="center"/>
          </w:tcPr>
          <w:p w14:paraId="79DE8F4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685" w:type="pct"/>
            <w:tcBorders>
              <w:top w:val="outset" w:sz="6" w:space="0" w:color="auto"/>
              <w:left w:val="outset" w:sz="6" w:space="0" w:color="auto"/>
              <w:bottom w:val="outset" w:sz="6" w:space="0" w:color="auto"/>
              <w:right w:val="outset" w:sz="6" w:space="0" w:color="auto"/>
            </w:tcBorders>
            <w:vAlign w:val="center"/>
          </w:tcPr>
          <w:p w14:paraId="6A2BEECF"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531" w:type="pct"/>
            <w:tcBorders>
              <w:top w:val="outset" w:sz="6" w:space="0" w:color="auto"/>
              <w:left w:val="outset" w:sz="6" w:space="0" w:color="auto"/>
              <w:bottom w:val="outset" w:sz="6" w:space="0" w:color="auto"/>
              <w:right w:val="outset" w:sz="6" w:space="0" w:color="auto"/>
            </w:tcBorders>
            <w:vAlign w:val="center"/>
          </w:tcPr>
          <w:p w14:paraId="32756ED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709" w:type="pct"/>
            <w:tcBorders>
              <w:top w:val="outset" w:sz="6" w:space="0" w:color="auto"/>
              <w:left w:val="outset" w:sz="6" w:space="0" w:color="auto"/>
              <w:bottom w:val="outset" w:sz="6" w:space="0" w:color="auto"/>
              <w:right w:val="outset" w:sz="6" w:space="0" w:color="auto"/>
            </w:tcBorders>
            <w:vAlign w:val="center"/>
          </w:tcPr>
          <w:p w14:paraId="5E2905D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66D0FE1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r>
      <w:tr w:rsidR="007C29EE" w:rsidRPr="00530266" w14:paraId="2BF5C9C8"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05B728C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lastRenderedPageBreak/>
              <w:t>3. Finansiālā ietekme</w:t>
            </w:r>
          </w:p>
        </w:tc>
        <w:tc>
          <w:tcPr>
            <w:tcW w:w="547" w:type="pct"/>
            <w:tcBorders>
              <w:top w:val="outset" w:sz="6" w:space="0" w:color="auto"/>
              <w:left w:val="outset" w:sz="6" w:space="0" w:color="auto"/>
              <w:bottom w:val="outset" w:sz="6" w:space="0" w:color="auto"/>
              <w:right w:val="outset" w:sz="6" w:space="0" w:color="auto"/>
            </w:tcBorders>
            <w:vAlign w:val="center"/>
            <w:hideMark/>
          </w:tcPr>
          <w:p w14:paraId="5EA4EF27"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78778B39"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tcPr>
          <w:p w14:paraId="1D2504AB"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685" w:type="pct"/>
            <w:tcBorders>
              <w:top w:val="outset" w:sz="6" w:space="0" w:color="auto"/>
              <w:left w:val="outset" w:sz="6" w:space="0" w:color="auto"/>
              <w:bottom w:val="outset" w:sz="6" w:space="0" w:color="auto"/>
              <w:right w:val="outset" w:sz="6" w:space="0" w:color="auto"/>
            </w:tcBorders>
            <w:vAlign w:val="center"/>
          </w:tcPr>
          <w:p w14:paraId="3030CA72"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5AD34557"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p>
        </w:tc>
        <w:tc>
          <w:tcPr>
            <w:tcW w:w="709" w:type="pct"/>
            <w:tcBorders>
              <w:top w:val="outset" w:sz="6" w:space="0" w:color="auto"/>
              <w:left w:val="outset" w:sz="6" w:space="0" w:color="auto"/>
              <w:bottom w:val="outset" w:sz="6" w:space="0" w:color="auto"/>
              <w:right w:val="outset" w:sz="6" w:space="0" w:color="auto"/>
            </w:tcBorders>
            <w:vAlign w:val="center"/>
          </w:tcPr>
          <w:p w14:paraId="7617F0D8"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0</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0F7F914C" w14:textId="77777777" w:rsidR="007C29EE" w:rsidRPr="00530266" w:rsidRDefault="007C29EE" w:rsidP="00980CAA">
            <w:pPr>
              <w:spacing w:after="0" w:line="240" w:lineRule="auto"/>
              <w:jc w:val="center"/>
              <w:rPr>
                <w:rFonts w:ascii="Times New Roman" w:eastAsia="Times New Roman" w:hAnsi="Times New Roman" w:cs="Times New Roman"/>
                <w:b/>
                <w:iCs/>
                <w:sz w:val="18"/>
                <w:szCs w:val="18"/>
                <w:lang w:eastAsia="lv-LV"/>
              </w:rPr>
            </w:pPr>
            <w:r w:rsidRPr="00530266">
              <w:rPr>
                <w:rFonts w:ascii="Times New Roman" w:eastAsia="Times New Roman" w:hAnsi="Times New Roman" w:cs="Times New Roman"/>
                <w:b/>
                <w:iCs/>
                <w:sz w:val="18"/>
                <w:szCs w:val="18"/>
                <w:lang w:eastAsia="lv-LV"/>
              </w:rPr>
              <w:t>0</w:t>
            </w:r>
          </w:p>
        </w:tc>
      </w:tr>
      <w:tr w:rsidR="007C29EE" w:rsidRPr="00530266" w14:paraId="20D777F5"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0F4AC7D7"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3.1. valsts pamatbudžets</w:t>
            </w:r>
          </w:p>
        </w:tc>
        <w:tc>
          <w:tcPr>
            <w:tcW w:w="547" w:type="pct"/>
            <w:tcBorders>
              <w:top w:val="outset" w:sz="6" w:space="0" w:color="auto"/>
              <w:left w:val="outset" w:sz="6" w:space="0" w:color="auto"/>
              <w:bottom w:val="outset" w:sz="6" w:space="0" w:color="auto"/>
              <w:right w:val="outset" w:sz="6" w:space="0" w:color="auto"/>
            </w:tcBorders>
            <w:vAlign w:val="center"/>
          </w:tcPr>
          <w:p w14:paraId="42E12FD6"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53F50F70"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0</w:t>
            </w:r>
          </w:p>
        </w:tc>
        <w:tc>
          <w:tcPr>
            <w:tcW w:w="555" w:type="pct"/>
            <w:tcBorders>
              <w:top w:val="outset" w:sz="6" w:space="0" w:color="auto"/>
              <w:left w:val="outset" w:sz="6" w:space="0" w:color="auto"/>
              <w:bottom w:val="outset" w:sz="6" w:space="0" w:color="auto"/>
              <w:right w:val="outset" w:sz="6" w:space="0" w:color="auto"/>
            </w:tcBorders>
            <w:vAlign w:val="center"/>
          </w:tcPr>
          <w:p w14:paraId="7B5E2EB3"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685" w:type="pct"/>
            <w:tcBorders>
              <w:top w:val="outset" w:sz="6" w:space="0" w:color="auto"/>
              <w:left w:val="outset" w:sz="6" w:space="0" w:color="auto"/>
              <w:bottom w:val="outset" w:sz="6" w:space="0" w:color="auto"/>
              <w:right w:val="outset" w:sz="6" w:space="0" w:color="auto"/>
            </w:tcBorders>
            <w:vAlign w:val="center"/>
          </w:tcPr>
          <w:p w14:paraId="67328242"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0</w:t>
            </w:r>
          </w:p>
        </w:tc>
        <w:tc>
          <w:tcPr>
            <w:tcW w:w="531" w:type="pct"/>
            <w:tcBorders>
              <w:top w:val="outset" w:sz="6" w:space="0" w:color="auto"/>
              <w:left w:val="outset" w:sz="6" w:space="0" w:color="auto"/>
              <w:bottom w:val="outset" w:sz="6" w:space="0" w:color="auto"/>
              <w:right w:val="outset" w:sz="6" w:space="0" w:color="auto"/>
            </w:tcBorders>
            <w:vAlign w:val="center"/>
          </w:tcPr>
          <w:p w14:paraId="17BC1A49"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709" w:type="pct"/>
            <w:tcBorders>
              <w:top w:val="outset" w:sz="6" w:space="0" w:color="auto"/>
              <w:left w:val="outset" w:sz="6" w:space="0" w:color="auto"/>
              <w:bottom w:val="outset" w:sz="6" w:space="0" w:color="auto"/>
              <w:right w:val="outset" w:sz="6" w:space="0" w:color="auto"/>
            </w:tcBorders>
            <w:vAlign w:val="center"/>
          </w:tcPr>
          <w:p w14:paraId="2649231C"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0</w:t>
            </w:r>
          </w:p>
        </w:tc>
        <w:tc>
          <w:tcPr>
            <w:tcW w:w="875" w:type="pct"/>
            <w:gridSpan w:val="2"/>
            <w:tcBorders>
              <w:top w:val="outset" w:sz="6" w:space="0" w:color="auto"/>
              <w:left w:val="outset" w:sz="6" w:space="0" w:color="auto"/>
              <w:bottom w:val="outset" w:sz="6" w:space="0" w:color="auto"/>
              <w:right w:val="outset" w:sz="6" w:space="0" w:color="auto"/>
            </w:tcBorders>
            <w:vAlign w:val="center"/>
          </w:tcPr>
          <w:p w14:paraId="5ED4B2AD"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0</w:t>
            </w:r>
          </w:p>
        </w:tc>
      </w:tr>
      <w:tr w:rsidR="007C29EE" w:rsidRPr="00530266" w14:paraId="0C7797A3"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0521B512"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3.2. speciālais budžets</w:t>
            </w:r>
          </w:p>
        </w:tc>
        <w:tc>
          <w:tcPr>
            <w:tcW w:w="547" w:type="pct"/>
            <w:tcBorders>
              <w:top w:val="outset" w:sz="6" w:space="0" w:color="auto"/>
              <w:left w:val="outset" w:sz="6" w:space="0" w:color="auto"/>
              <w:bottom w:val="outset" w:sz="6" w:space="0" w:color="auto"/>
              <w:right w:val="outset" w:sz="6" w:space="0" w:color="auto"/>
            </w:tcBorders>
            <w:vAlign w:val="center"/>
            <w:hideMark/>
          </w:tcPr>
          <w:p w14:paraId="792C1674"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70" w:type="pct"/>
            <w:tcBorders>
              <w:top w:val="outset" w:sz="6" w:space="0" w:color="auto"/>
              <w:left w:val="outset" w:sz="6" w:space="0" w:color="auto"/>
              <w:bottom w:val="outset" w:sz="6" w:space="0" w:color="auto"/>
              <w:right w:val="outset" w:sz="6" w:space="0" w:color="auto"/>
            </w:tcBorders>
            <w:vAlign w:val="center"/>
            <w:hideMark/>
          </w:tcPr>
          <w:p w14:paraId="2B6652B5"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0F7FB942"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31F2C1BD"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31" w:type="pct"/>
            <w:tcBorders>
              <w:top w:val="outset" w:sz="6" w:space="0" w:color="auto"/>
              <w:left w:val="outset" w:sz="6" w:space="0" w:color="auto"/>
              <w:bottom w:val="outset" w:sz="6" w:space="0" w:color="auto"/>
              <w:right w:val="outset" w:sz="6" w:space="0" w:color="auto"/>
            </w:tcBorders>
            <w:vAlign w:val="center"/>
            <w:hideMark/>
          </w:tcPr>
          <w:p w14:paraId="48FF424E"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709" w:type="pct"/>
            <w:tcBorders>
              <w:top w:val="outset" w:sz="6" w:space="0" w:color="auto"/>
              <w:left w:val="outset" w:sz="6" w:space="0" w:color="auto"/>
              <w:bottom w:val="outset" w:sz="6" w:space="0" w:color="auto"/>
              <w:right w:val="outset" w:sz="6" w:space="0" w:color="auto"/>
            </w:tcBorders>
            <w:vAlign w:val="center"/>
            <w:hideMark/>
          </w:tcPr>
          <w:p w14:paraId="039F9197"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1BA10CDF"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r>
      <w:tr w:rsidR="007C29EE" w:rsidRPr="00530266" w14:paraId="284C10A6"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63010CC6"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3.3. pašvaldību budžets</w:t>
            </w:r>
          </w:p>
        </w:tc>
        <w:tc>
          <w:tcPr>
            <w:tcW w:w="547" w:type="pct"/>
            <w:tcBorders>
              <w:top w:val="outset" w:sz="6" w:space="0" w:color="auto"/>
              <w:left w:val="outset" w:sz="6" w:space="0" w:color="auto"/>
              <w:bottom w:val="outset" w:sz="6" w:space="0" w:color="auto"/>
              <w:right w:val="outset" w:sz="6" w:space="0" w:color="auto"/>
            </w:tcBorders>
            <w:vAlign w:val="center"/>
            <w:hideMark/>
          </w:tcPr>
          <w:p w14:paraId="3A53E97D"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70" w:type="pct"/>
            <w:tcBorders>
              <w:top w:val="outset" w:sz="6" w:space="0" w:color="auto"/>
              <w:left w:val="outset" w:sz="6" w:space="0" w:color="auto"/>
              <w:bottom w:val="outset" w:sz="6" w:space="0" w:color="auto"/>
              <w:right w:val="outset" w:sz="6" w:space="0" w:color="auto"/>
            </w:tcBorders>
            <w:vAlign w:val="center"/>
            <w:hideMark/>
          </w:tcPr>
          <w:p w14:paraId="403126EB"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38AEDC4A"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685" w:type="pct"/>
            <w:tcBorders>
              <w:top w:val="outset" w:sz="6" w:space="0" w:color="auto"/>
              <w:left w:val="outset" w:sz="6" w:space="0" w:color="auto"/>
              <w:bottom w:val="outset" w:sz="6" w:space="0" w:color="auto"/>
              <w:right w:val="outset" w:sz="6" w:space="0" w:color="auto"/>
            </w:tcBorders>
            <w:vAlign w:val="center"/>
            <w:hideMark/>
          </w:tcPr>
          <w:p w14:paraId="2745D156"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531" w:type="pct"/>
            <w:tcBorders>
              <w:top w:val="outset" w:sz="6" w:space="0" w:color="auto"/>
              <w:left w:val="outset" w:sz="6" w:space="0" w:color="auto"/>
              <w:bottom w:val="outset" w:sz="6" w:space="0" w:color="auto"/>
              <w:right w:val="outset" w:sz="6" w:space="0" w:color="auto"/>
            </w:tcBorders>
            <w:vAlign w:val="center"/>
            <w:hideMark/>
          </w:tcPr>
          <w:p w14:paraId="3C7C8A8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709" w:type="pct"/>
            <w:tcBorders>
              <w:top w:val="outset" w:sz="6" w:space="0" w:color="auto"/>
              <w:left w:val="outset" w:sz="6" w:space="0" w:color="auto"/>
              <w:bottom w:val="outset" w:sz="6" w:space="0" w:color="auto"/>
              <w:right w:val="outset" w:sz="6" w:space="0" w:color="auto"/>
            </w:tcBorders>
            <w:vAlign w:val="center"/>
            <w:hideMark/>
          </w:tcPr>
          <w:p w14:paraId="10DB8FC0"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52267464"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 </w:t>
            </w:r>
          </w:p>
        </w:tc>
      </w:tr>
      <w:tr w:rsidR="007C29EE" w:rsidRPr="00530266" w14:paraId="706DA24B"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09276E80"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47" w:type="pct"/>
            <w:tcBorders>
              <w:top w:val="outset" w:sz="6" w:space="0" w:color="auto"/>
              <w:left w:val="outset" w:sz="6" w:space="0" w:color="auto"/>
              <w:bottom w:val="outset" w:sz="6" w:space="0" w:color="auto"/>
              <w:right w:val="outset" w:sz="6" w:space="0" w:color="auto"/>
            </w:tcBorders>
            <w:vAlign w:val="center"/>
          </w:tcPr>
          <w:p w14:paraId="48C6CED6"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0DF9B346"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55" w:type="pct"/>
            <w:tcBorders>
              <w:top w:val="outset" w:sz="6" w:space="0" w:color="auto"/>
              <w:left w:val="outset" w:sz="6" w:space="0" w:color="auto"/>
              <w:bottom w:val="outset" w:sz="6" w:space="0" w:color="auto"/>
              <w:right w:val="outset" w:sz="6" w:space="0" w:color="auto"/>
            </w:tcBorders>
            <w:vAlign w:val="center"/>
          </w:tcPr>
          <w:p w14:paraId="3F5F3B81"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685" w:type="pct"/>
            <w:tcBorders>
              <w:top w:val="outset" w:sz="6" w:space="0" w:color="auto"/>
              <w:left w:val="outset" w:sz="6" w:space="0" w:color="auto"/>
              <w:bottom w:val="outset" w:sz="6" w:space="0" w:color="auto"/>
              <w:right w:val="outset" w:sz="6" w:space="0" w:color="auto"/>
            </w:tcBorders>
            <w:vAlign w:val="center"/>
          </w:tcPr>
          <w:p w14:paraId="437A8ABF"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31" w:type="pct"/>
            <w:tcBorders>
              <w:top w:val="outset" w:sz="6" w:space="0" w:color="auto"/>
              <w:left w:val="outset" w:sz="6" w:space="0" w:color="auto"/>
              <w:bottom w:val="outset" w:sz="6" w:space="0" w:color="auto"/>
              <w:right w:val="outset" w:sz="6" w:space="0" w:color="auto"/>
            </w:tcBorders>
            <w:vAlign w:val="center"/>
          </w:tcPr>
          <w:p w14:paraId="4F2994C8"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709" w:type="pct"/>
            <w:tcBorders>
              <w:top w:val="outset" w:sz="6" w:space="0" w:color="auto"/>
              <w:left w:val="outset" w:sz="6" w:space="0" w:color="auto"/>
              <w:bottom w:val="outset" w:sz="6" w:space="0" w:color="auto"/>
              <w:right w:val="outset" w:sz="6" w:space="0" w:color="auto"/>
            </w:tcBorders>
            <w:vAlign w:val="center"/>
          </w:tcPr>
          <w:p w14:paraId="093D9CDE"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tcPr>
          <w:p w14:paraId="1BB7ACD2"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r>
      <w:tr w:rsidR="007C29EE" w:rsidRPr="00530266" w14:paraId="0EDE7C4B"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38F8055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5. Precizēta finansiālā ietekme</w:t>
            </w:r>
          </w:p>
        </w:tc>
        <w:tc>
          <w:tcPr>
            <w:tcW w:w="547" w:type="pct"/>
            <w:vMerge w:val="restart"/>
            <w:tcBorders>
              <w:top w:val="outset" w:sz="6" w:space="0" w:color="auto"/>
              <w:left w:val="outset" w:sz="6" w:space="0" w:color="auto"/>
              <w:bottom w:val="outset" w:sz="6" w:space="0" w:color="auto"/>
              <w:right w:val="outset" w:sz="6" w:space="0" w:color="auto"/>
            </w:tcBorders>
            <w:vAlign w:val="center"/>
            <w:hideMark/>
          </w:tcPr>
          <w:p w14:paraId="1DF0C7D3"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p w14:paraId="392EA37F"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p w14:paraId="4D4321AB"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p w14:paraId="236F717E"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p w14:paraId="0561B67C"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p w14:paraId="10A26002"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4049DF9A"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55" w:type="pct"/>
            <w:vMerge w:val="restart"/>
            <w:tcBorders>
              <w:top w:val="outset" w:sz="6" w:space="0" w:color="auto"/>
              <w:left w:val="outset" w:sz="6" w:space="0" w:color="auto"/>
              <w:bottom w:val="outset" w:sz="6" w:space="0" w:color="auto"/>
              <w:right w:val="outset" w:sz="6" w:space="0" w:color="auto"/>
            </w:tcBorders>
            <w:vAlign w:val="center"/>
          </w:tcPr>
          <w:p w14:paraId="6D13FD98"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685" w:type="pct"/>
            <w:tcBorders>
              <w:top w:val="outset" w:sz="6" w:space="0" w:color="auto"/>
              <w:left w:val="outset" w:sz="6" w:space="0" w:color="auto"/>
              <w:bottom w:val="outset" w:sz="6" w:space="0" w:color="auto"/>
              <w:right w:val="outset" w:sz="6" w:space="0" w:color="auto"/>
            </w:tcBorders>
            <w:vAlign w:val="center"/>
          </w:tcPr>
          <w:p w14:paraId="32F4AA94"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531" w:type="pct"/>
            <w:vMerge w:val="restart"/>
            <w:tcBorders>
              <w:top w:val="outset" w:sz="6" w:space="0" w:color="auto"/>
              <w:left w:val="outset" w:sz="6" w:space="0" w:color="auto"/>
              <w:bottom w:val="outset" w:sz="6" w:space="0" w:color="auto"/>
              <w:right w:val="outset" w:sz="6" w:space="0" w:color="auto"/>
            </w:tcBorders>
            <w:vAlign w:val="center"/>
          </w:tcPr>
          <w:p w14:paraId="6F40BB11"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709" w:type="pct"/>
            <w:tcBorders>
              <w:top w:val="outset" w:sz="6" w:space="0" w:color="auto"/>
              <w:left w:val="outset" w:sz="6" w:space="0" w:color="auto"/>
              <w:bottom w:val="outset" w:sz="6" w:space="0" w:color="auto"/>
              <w:right w:val="outset" w:sz="6" w:space="0" w:color="auto"/>
            </w:tcBorders>
            <w:vAlign w:val="center"/>
          </w:tcPr>
          <w:p w14:paraId="21556A12"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tcPr>
          <w:p w14:paraId="64D307C8" w14:textId="77777777" w:rsidR="007C29EE" w:rsidRPr="00530266" w:rsidRDefault="007C29EE" w:rsidP="00980CAA">
            <w:pPr>
              <w:spacing w:after="0" w:line="240" w:lineRule="auto"/>
              <w:jc w:val="center"/>
              <w:rPr>
                <w:rFonts w:ascii="Times New Roman" w:eastAsia="Times New Roman" w:hAnsi="Times New Roman" w:cs="Times New Roman"/>
                <w:iCs/>
                <w:sz w:val="18"/>
                <w:szCs w:val="18"/>
                <w:lang w:eastAsia="lv-LV"/>
              </w:rPr>
            </w:pPr>
          </w:p>
        </w:tc>
      </w:tr>
      <w:tr w:rsidR="007C29EE" w:rsidRPr="00530266" w14:paraId="2B7857E1"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08530DA9"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5.1. valsts pamatbudžets</w:t>
            </w:r>
          </w:p>
        </w:tc>
        <w:tc>
          <w:tcPr>
            <w:tcW w:w="547" w:type="pct"/>
            <w:vMerge/>
            <w:tcBorders>
              <w:top w:val="outset" w:sz="6" w:space="0" w:color="auto"/>
              <w:left w:val="outset" w:sz="6" w:space="0" w:color="auto"/>
              <w:bottom w:val="outset" w:sz="6" w:space="0" w:color="auto"/>
              <w:right w:val="outset" w:sz="6" w:space="0" w:color="auto"/>
            </w:tcBorders>
            <w:vAlign w:val="center"/>
            <w:hideMark/>
          </w:tcPr>
          <w:p w14:paraId="753FB9A6"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570" w:type="pct"/>
            <w:tcBorders>
              <w:top w:val="outset" w:sz="6" w:space="0" w:color="auto"/>
              <w:left w:val="outset" w:sz="6" w:space="0" w:color="auto"/>
              <w:bottom w:val="outset" w:sz="6" w:space="0" w:color="auto"/>
              <w:right w:val="outset" w:sz="6" w:space="0" w:color="auto"/>
            </w:tcBorders>
            <w:vAlign w:val="center"/>
          </w:tcPr>
          <w:p w14:paraId="28C20A6B"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555" w:type="pct"/>
            <w:vMerge/>
            <w:tcBorders>
              <w:top w:val="outset" w:sz="6" w:space="0" w:color="auto"/>
              <w:left w:val="outset" w:sz="6" w:space="0" w:color="auto"/>
              <w:bottom w:val="outset" w:sz="6" w:space="0" w:color="auto"/>
              <w:right w:val="outset" w:sz="6" w:space="0" w:color="auto"/>
            </w:tcBorders>
            <w:vAlign w:val="center"/>
          </w:tcPr>
          <w:p w14:paraId="3716811D"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685" w:type="pct"/>
            <w:tcBorders>
              <w:top w:val="outset" w:sz="6" w:space="0" w:color="auto"/>
              <w:left w:val="outset" w:sz="6" w:space="0" w:color="auto"/>
              <w:bottom w:val="outset" w:sz="6" w:space="0" w:color="auto"/>
              <w:right w:val="outset" w:sz="6" w:space="0" w:color="auto"/>
            </w:tcBorders>
            <w:vAlign w:val="center"/>
          </w:tcPr>
          <w:p w14:paraId="756411FE"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531" w:type="pct"/>
            <w:vMerge/>
            <w:tcBorders>
              <w:top w:val="outset" w:sz="6" w:space="0" w:color="auto"/>
              <w:left w:val="outset" w:sz="6" w:space="0" w:color="auto"/>
              <w:bottom w:val="outset" w:sz="6" w:space="0" w:color="auto"/>
              <w:right w:val="outset" w:sz="6" w:space="0" w:color="auto"/>
            </w:tcBorders>
            <w:vAlign w:val="center"/>
          </w:tcPr>
          <w:p w14:paraId="1B134306"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709" w:type="pct"/>
            <w:tcBorders>
              <w:top w:val="outset" w:sz="6" w:space="0" w:color="auto"/>
              <w:left w:val="outset" w:sz="6" w:space="0" w:color="auto"/>
              <w:bottom w:val="outset" w:sz="6" w:space="0" w:color="auto"/>
              <w:right w:val="outset" w:sz="6" w:space="0" w:color="auto"/>
            </w:tcBorders>
            <w:vAlign w:val="center"/>
          </w:tcPr>
          <w:p w14:paraId="4CFEF97F"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875" w:type="pct"/>
            <w:gridSpan w:val="2"/>
            <w:tcBorders>
              <w:top w:val="outset" w:sz="6" w:space="0" w:color="auto"/>
              <w:left w:val="outset" w:sz="6" w:space="0" w:color="auto"/>
              <w:bottom w:val="outset" w:sz="6" w:space="0" w:color="auto"/>
              <w:right w:val="outset" w:sz="6" w:space="0" w:color="auto"/>
            </w:tcBorders>
            <w:vAlign w:val="center"/>
          </w:tcPr>
          <w:p w14:paraId="6CB65F71"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r>
      <w:tr w:rsidR="007C29EE" w:rsidRPr="00530266" w14:paraId="4BC584D0"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42D026E2"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5.2. speciālais budžets</w:t>
            </w:r>
          </w:p>
        </w:tc>
        <w:tc>
          <w:tcPr>
            <w:tcW w:w="547" w:type="pct"/>
            <w:vMerge/>
            <w:tcBorders>
              <w:top w:val="outset" w:sz="6" w:space="0" w:color="auto"/>
              <w:left w:val="outset" w:sz="6" w:space="0" w:color="auto"/>
              <w:bottom w:val="outset" w:sz="6" w:space="0" w:color="auto"/>
              <w:right w:val="outset" w:sz="6" w:space="0" w:color="auto"/>
            </w:tcBorders>
            <w:vAlign w:val="center"/>
            <w:hideMark/>
          </w:tcPr>
          <w:p w14:paraId="46708544"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570" w:type="pct"/>
            <w:tcBorders>
              <w:top w:val="outset" w:sz="6" w:space="0" w:color="auto"/>
              <w:left w:val="outset" w:sz="6" w:space="0" w:color="auto"/>
              <w:bottom w:val="outset" w:sz="6" w:space="0" w:color="auto"/>
              <w:right w:val="outset" w:sz="6" w:space="0" w:color="auto"/>
            </w:tcBorders>
            <w:vAlign w:val="center"/>
            <w:hideMark/>
          </w:tcPr>
          <w:p w14:paraId="65B56162"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 </w:t>
            </w:r>
          </w:p>
        </w:tc>
        <w:tc>
          <w:tcPr>
            <w:tcW w:w="555" w:type="pct"/>
            <w:vMerge/>
            <w:tcBorders>
              <w:top w:val="outset" w:sz="6" w:space="0" w:color="auto"/>
              <w:left w:val="outset" w:sz="6" w:space="0" w:color="auto"/>
              <w:bottom w:val="outset" w:sz="6" w:space="0" w:color="auto"/>
              <w:right w:val="outset" w:sz="6" w:space="0" w:color="auto"/>
            </w:tcBorders>
            <w:vAlign w:val="center"/>
            <w:hideMark/>
          </w:tcPr>
          <w:p w14:paraId="7A65EB14"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32F84F7C"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 </w:t>
            </w:r>
          </w:p>
        </w:tc>
        <w:tc>
          <w:tcPr>
            <w:tcW w:w="531" w:type="pct"/>
            <w:vMerge/>
            <w:tcBorders>
              <w:top w:val="outset" w:sz="6" w:space="0" w:color="auto"/>
              <w:left w:val="outset" w:sz="6" w:space="0" w:color="auto"/>
              <w:bottom w:val="outset" w:sz="6" w:space="0" w:color="auto"/>
              <w:right w:val="outset" w:sz="6" w:space="0" w:color="auto"/>
            </w:tcBorders>
            <w:vAlign w:val="center"/>
            <w:hideMark/>
          </w:tcPr>
          <w:p w14:paraId="7B0E0D34"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709" w:type="pct"/>
            <w:tcBorders>
              <w:top w:val="outset" w:sz="6" w:space="0" w:color="auto"/>
              <w:left w:val="outset" w:sz="6" w:space="0" w:color="auto"/>
              <w:bottom w:val="outset" w:sz="6" w:space="0" w:color="auto"/>
              <w:right w:val="outset" w:sz="6" w:space="0" w:color="auto"/>
            </w:tcBorders>
            <w:vAlign w:val="center"/>
            <w:hideMark/>
          </w:tcPr>
          <w:p w14:paraId="651D76D4"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 </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3664956F"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 </w:t>
            </w:r>
          </w:p>
        </w:tc>
      </w:tr>
      <w:tr w:rsidR="007C29EE" w:rsidRPr="00530266" w14:paraId="77334B8B"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7384EFF5"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5.3. pašvaldību budžets</w:t>
            </w:r>
          </w:p>
        </w:tc>
        <w:tc>
          <w:tcPr>
            <w:tcW w:w="547" w:type="pct"/>
            <w:vMerge/>
            <w:tcBorders>
              <w:top w:val="outset" w:sz="6" w:space="0" w:color="auto"/>
              <w:left w:val="outset" w:sz="6" w:space="0" w:color="auto"/>
              <w:bottom w:val="outset" w:sz="6" w:space="0" w:color="auto"/>
              <w:right w:val="outset" w:sz="6" w:space="0" w:color="auto"/>
            </w:tcBorders>
            <w:vAlign w:val="center"/>
            <w:hideMark/>
          </w:tcPr>
          <w:p w14:paraId="4DF68662"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570" w:type="pct"/>
            <w:tcBorders>
              <w:top w:val="outset" w:sz="6" w:space="0" w:color="auto"/>
              <w:left w:val="outset" w:sz="6" w:space="0" w:color="auto"/>
              <w:bottom w:val="outset" w:sz="6" w:space="0" w:color="auto"/>
              <w:right w:val="outset" w:sz="6" w:space="0" w:color="auto"/>
            </w:tcBorders>
            <w:vAlign w:val="center"/>
            <w:hideMark/>
          </w:tcPr>
          <w:p w14:paraId="058E4B86"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 </w:t>
            </w:r>
          </w:p>
        </w:tc>
        <w:tc>
          <w:tcPr>
            <w:tcW w:w="555" w:type="pct"/>
            <w:vMerge/>
            <w:tcBorders>
              <w:top w:val="outset" w:sz="6" w:space="0" w:color="auto"/>
              <w:left w:val="outset" w:sz="6" w:space="0" w:color="auto"/>
              <w:bottom w:val="outset" w:sz="6" w:space="0" w:color="auto"/>
              <w:right w:val="outset" w:sz="6" w:space="0" w:color="auto"/>
            </w:tcBorders>
            <w:vAlign w:val="center"/>
            <w:hideMark/>
          </w:tcPr>
          <w:p w14:paraId="3EF41910"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685" w:type="pct"/>
            <w:tcBorders>
              <w:top w:val="outset" w:sz="6" w:space="0" w:color="auto"/>
              <w:left w:val="outset" w:sz="6" w:space="0" w:color="auto"/>
              <w:bottom w:val="outset" w:sz="6" w:space="0" w:color="auto"/>
              <w:right w:val="outset" w:sz="6" w:space="0" w:color="auto"/>
            </w:tcBorders>
            <w:vAlign w:val="center"/>
            <w:hideMark/>
          </w:tcPr>
          <w:p w14:paraId="35725C4C"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 </w:t>
            </w:r>
          </w:p>
        </w:tc>
        <w:tc>
          <w:tcPr>
            <w:tcW w:w="531" w:type="pct"/>
            <w:vMerge/>
            <w:tcBorders>
              <w:top w:val="outset" w:sz="6" w:space="0" w:color="auto"/>
              <w:left w:val="outset" w:sz="6" w:space="0" w:color="auto"/>
              <w:bottom w:val="outset" w:sz="6" w:space="0" w:color="auto"/>
              <w:right w:val="outset" w:sz="6" w:space="0" w:color="auto"/>
            </w:tcBorders>
            <w:vAlign w:val="center"/>
            <w:hideMark/>
          </w:tcPr>
          <w:p w14:paraId="7F4B8F25"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p>
        </w:tc>
        <w:tc>
          <w:tcPr>
            <w:tcW w:w="709" w:type="pct"/>
            <w:tcBorders>
              <w:top w:val="outset" w:sz="6" w:space="0" w:color="auto"/>
              <w:left w:val="outset" w:sz="6" w:space="0" w:color="auto"/>
              <w:bottom w:val="outset" w:sz="6" w:space="0" w:color="auto"/>
              <w:right w:val="outset" w:sz="6" w:space="0" w:color="auto"/>
            </w:tcBorders>
            <w:vAlign w:val="center"/>
            <w:hideMark/>
          </w:tcPr>
          <w:p w14:paraId="10BF7FD9"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 </w:t>
            </w:r>
          </w:p>
        </w:tc>
        <w:tc>
          <w:tcPr>
            <w:tcW w:w="875" w:type="pct"/>
            <w:gridSpan w:val="2"/>
            <w:tcBorders>
              <w:top w:val="outset" w:sz="6" w:space="0" w:color="auto"/>
              <w:left w:val="outset" w:sz="6" w:space="0" w:color="auto"/>
              <w:bottom w:val="outset" w:sz="6" w:space="0" w:color="auto"/>
              <w:right w:val="outset" w:sz="6" w:space="0" w:color="auto"/>
            </w:tcBorders>
            <w:vAlign w:val="center"/>
            <w:hideMark/>
          </w:tcPr>
          <w:p w14:paraId="1D984F9F" w14:textId="77777777" w:rsidR="007C29EE" w:rsidRPr="00530266" w:rsidRDefault="007C29EE" w:rsidP="00980CAA">
            <w:pPr>
              <w:spacing w:after="0" w:line="240" w:lineRule="auto"/>
              <w:rPr>
                <w:rFonts w:ascii="Times New Roman" w:eastAsia="Times New Roman" w:hAnsi="Times New Roman" w:cs="Times New Roman"/>
                <w:iCs/>
                <w:sz w:val="18"/>
                <w:szCs w:val="18"/>
                <w:lang w:eastAsia="lv-LV"/>
              </w:rPr>
            </w:pPr>
            <w:r w:rsidRPr="00530266">
              <w:rPr>
                <w:rFonts w:ascii="Times New Roman" w:eastAsia="Times New Roman" w:hAnsi="Times New Roman" w:cs="Times New Roman"/>
                <w:iCs/>
                <w:sz w:val="18"/>
                <w:szCs w:val="18"/>
                <w:lang w:eastAsia="lv-LV"/>
              </w:rPr>
              <w:t> </w:t>
            </w:r>
          </w:p>
        </w:tc>
      </w:tr>
      <w:tr w:rsidR="007C29EE" w:rsidRPr="00530266" w14:paraId="05D34581"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05E609F6"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4472" w:type="pct"/>
            <w:gridSpan w:val="8"/>
            <w:tcBorders>
              <w:top w:val="outset" w:sz="6" w:space="0" w:color="auto"/>
              <w:left w:val="outset" w:sz="6" w:space="0" w:color="auto"/>
              <w:bottom w:val="outset" w:sz="6" w:space="0" w:color="auto"/>
              <w:right w:val="outset" w:sz="6" w:space="0" w:color="auto"/>
            </w:tcBorders>
            <w:vAlign w:val="center"/>
            <w:hideMark/>
          </w:tcPr>
          <w:p w14:paraId="6518DC96" w14:textId="77777777" w:rsidR="007C29EE" w:rsidRPr="00530266" w:rsidRDefault="007C29EE" w:rsidP="00980CAA">
            <w:pPr>
              <w:widowControl w:val="0"/>
              <w:spacing w:after="0" w:line="240" w:lineRule="auto"/>
              <w:ind w:firstLine="298"/>
              <w:jc w:val="both"/>
              <w:rPr>
                <w:rFonts w:ascii="Times New Roman" w:eastAsia="Times New Roman" w:hAnsi="Times New Roman" w:cs="Times New Roman"/>
                <w:noProof/>
                <w:sz w:val="24"/>
                <w:szCs w:val="24"/>
                <w:lang w:eastAsia="lv-LV"/>
              </w:rPr>
            </w:pPr>
          </w:p>
        </w:tc>
      </w:tr>
      <w:tr w:rsidR="007C29EE" w:rsidRPr="00530266" w14:paraId="77BB7BAF"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rHeight w:val="962"/>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151E25A1"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6. Detalizēts ieņēmumu un izdevumu aprēķins (ja nepieciešams, detalizētu ieņēmumu un izdevumu aprēķinu var pievienot anotācijas pielikumā)</w:t>
            </w:r>
          </w:p>
        </w:tc>
        <w:tc>
          <w:tcPr>
            <w:tcW w:w="4472" w:type="pct"/>
            <w:gridSpan w:val="8"/>
            <w:vMerge w:val="restart"/>
            <w:tcBorders>
              <w:top w:val="outset" w:sz="6" w:space="0" w:color="auto"/>
              <w:left w:val="outset" w:sz="6" w:space="0" w:color="auto"/>
              <w:bottom w:val="outset" w:sz="6" w:space="0" w:color="auto"/>
              <w:right w:val="outset" w:sz="6" w:space="0" w:color="auto"/>
            </w:tcBorders>
            <w:vAlign w:val="center"/>
            <w:hideMark/>
          </w:tcPr>
          <w:p w14:paraId="40965B11" w14:textId="77777777" w:rsidR="007C29EE" w:rsidRPr="00530266" w:rsidRDefault="007C29EE" w:rsidP="00980CAA">
            <w:pPr>
              <w:pStyle w:val="tvhtml"/>
              <w:spacing w:before="0" w:beforeAutospacing="0" w:after="0" w:afterAutospacing="0"/>
              <w:jc w:val="both"/>
              <w:rPr>
                <w:noProof/>
                <w:sz w:val="22"/>
                <w:szCs w:val="22"/>
              </w:rPr>
            </w:pPr>
            <w:r w:rsidRPr="00530266">
              <w:rPr>
                <w:noProof/>
                <w:sz w:val="22"/>
                <w:szCs w:val="22"/>
              </w:rPr>
              <w:t>*Atbilstoši Veselības ministrijas apstiprinātajām maksimāli pieļaujamajam valsts pamatbudžeta izdevumu apjomam 2020., 2021. un 2022.gadam.</w:t>
            </w:r>
          </w:p>
          <w:p w14:paraId="63308340" w14:textId="77777777" w:rsidR="007C29EE" w:rsidRPr="00530266" w:rsidRDefault="007C29EE" w:rsidP="00980CAA">
            <w:pPr>
              <w:widowControl w:val="0"/>
              <w:spacing w:after="0" w:line="240" w:lineRule="auto"/>
              <w:jc w:val="both"/>
              <w:rPr>
                <w:rFonts w:ascii="Times New Roman" w:hAnsi="Times New Roman" w:cs="Times New Roman"/>
                <w:noProof/>
              </w:rPr>
            </w:pPr>
          </w:p>
          <w:p w14:paraId="5728138D"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2020.gadam Veselības ministrijas (administrē Nacionālais veselības dienests) budžeta programmas 33.00.00 "Veselības aprūpes nodrošināšana":</w:t>
            </w:r>
          </w:p>
          <w:p w14:paraId="3782F83E"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apakšprogrammā 33.03.00 "Kompensējamo medikamentu un materiālu apmaksāšana"</w:t>
            </w:r>
          </w:p>
          <w:p w14:paraId="367A2B34"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Resursi izdevumu segšanai 167 530 684 </w:t>
            </w:r>
            <w:r w:rsidRPr="00530266">
              <w:rPr>
                <w:rFonts w:ascii="Times New Roman" w:hAnsi="Times New Roman" w:cs="Times New Roman"/>
                <w:i/>
                <w:iCs/>
                <w:noProof/>
                <w:sz w:val="24"/>
                <w:szCs w:val="24"/>
              </w:rPr>
              <w:t>euro</w:t>
            </w:r>
          </w:p>
          <w:p w14:paraId="07D84B14"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Ieņēmumi no maksas pakalpojumiem un citi pašu ieņēmumi 7 022 054 </w:t>
            </w:r>
            <w:r w:rsidRPr="00530266">
              <w:rPr>
                <w:rFonts w:ascii="Times New Roman" w:hAnsi="Times New Roman" w:cs="Times New Roman"/>
                <w:i/>
                <w:iCs/>
                <w:noProof/>
                <w:sz w:val="24"/>
                <w:szCs w:val="24"/>
              </w:rPr>
              <w:t>euro</w:t>
            </w:r>
          </w:p>
          <w:p w14:paraId="0FC4E1EF"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Dotācija no vispārējiem ieņēmumiem 160 508 630 </w:t>
            </w:r>
            <w:r w:rsidRPr="00530266">
              <w:rPr>
                <w:rFonts w:ascii="Times New Roman" w:hAnsi="Times New Roman" w:cs="Times New Roman"/>
                <w:i/>
                <w:iCs/>
                <w:noProof/>
                <w:sz w:val="24"/>
                <w:szCs w:val="24"/>
              </w:rPr>
              <w:t>euro</w:t>
            </w:r>
            <w:r w:rsidRPr="00530266">
              <w:rPr>
                <w:rFonts w:ascii="Times New Roman" w:hAnsi="Times New Roman" w:cs="Times New Roman"/>
                <w:noProof/>
                <w:sz w:val="24"/>
                <w:szCs w:val="24"/>
              </w:rPr>
              <w:t xml:space="preserve"> </w:t>
            </w:r>
          </w:p>
          <w:p w14:paraId="0F1C52FD"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Izdevumi 167 530 684 </w:t>
            </w:r>
            <w:r w:rsidRPr="00530266">
              <w:rPr>
                <w:rFonts w:ascii="Times New Roman" w:hAnsi="Times New Roman" w:cs="Times New Roman"/>
                <w:i/>
                <w:iCs/>
                <w:noProof/>
                <w:sz w:val="24"/>
                <w:szCs w:val="24"/>
              </w:rPr>
              <w:t>euro</w:t>
            </w:r>
            <w:r w:rsidRPr="00530266">
              <w:rPr>
                <w:rFonts w:ascii="Times New Roman" w:hAnsi="Times New Roman" w:cs="Times New Roman"/>
                <w:noProof/>
                <w:sz w:val="24"/>
                <w:szCs w:val="24"/>
              </w:rPr>
              <w:t>, tai skaitā:</w:t>
            </w:r>
          </w:p>
          <w:p w14:paraId="4CA85A20"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Subsīdijas, dotācijas 167 530 684 </w:t>
            </w:r>
            <w:r w:rsidRPr="00530266">
              <w:rPr>
                <w:rFonts w:ascii="Times New Roman" w:hAnsi="Times New Roman" w:cs="Times New Roman"/>
                <w:i/>
                <w:iCs/>
                <w:noProof/>
                <w:sz w:val="24"/>
                <w:szCs w:val="24"/>
              </w:rPr>
              <w:t>euro</w:t>
            </w:r>
          </w:p>
          <w:p w14:paraId="71964986"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p>
          <w:p w14:paraId="2D8F99F5"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2021.gadam un 2022.gadam Veselības ministrijas (administrē Nacionālais veselības dienests) budžeta programmas 33.00.00 "Veselības aprūpes nodrošināšana":</w:t>
            </w:r>
          </w:p>
          <w:p w14:paraId="791224A4"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apakšprogrammā 33.03.00 "Kompensējamo medikamentu un materiālu </w:t>
            </w:r>
            <w:r w:rsidRPr="00530266">
              <w:rPr>
                <w:rFonts w:ascii="Times New Roman" w:hAnsi="Times New Roman" w:cs="Times New Roman"/>
                <w:noProof/>
                <w:sz w:val="24"/>
                <w:szCs w:val="24"/>
              </w:rPr>
              <w:lastRenderedPageBreak/>
              <w:t>apmaksāšana"</w:t>
            </w:r>
          </w:p>
          <w:p w14:paraId="4814A336"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Resursi izdevumu segšanai 160 587 684 </w:t>
            </w:r>
            <w:r w:rsidRPr="00530266">
              <w:rPr>
                <w:rFonts w:ascii="Times New Roman" w:hAnsi="Times New Roman" w:cs="Times New Roman"/>
                <w:i/>
                <w:iCs/>
                <w:noProof/>
                <w:sz w:val="24"/>
                <w:szCs w:val="24"/>
              </w:rPr>
              <w:t>euro</w:t>
            </w:r>
          </w:p>
          <w:p w14:paraId="5AC61D5E"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Ieņēmumi no maksas pakalpojumiem un citi pašu ieņēmumi 22 054 </w:t>
            </w:r>
            <w:r w:rsidRPr="00530266">
              <w:rPr>
                <w:rFonts w:ascii="Times New Roman" w:hAnsi="Times New Roman" w:cs="Times New Roman"/>
                <w:i/>
                <w:iCs/>
                <w:noProof/>
                <w:sz w:val="24"/>
                <w:szCs w:val="24"/>
              </w:rPr>
              <w:t>euro</w:t>
            </w:r>
          </w:p>
          <w:p w14:paraId="7D617550"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Dotācija no vispārējiem ieņēmumiem 160 565 630 </w:t>
            </w:r>
            <w:r w:rsidRPr="00530266">
              <w:rPr>
                <w:rFonts w:ascii="Times New Roman" w:hAnsi="Times New Roman" w:cs="Times New Roman"/>
                <w:i/>
                <w:iCs/>
                <w:noProof/>
                <w:sz w:val="24"/>
                <w:szCs w:val="24"/>
              </w:rPr>
              <w:t>euro</w:t>
            </w:r>
            <w:r w:rsidRPr="00530266">
              <w:rPr>
                <w:rFonts w:ascii="Times New Roman" w:hAnsi="Times New Roman" w:cs="Times New Roman"/>
                <w:noProof/>
                <w:sz w:val="24"/>
                <w:szCs w:val="24"/>
              </w:rPr>
              <w:t xml:space="preserve"> </w:t>
            </w:r>
          </w:p>
          <w:p w14:paraId="1EDE79EC"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Izdevumi 160 587 684 </w:t>
            </w:r>
            <w:r w:rsidRPr="00530266">
              <w:rPr>
                <w:rFonts w:ascii="Times New Roman" w:hAnsi="Times New Roman" w:cs="Times New Roman"/>
                <w:i/>
                <w:iCs/>
                <w:noProof/>
                <w:sz w:val="24"/>
                <w:szCs w:val="24"/>
              </w:rPr>
              <w:t>euro</w:t>
            </w:r>
            <w:r w:rsidRPr="00530266">
              <w:rPr>
                <w:rFonts w:ascii="Times New Roman" w:hAnsi="Times New Roman" w:cs="Times New Roman"/>
                <w:noProof/>
                <w:sz w:val="24"/>
                <w:szCs w:val="24"/>
              </w:rPr>
              <w:t>, tai skaitā:</w:t>
            </w:r>
          </w:p>
          <w:p w14:paraId="57F80FF3" w14:textId="77777777" w:rsidR="007C29EE" w:rsidRPr="00530266" w:rsidRDefault="007C29EE" w:rsidP="00980CAA">
            <w:pPr>
              <w:widowControl w:val="0"/>
              <w:spacing w:after="0" w:line="240" w:lineRule="auto"/>
              <w:jc w:val="both"/>
              <w:rPr>
                <w:rFonts w:ascii="Times New Roman" w:hAnsi="Times New Roman" w:cs="Times New Roman"/>
                <w:noProof/>
                <w:sz w:val="24"/>
                <w:szCs w:val="24"/>
              </w:rPr>
            </w:pPr>
            <w:r w:rsidRPr="00530266">
              <w:rPr>
                <w:rFonts w:ascii="Times New Roman" w:hAnsi="Times New Roman" w:cs="Times New Roman"/>
                <w:noProof/>
                <w:sz w:val="24"/>
                <w:szCs w:val="24"/>
              </w:rPr>
              <w:t xml:space="preserve">Subsīdijas, dotācijas 160 587 684 </w:t>
            </w:r>
            <w:r w:rsidRPr="00530266">
              <w:rPr>
                <w:rFonts w:ascii="Times New Roman" w:hAnsi="Times New Roman" w:cs="Times New Roman"/>
                <w:i/>
                <w:iCs/>
                <w:noProof/>
                <w:sz w:val="24"/>
                <w:szCs w:val="24"/>
              </w:rPr>
              <w:t>euro</w:t>
            </w:r>
          </w:p>
          <w:p w14:paraId="6288C67A" w14:textId="77777777" w:rsidR="007C29EE" w:rsidRPr="00530266" w:rsidRDefault="007C29EE" w:rsidP="00980CAA">
            <w:pPr>
              <w:pStyle w:val="tvhtml"/>
              <w:spacing w:before="0" w:beforeAutospacing="0" w:after="0" w:afterAutospacing="0"/>
              <w:jc w:val="both"/>
            </w:pPr>
          </w:p>
          <w:p w14:paraId="3433110F" w14:textId="77777777" w:rsidR="007C29EE" w:rsidRPr="00530266" w:rsidRDefault="007C29EE" w:rsidP="00980CAA">
            <w:pPr>
              <w:spacing w:after="0" w:line="240" w:lineRule="auto"/>
              <w:jc w:val="both"/>
              <w:rPr>
                <w:rFonts w:ascii="Times New Roman" w:eastAsia="Times New Roman" w:hAnsi="Times New Roman" w:cs="Times New Roman"/>
                <w:iCs/>
                <w:noProof/>
                <w:sz w:val="24"/>
                <w:szCs w:val="24"/>
                <w:lang w:eastAsia="lv-LV"/>
              </w:rPr>
            </w:pPr>
            <w:r w:rsidRPr="00530266">
              <w:rPr>
                <w:rFonts w:ascii="Times New Roman" w:eastAsia="Times New Roman" w:hAnsi="Times New Roman" w:cs="Times New Roman"/>
                <w:iCs/>
                <w:sz w:val="24"/>
                <w:szCs w:val="24"/>
                <w:lang w:eastAsia="lv-LV"/>
              </w:rPr>
              <w:t>Noteikumu projekts paredz kompensācijas apmēra palielināšanu</w:t>
            </w:r>
            <w:r w:rsidRPr="00530266">
              <w:rPr>
                <w:rFonts w:ascii="Times New Roman" w:eastAsia="Times New Roman" w:hAnsi="Times New Roman" w:cs="Times New Roman"/>
                <w:iCs/>
                <w:noProof/>
                <w:sz w:val="24"/>
                <w:szCs w:val="24"/>
                <w:lang w:eastAsia="lv-LV"/>
              </w:rPr>
              <w:t xml:space="preserve"> no 50% uz 100% diagnozes G61.8 pacientiem. </w:t>
            </w:r>
          </w:p>
          <w:p w14:paraId="26224504" w14:textId="77777777" w:rsidR="007C29EE" w:rsidRPr="00530266" w:rsidRDefault="007C29EE" w:rsidP="00980CAA">
            <w:pPr>
              <w:spacing w:after="0" w:line="240" w:lineRule="auto"/>
              <w:jc w:val="both"/>
              <w:rPr>
                <w:rFonts w:ascii="Times New Roman" w:eastAsia="Times New Roman" w:hAnsi="Times New Roman" w:cs="Times New Roman"/>
                <w:iCs/>
                <w:noProof/>
                <w:sz w:val="24"/>
                <w:szCs w:val="24"/>
                <w:lang w:eastAsia="lv-LV"/>
              </w:rPr>
            </w:pPr>
            <w:r w:rsidRPr="00530266">
              <w:rPr>
                <w:rFonts w:ascii="Times New Roman" w:eastAsia="Times New Roman" w:hAnsi="Times New Roman" w:cs="Times New Roman"/>
                <w:iCs/>
                <w:noProof/>
                <w:sz w:val="24"/>
                <w:szCs w:val="24"/>
                <w:lang w:eastAsia="lv-LV"/>
              </w:rPr>
              <w:t xml:space="preserve">Diagnozes G61.8 zāļu kompensācijām 2019.gadā (kompensācija 50%) tika izlietoti ~ 2 300 </w:t>
            </w:r>
            <w:r w:rsidRPr="00530266">
              <w:rPr>
                <w:rFonts w:ascii="Times New Roman" w:eastAsia="Times New Roman" w:hAnsi="Times New Roman" w:cs="Times New Roman"/>
                <w:i/>
                <w:noProof/>
                <w:sz w:val="24"/>
                <w:szCs w:val="24"/>
                <w:lang w:eastAsia="lv-LV"/>
              </w:rPr>
              <w:t>euro</w:t>
            </w:r>
            <w:r w:rsidRPr="00530266">
              <w:rPr>
                <w:rFonts w:ascii="Times New Roman" w:eastAsia="Times New Roman" w:hAnsi="Times New Roman" w:cs="Times New Roman"/>
                <w:iCs/>
                <w:noProof/>
                <w:sz w:val="24"/>
                <w:szCs w:val="24"/>
                <w:lang w:eastAsia="lv-LV"/>
              </w:rPr>
              <w:t xml:space="preserve">. Vidēji 17 pacienti gadā. Vidēji viena pacienta zāļu kompensācijai gadam nepieciešams </w:t>
            </w:r>
          </w:p>
          <w:p w14:paraId="0BBE78C2" w14:textId="77777777" w:rsidR="007C29EE" w:rsidRPr="00530266" w:rsidRDefault="007C29EE" w:rsidP="00980CAA">
            <w:pPr>
              <w:spacing w:after="0" w:line="240" w:lineRule="auto"/>
              <w:jc w:val="both"/>
              <w:rPr>
                <w:rFonts w:ascii="Times New Roman" w:eastAsia="Times New Roman" w:hAnsi="Times New Roman" w:cs="Times New Roman"/>
                <w:iCs/>
                <w:noProof/>
                <w:sz w:val="24"/>
                <w:szCs w:val="24"/>
                <w:lang w:eastAsia="lv-LV"/>
              </w:rPr>
            </w:pPr>
            <w:r w:rsidRPr="00530266">
              <w:rPr>
                <w:rFonts w:ascii="Times New Roman" w:eastAsia="Times New Roman" w:hAnsi="Times New Roman" w:cs="Times New Roman"/>
                <w:iCs/>
                <w:noProof/>
                <w:sz w:val="24"/>
                <w:szCs w:val="24"/>
                <w:lang w:eastAsia="lv-LV"/>
              </w:rPr>
              <w:t xml:space="preserve">135 </w:t>
            </w:r>
            <w:r w:rsidRPr="00530266">
              <w:rPr>
                <w:rFonts w:ascii="Times New Roman" w:eastAsia="Times New Roman" w:hAnsi="Times New Roman" w:cs="Times New Roman"/>
                <w:i/>
                <w:noProof/>
                <w:sz w:val="24"/>
                <w:szCs w:val="24"/>
                <w:lang w:eastAsia="lv-LV"/>
              </w:rPr>
              <w:t>euro</w:t>
            </w:r>
            <w:r w:rsidRPr="00530266">
              <w:rPr>
                <w:rFonts w:ascii="Times New Roman" w:eastAsia="Times New Roman" w:hAnsi="Times New Roman" w:cs="Times New Roman"/>
                <w:iCs/>
                <w:noProof/>
                <w:sz w:val="24"/>
                <w:szCs w:val="24"/>
                <w:lang w:eastAsia="lv-LV"/>
              </w:rPr>
              <w:t xml:space="preserve"> (2 300 </w:t>
            </w:r>
            <w:r w:rsidRPr="00530266">
              <w:rPr>
                <w:rFonts w:ascii="Times New Roman" w:eastAsia="Times New Roman" w:hAnsi="Times New Roman" w:cs="Times New Roman"/>
                <w:i/>
                <w:noProof/>
                <w:sz w:val="24"/>
                <w:szCs w:val="24"/>
                <w:lang w:eastAsia="lv-LV"/>
              </w:rPr>
              <w:t>euro</w:t>
            </w:r>
            <w:r w:rsidRPr="00530266">
              <w:rPr>
                <w:rFonts w:ascii="Times New Roman" w:eastAsia="Times New Roman" w:hAnsi="Times New Roman" w:cs="Times New Roman"/>
                <w:iCs/>
                <w:noProof/>
                <w:sz w:val="24"/>
                <w:szCs w:val="24"/>
                <w:lang w:eastAsia="lv-LV"/>
              </w:rPr>
              <w:t>/17 pacienti).</w:t>
            </w:r>
          </w:p>
          <w:p w14:paraId="252B56D6" w14:textId="77777777" w:rsidR="007C29EE" w:rsidRPr="00530266" w:rsidRDefault="007C29EE" w:rsidP="00980CAA">
            <w:pPr>
              <w:spacing w:after="0" w:line="240" w:lineRule="auto"/>
              <w:jc w:val="both"/>
              <w:rPr>
                <w:rFonts w:ascii="Times New Roman" w:eastAsia="Times New Roman" w:hAnsi="Times New Roman" w:cs="Times New Roman"/>
                <w:iCs/>
                <w:noProof/>
                <w:sz w:val="24"/>
                <w:szCs w:val="24"/>
                <w:lang w:eastAsia="lv-LV"/>
              </w:rPr>
            </w:pPr>
            <w:r w:rsidRPr="00530266">
              <w:rPr>
                <w:rFonts w:ascii="Times New Roman" w:eastAsia="Times New Roman" w:hAnsi="Times New Roman" w:cs="Times New Roman"/>
                <w:iCs/>
                <w:noProof/>
                <w:sz w:val="24"/>
                <w:szCs w:val="24"/>
                <w:lang w:eastAsia="lv-LV"/>
              </w:rPr>
              <w:t xml:space="preserve">Ja zāļu kompensācija diagnozei G61.8 tiek palielināta no 50% uz 100%, tad nepieciešamais finsējums zālēm gadam ~ 4 600 </w:t>
            </w:r>
            <w:r w:rsidRPr="00530266">
              <w:rPr>
                <w:rFonts w:ascii="Times New Roman" w:eastAsia="Times New Roman" w:hAnsi="Times New Roman" w:cs="Times New Roman"/>
                <w:i/>
                <w:noProof/>
                <w:sz w:val="24"/>
                <w:szCs w:val="24"/>
                <w:lang w:eastAsia="lv-LV"/>
              </w:rPr>
              <w:t xml:space="preserve">euro, </w:t>
            </w:r>
            <w:r w:rsidRPr="00530266">
              <w:rPr>
                <w:rFonts w:ascii="Times New Roman" w:eastAsia="Times New Roman" w:hAnsi="Times New Roman" w:cs="Times New Roman"/>
                <w:iCs/>
                <w:noProof/>
                <w:sz w:val="24"/>
                <w:szCs w:val="24"/>
                <w:lang w:eastAsia="lv-LV"/>
              </w:rPr>
              <w:t xml:space="preserve">t.i., papildus nepieciešamais finsējums gadam ~ 2 300 </w:t>
            </w:r>
            <w:r w:rsidRPr="00530266">
              <w:rPr>
                <w:rFonts w:ascii="Times New Roman" w:eastAsia="Times New Roman" w:hAnsi="Times New Roman" w:cs="Times New Roman"/>
                <w:i/>
                <w:noProof/>
                <w:sz w:val="24"/>
                <w:szCs w:val="24"/>
                <w:lang w:eastAsia="lv-LV"/>
              </w:rPr>
              <w:t>euro</w:t>
            </w:r>
            <w:r w:rsidRPr="00530266">
              <w:rPr>
                <w:rFonts w:ascii="Times New Roman" w:eastAsia="Times New Roman" w:hAnsi="Times New Roman" w:cs="Times New Roman"/>
                <w:iCs/>
                <w:noProof/>
                <w:sz w:val="24"/>
                <w:szCs w:val="24"/>
                <w:lang w:eastAsia="lv-LV"/>
              </w:rPr>
              <w:t xml:space="preserve">. Plānots, ka grozījumi Noteikumos stāsies spēkā ar 2020.gada 1.aprīli, līdz ar to 2020.gadam papildus nepieciešamais finansējums ~ 1 725 </w:t>
            </w:r>
            <w:r w:rsidRPr="00530266">
              <w:rPr>
                <w:rFonts w:ascii="Times New Roman" w:eastAsia="Times New Roman" w:hAnsi="Times New Roman" w:cs="Times New Roman"/>
                <w:i/>
                <w:noProof/>
                <w:sz w:val="24"/>
                <w:szCs w:val="24"/>
                <w:lang w:eastAsia="lv-LV"/>
              </w:rPr>
              <w:t>euro</w:t>
            </w:r>
            <w:r w:rsidRPr="00530266">
              <w:rPr>
                <w:rFonts w:ascii="Times New Roman" w:eastAsia="Times New Roman" w:hAnsi="Times New Roman" w:cs="Times New Roman"/>
                <w:iCs/>
                <w:noProof/>
                <w:sz w:val="24"/>
                <w:szCs w:val="24"/>
                <w:lang w:eastAsia="lv-LV"/>
              </w:rPr>
              <w:t>.</w:t>
            </w:r>
          </w:p>
          <w:p w14:paraId="0AAF179A" w14:textId="4665C498" w:rsidR="007C29EE" w:rsidRPr="00530266" w:rsidRDefault="007C29EE" w:rsidP="00980CAA">
            <w:pPr>
              <w:widowControl w:val="0"/>
              <w:spacing w:after="0" w:line="240" w:lineRule="auto"/>
              <w:jc w:val="both"/>
              <w:rPr>
                <w:rFonts w:ascii="Times New Roman" w:eastAsia="Times New Roman" w:hAnsi="Times New Roman" w:cs="Times New Roman"/>
                <w:sz w:val="24"/>
                <w:szCs w:val="24"/>
                <w:shd w:val="clear" w:color="auto" w:fill="FFFFFF"/>
                <w:lang w:eastAsia="lv-LV" w:bidi="lv-LV"/>
              </w:rPr>
            </w:pPr>
            <w:r w:rsidRPr="00530266">
              <w:rPr>
                <w:rFonts w:ascii="Times New Roman" w:hAnsi="Times New Roman" w:cs="Times New Roman"/>
                <w:sz w:val="24"/>
                <w:szCs w:val="24"/>
              </w:rPr>
              <w:t xml:space="preserve">Ņemot vērā atsevišķu KZS iekļautu G diagnožu grupā esošu zāļu cenu samazinājumu no 2020. gada 1. aprīļa, G diagnožu grupā ir paredzēts izdevumu samazinājums 4 771,97 </w:t>
            </w:r>
            <w:r w:rsidRPr="00530266">
              <w:rPr>
                <w:rFonts w:ascii="Times New Roman" w:hAnsi="Times New Roman" w:cs="Times New Roman"/>
                <w:i/>
                <w:iCs/>
                <w:sz w:val="24"/>
                <w:szCs w:val="24"/>
              </w:rPr>
              <w:t>euro</w:t>
            </w:r>
            <w:r w:rsidRPr="00530266">
              <w:rPr>
                <w:rFonts w:ascii="Times New Roman" w:hAnsi="Times New Roman" w:cs="Times New Roman"/>
                <w:sz w:val="24"/>
                <w:szCs w:val="24"/>
              </w:rPr>
              <w:t xml:space="preserve"> (tabula Nr.1). Ietaupītos līdzekļus paredzēts novirzīt papildus nepieciešamā finansējuma diagnozes G61.8 kompensācijas 100% apmērā segšanai. Ietekmes uz budžetu nav. </w:t>
            </w:r>
            <w:r w:rsidRPr="00530266">
              <w:rPr>
                <w:rFonts w:ascii="Times New Roman" w:eastAsia="Times New Roman" w:hAnsi="Times New Roman" w:cs="Times New Roman"/>
                <w:sz w:val="24"/>
                <w:szCs w:val="24"/>
                <w:shd w:val="clear" w:color="auto" w:fill="FFFFFF"/>
                <w:lang w:eastAsia="lv-LV" w:bidi="lv-LV"/>
              </w:rPr>
              <w:t xml:space="preserve">Pasākums tiks īstenots apakšprogrammas 33.03.00 „Kompensējamo medikamentu un materiālu apmaksāšana” apstiprināto budžeta līdzekļu ietvaros. </w:t>
            </w:r>
          </w:p>
          <w:p w14:paraId="7A2929D6" w14:textId="77777777" w:rsidR="007C29EE" w:rsidRPr="00530266" w:rsidRDefault="007C29EE" w:rsidP="00980CAA">
            <w:pPr>
              <w:widowControl w:val="0"/>
              <w:spacing w:after="0" w:line="240" w:lineRule="auto"/>
              <w:ind w:firstLine="209"/>
              <w:jc w:val="right"/>
              <w:rPr>
                <w:rFonts w:ascii="Times New Roman" w:eastAsia="Times New Roman" w:hAnsi="Times New Roman" w:cs="Times New Roman"/>
                <w:i/>
                <w:shd w:val="clear" w:color="auto" w:fill="FFFFFF"/>
                <w:lang w:eastAsia="lv-LV" w:bidi="lv-LV"/>
              </w:rPr>
            </w:pPr>
            <w:r w:rsidRPr="00530266">
              <w:rPr>
                <w:rFonts w:ascii="Times New Roman" w:eastAsia="Times New Roman" w:hAnsi="Times New Roman" w:cs="Times New Roman"/>
                <w:i/>
                <w:shd w:val="clear" w:color="auto" w:fill="FFFFFF"/>
                <w:lang w:eastAsia="lv-LV" w:bidi="lv-LV"/>
              </w:rPr>
              <w:t>Tabula Nr.1</w:t>
            </w:r>
          </w:p>
          <w:tbl>
            <w:tblPr>
              <w:tblStyle w:val="TableGrid"/>
              <w:tblW w:w="0" w:type="auto"/>
              <w:tblLook w:val="04A0" w:firstRow="1" w:lastRow="0" w:firstColumn="1" w:lastColumn="0" w:noHBand="0" w:noVBand="1"/>
            </w:tblPr>
            <w:tblGrid>
              <w:gridCol w:w="1595"/>
              <w:gridCol w:w="1531"/>
              <w:gridCol w:w="1614"/>
              <w:gridCol w:w="1627"/>
              <w:gridCol w:w="1618"/>
            </w:tblGrid>
            <w:tr w:rsidR="007C29EE" w:rsidRPr="00530266" w14:paraId="17924B75" w14:textId="77777777" w:rsidTr="00980CAA">
              <w:tc>
                <w:tcPr>
                  <w:tcW w:w="1768" w:type="dxa"/>
                </w:tcPr>
                <w:p w14:paraId="1836EE1B" w14:textId="77777777" w:rsidR="007C29EE" w:rsidRPr="00530266" w:rsidRDefault="007C29EE" w:rsidP="00980CAA">
                  <w:pPr>
                    <w:widowControl w:val="0"/>
                    <w:jc w:val="both"/>
                    <w:rPr>
                      <w:rFonts w:ascii="Times New Roman" w:eastAsia="Times New Roman" w:hAnsi="Times New Roman"/>
                      <w:sz w:val="22"/>
                      <w:szCs w:val="22"/>
                      <w:shd w:val="clear" w:color="auto" w:fill="FFFFFF"/>
                      <w:lang w:val="lv-LV" w:eastAsia="lv-LV" w:bidi="lv-LV"/>
                    </w:rPr>
                  </w:pPr>
                </w:p>
              </w:tc>
              <w:tc>
                <w:tcPr>
                  <w:tcW w:w="1767" w:type="dxa"/>
                </w:tcPr>
                <w:p w14:paraId="0E5942ED"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Aptiekas cenu starpība</w:t>
                  </w:r>
                  <w:r w:rsidRPr="00530266">
                    <w:rPr>
                      <w:rFonts w:ascii="Times New Roman" w:eastAsia="Times New Roman" w:hAnsi="Times New Roman"/>
                      <w:i/>
                      <w:iCs/>
                      <w:sz w:val="22"/>
                      <w:szCs w:val="22"/>
                      <w:shd w:val="clear" w:color="auto" w:fill="FFFFFF"/>
                      <w:lang w:val="lv-LV" w:eastAsia="lv-LV" w:bidi="lv-LV"/>
                    </w:rPr>
                    <w:t>, euro</w:t>
                  </w:r>
                  <w:r w:rsidRPr="00530266">
                    <w:rPr>
                      <w:rFonts w:ascii="Times New Roman" w:eastAsia="Times New Roman" w:hAnsi="Times New Roman"/>
                      <w:sz w:val="22"/>
                      <w:szCs w:val="22"/>
                      <w:shd w:val="clear" w:color="auto" w:fill="FFFFFF"/>
                      <w:lang w:val="lv-LV" w:eastAsia="lv-LV" w:bidi="lv-LV"/>
                    </w:rPr>
                    <w:t xml:space="preserve"> **</w:t>
                  </w:r>
                </w:p>
              </w:tc>
              <w:tc>
                <w:tcPr>
                  <w:tcW w:w="1767" w:type="dxa"/>
                </w:tcPr>
                <w:p w14:paraId="11692BA8"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Iepakojumu skaits G diagnozei, 2019.gadā</w:t>
                  </w:r>
                </w:p>
              </w:tc>
              <w:tc>
                <w:tcPr>
                  <w:tcW w:w="1767" w:type="dxa"/>
                </w:tcPr>
                <w:p w14:paraId="0ABC904B"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Ietaupījums, gadam</w:t>
                  </w:r>
                </w:p>
              </w:tc>
              <w:tc>
                <w:tcPr>
                  <w:tcW w:w="1767" w:type="dxa"/>
                </w:tcPr>
                <w:p w14:paraId="7EF852ED"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Ietaupījums 2020.gadā (no 01.04.2020)</w:t>
                  </w:r>
                </w:p>
              </w:tc>
            </w:tr>
            <w:tr w:rsidR="007C29EE" w:rsidRPr="00530266" w14:paraId="660DFAE0" w14:textId="77777777" w:rsidTr="00980CAA">
              <w:trPr>
                <w:trHeight w:val="637"/>
              </w:trPr>
              <w:tc>
                <w:tcPr>
                  <w:tcW w:w="1768" w:type="dxa"/>
                </w:tcPr>
                <w:p w14:paraId="626576A2"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1 zāļu vispārīgais nosaukums</w:t>
                  </w:r>
                </w:p>
              </w:tc>
              <w:tc>
                <w:tcPr>
                  <w:tcW w:w="1767" w:type="dxa"/>
                  <w:vAlign w:val="center"/>
                </w:tcPr>
                <w:p w14:paraId="6985085B"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8,51</w:t>
                  </w:r>
                </w:p>
              </w:tc>
              <w:tc>
                <w:tcPr>
                  <w:tcW w:w="1767" w:type="dxa"/>
                  <w:vAlign w:val="center"/>
                </w:tcPr>
                <w:p w14:paraId="2F9E6D4A"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225</w:t>
                  </w:r>
                </w:p>
              </w:tc>
              <w:tc>
                <w:tcPr>
                  <w:tcW w:w="1767" w:type="dxa"/>
                  <w:vAlign w:val="center"/>
                </w:tcPr>
                <w:p w14:paraId="6BD38EBD"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1 914,75</w:t>
                  </w:r>
                </w:p>
              </w:tc>
              <w:tc>
                <w:tcPr>
                  <w:tcW w:w="1767" w:type="dxa"/>
                  <w:vAlign w:val="center"/>
                </w:tcPr>
                <w:p w14:paraId="2E17E737"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1 436,06</w:t>
                  </w:r>
                </w:p>
              </w:tc>
            </w:tr>
            <w:tr w:rsidR="007C29EE" w:rsidRPr="00530266" w14:paraId="5DFE5E61" w14:textId="77777777" w:rsidTr="00980CAA">
              <w:trPr>
                <w:trHeight w:val="489"/>
              </w:trPr>
              <w:tc>
                <w:tcPr>
                  <w:tcW w:w="1768" w:type="dxa"/>
                  <w:vMerge w:val="restart"/>
                </w:tcPr>
                <w:p w14:paraId="415E51AB"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2 zāļu vispārīgais nosaukums</w:t>
                  </w:r>
                </w:p>
              </w:tc>
              <w:tc>
                <w:tcPr>
                  <w:tcW w:w="1767" w:type="dxa"/>
                  <w:vAlign w:val="center"/>
                </w:tcPr>
                <w:p w14:paraId="5A6FF558"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0,27</w:t>
                  </w:r>
                </w:p>
              </w:tc>
              <w:tc>
                <w:tcPr>
                  <w:tcW w:w="1767" w:type="dxa"/>
                  <w:vAlign w:val="center"/>
                </w:tcPr>
                <w:p w14:paraId="14242436"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614</w:t>
                  </w:r>
                </w:p>
              </w:tc>
              <w:tc>
                <w:tcPr>
                  <w:tcW w:w="1767" w:type="dxa"/>
                  <w:vAlign w:val="center"/>
                </w:tcPr>
                <w:p w14:paraId="498DED08"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165,78</w:t>
                  </w:r>
                </w:p>
              </w:tc>
              <w:tc>
                <w:tcPr>
                  <w:tcW w:w="1767" w:type="dxa"/>
                  <w:vAlign w:val="center"/>
                </w:tcPr>
                <w:p w14:paraId="64CB1556"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124,34</w:t>
                  </w:r>
                </w:p>
              </w:tc>
            </w:tr>
            <w:tr w:rsidR="007C29EE" w:rsidRPr="00530266" w14:paraId="4DCE0517" w14:textId="77777777" w:rsidTr="00980CAA">
              <w:trPr>
                <w:trHeight w:val="411"/>
              </w:trPr>
              <w:tc>
                <w:tcPr>
                  <w:tcW w:w="1768" w:type="dxa"/>
                  <w:vMerge/>
                </w:tcPr>
                <w:p w14:paraId="02779CCA"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p>
              </w:tc>
              <w:tc>
                <w:tcPr>
                  <w:tcW w:w="1767" w:type="dxa"/>
                  <w:vAlign w:val="center"/>
                </w:tcPr>
                <w:p w14:paraId="41C693ED"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0,27</w:t>
                  </w:r>
                </w:p>
              </w:tc>
              <w:tc>
                <w:tcPr>
                  <w:tcW w:w="1767" w:type="dxa"/>
                  <w:vAlign w:val="center"/>
                </w:tcPr>
                <w:p w14:paraId="7A25BAD2"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2</w:t>
                  </w:r>
                </w:p>
              </w:tc>
              <w:tc>
                <w:tcPr>
                  <w:tcW w:w="1767" w:type="dxa"/>
                  <w:vAlign w:val="center"/>
                </w:tcPr>
                <w:p w14:paraId="147D0553"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0,54</w:t>
                  </w:r>
                </w:p>
              </w:tc>
              <w:tc>
                <w:tcPr>
                  <w:tcW w:w="1767" w:type="dxa"/>
                  <w:vAlign w:val="center"/>
                </w:tcPr>
                <w:p w14:paraId="1B41FE85"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0,41</w:t>
                  </w:r>
                </w:p>
              </w:tc>
            </w:tr>
            <w:tr w:rsidR="007C29EE" w:rsidRPr="00530266" w14:paraId="3E6C1777" w14:textId="77777777" w:rsidTr="00980CAA">
              <w:trPr>
                <w:trHeight w:val="374"/>
              </w:trPr>
              <w:tc>
                <w:tcPr>
                  <w:tcW w:w="1768" w:type="dxa"/>
                  <w:vMerge w:val="restart"/>
                </w:tcPr>
                <w:p w14:paraId="73A615D9"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3 zāļu vispārīgais nosaukums</w:t>
                  </w:r>
                </w:p>
              </w:tc>
              <w:tc>
                <w:tcPr>
                  <w:tcW w:w="1767" w:type="dxa"/>
                  <w:vAlign w:val="center"/>
                </w:tcPr>
                <w:p w14:paraId="45A12583"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1,82</w:t>
                  </w:r>
                </w:p>
              </w:tc>
              <w:tc>
                <w:tcPr>
                  <w:tcW w:w="1767" w:type="dxa"/>
                  <w:vAlign w:val="center"/>
                </w:tcPr>
                <w:p w14:paraId="5228D9D9"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1 868</w:t>
                  </w:r>
                </w:p>
              </w:tc>
              <w:tc>
                <w:tcPr>
                  <w:tcW w:w="1767" w:type="dxa"/>
                  <w:vAlign w:val="center"/>
                </w:tcPr>
                <w:p w14:paraId="043A29B6"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3 399,76</w:t>
                  </w:r>
                </w:p>
              </w:tc>
              <w:tc>
                <w:tcPr>
                  <w:tcW w:w="1767" w:type="dxa"/>
                  <w:vAlign w:val="center"/>
                </w:tcPr>
                <w:p w14:paraId="465ED05B"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2 549,82</w:t>
                  </w:r>
                </w:p>
              </w:tc>
            </w:tr>
            <w:tr w:rsidR="007C29EE" w:rsidRPr="00530266" w14:paraId="430D6A60" w14:textId="77777777" w:rsidTr="00980CAA">
              <w:tc>
                <w:tcPr>
                  <w:tcW w:w="1768" w:type="dxa"/>
                  <w:vMerge/>
                </w:tcPr>
                <w:p w14:paraId="53CCF2FE" w14:textId="77777777" w:rsidR="007C29EE" w:rsidRPr="00530266" w:rsidRDefault="007C29EE" w:rsidP="00980CAA">
                  <w:pPr>
                    <w:widowControl w:val="0"/>
                    <w:jc w:val="both"/>
                    <w:rPr>
                      <w:rFonts w:ascii="Times New Roman" w:eastAsia="Times New Roman" w:hAnsi="Times New Roman"/>
                      <w:sz w:val="24"/>
                      <w:szCs w:val="24"/>
                      <w:shd w:val="clear" w:color="auto" w:fill="FFFFFF"/>
                      <w:lang w:val="lv-LV" w:eastAsia="lv-LV" w:bidi="lv-LV"/>
                    </w:rPr>
                  </w:pPr>
                </w:p>
              </w:tc>
              <w:tc>
                <w:tcPr>
                  <w:tcW w:w="1767" w:type="dxa"/>
                  <w:vAlign w:val="center"/>
                </w:tcPr>
                <w:p w14:paraId="7892CE0A"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2,73</w:t>
                  </w:r>
                </w:p>
              </w:tc>
              <w:tc>
                <w:tcPr>
                  <w:tcW w:w="1767" w:type="dxa"/>
                  <w:vAlign w:val="center"/>
                </w:tcPr>
                <w:p w14:paraId="32F758AF"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323</w:t>
                  </w:r>
                </w:p>
              </w:tc>
              <w:tc>
                <w:tcPr>
                  <w:tcW w:w="1767" w:type="dxa"/>
                  <w:vAlign w:val="center"/>
                </w:tcPr>
                <w:p w14:paraId="5611FF93"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881,79</w:t>
                  </w:r>
                </w:p>
              </w:tc>
              <w:tc>
                <w:tcPr>
                  <w:tcW w:w="1767" w:type="dxa"/>
                  <w:vAlign w:val="center"/>
                </w:tcPr>
                <w:p w14:paraId="0B86879E" w14:textId="77777777" w:rsidR="007C29EE" w:rsidRPr="00530266" w:rsidRDefault="007C29EE" w:rsidP="00980CAA">
                  <w:pPr>
                    <w:widowControl w:val="0"/>
                    <w:jc w:val="center"/>
                    <w:rPr>
                      <w:rFonts w:ascii="Times New Roman" w:eastAsia="Times New Roman" w:hAnsi="Times New Roman"/>
                      <w:sz w:val="22"/>
                      <w:szCs w:val="22"/>
                      <w:shd w:val="clear" w:color="auto" w:fill="FFFFFF"/>
                      <w:lang w:val="lv-LV" w:eastAsia="lv-LV" w:bidi="lv-LV"/>
                    </w:rPr>
                  </w:pPr>
                  <w:r w:rsidRPr="00530266">
                    <w:rPr>
                      <w:rFonts w:ascii="Times New Roman" w:eastAsia="Times New Roman" w:hAnsi="Times New Roman"/>
                      <w:sz w:val="22"/>
                      <w:szCs w:val="22"/>
                      <w:shd w:val="clear" w:color="auto" w:fill="FFFFFF"/>
                      <w:lang w:val="lv-LV" w:eastAsia="lv-LV" w:bidi="lv-LV"/>
                    </w:rPr>
                    <w:t>661,34</w:t>
                  </w:r>
                </w:p>
              </w:tc>
            </w:tr>
            <w:tr w:rsidR="007C29EE" w:rsidRPr="00530266" w14:paraId="2C228D11" w14:textId="77777777" w:rsidTr="00980CAA">
              <w:tc>
                <w:tcPr>
                  <w:tcW w:w="5302" w:type="dxa"/>
                  <w:gridSpan w:val="3"/>
                  <w:vAlign w:val="center"/>
                </w:tcPr>
                <w:p w14:paraId="74B6C4A1" w14:textId="77777777" w:rsidR="007C29EE" w:rsidRPr="00530266" w:rsidRDefault="007C29EE" w:rsidP="00980CAA">
                  <w:pPr>
                    <w:widowControl w:val="0"/>
                    <w:jc w:val="right"/>
                    <w:rPr>
                      <w:rFonts w:ascii="Times New Roman" w:eastAsia="Times New Roman" w:hAnsi="Times New Roman"/>
                      <w:sz w:val="24"/>
                      <w:szCs w:val="24"/>
                      <w:shd w:val="clear" w:color="auto" w:fill="FFFFFF"/>
                      <w:lang w:val="lv-LV" w:eastAsia="lv-LV" w:bidi="lv-LV"/>
                    </w:rPr>
                  </w:pPr>
                  <w:r w:rsidRPr="00530266">
                    <w:rPr>
                      <w:rFonts w:ascii="Times New Roman" w:eastAsia="Times New Roman" w:hAnsi="Times New Roman"/>
                      <w:b/>
                      <w:bCs/>
                      <w:sz w:val="24"/>
                      <w:szCs w:val="24"/>
                      <w:shd w:val="clear" w:color="auto" w:fill="FFFFFF"/>
                      <w:lang w:val="lv-LV" w:eastAsia="lv-LV" w:bidi="lv-LV"/>
                    </w:rPr>
                    <w:t>KOPĀ</w:t>
                  </w:r>
                  <w:r w:rsidRPr="00530266">
                    <w:rPr>
                      <w:rFonts w:ascii="Times New Roman" w:eastAsia="Times New Roman" w:hAnsi="Times New Roman"/>
                      <w:sz w:val="24"/>
                      <w:szCs w:val="24"/>
                      <w:shd w:val="clear" w:color="auto" w:fill="FFFFFF"/>
                      <w:lang w:val="lv-LV" w:eastAsia="lv-LV" w:bidi="lv-LV"/>
                    </w:rPr>
                    <w:t>:</w:t>
                  </w:r>
                </w:p>
              </w:tc>
              <w:tc>
                <w:tcPr>
                  <w:tcW w:w="1767" w:type="dxa"/>
                  <w:vAlign w:val="center"/>
                </w:tcPr>
                <w:p w14:paraId="22A259F0" w14:textId="77777777" w:rsidR="007C29EE" w:rsidRPr="00530266" w:rsidRDefault="007C29EE" w:rsidP="00980CAA">
                  <w:pPr>
                    <w:widowControl w:val="0"/>
                    <w:jc w:val="center"/>
                    <w:rPr>
                      <w:rFonts w:ascii="Times New Roman" w:eastAsia="Times New Roman" w:hAnsi="Times New Roman"/>
                      <w:sz w:val="24"/>
                      <w:szCs w:val="24"/>
                      <w:shd w:val="clear" w:color="auto" w:fill="FFFFFF"/>
                      <w:lang w:val="lv-LV" w:eastAsia="lv-LV" w:bidi="lv-LV"/>
                    </w:rPr>
                  </w:pPr>
                  <w:r w:rsidRPr="00530266">
                    <w:rPr>
                      <w:rFonts w:ascii="Times New Roman" w:eastAsia="Times New Roman" w:hAnsi="Times New Roman"/>
                      <w:sz w:val="24"/>
                      <w:szCs w:val="24"/>
                      <w:shd w:val="clear" w:color="auto" w:fill="FFFFFF"/>
                      <w:lang w:val="lv-LV" w:eastAsia="lv-LV" w:bidi="lv-LV"/>
                    </w:rPr>
                    <w:t>6 362,62</w:t>
                  </w:r>
                </w:p>
              </w:tc>
              <w:tc>
                <w:tcPr>
                  <w:tcW w:w="1767" w:type="dxa"/>
                  <w:vAlign w:val="center"/>
                </w:tcPr>
                <w:p w14:paraId="496112FF" w14:textId="77777777" w:rsidR="007C29EE" w:rsidRPr="00530266" w:rsidRDefault="007C29EE" w:rsidP="00980CAA">
                  <w:pPr>
                    <w:widowControl w:val="0"/>
                    <w:jc w:val="center"/>
                    <w:rPr>
                      <w:rFonts w:ascii="Times New Roman" w:eastAsia="Times New Roman" w:hAnsi="Times New Roman"/>
                      <w:b/>
                      <w:bCs/>
                      <w:sz w:val="24"/>
                      <w:szCs w:val="24"/>
                      <w:shd w:val="clear" w:color="auto" w:fill="FFFFFF"/>
                      <w:lang w:val="lv-LV" w:eastAsia="lv-LV" w:bidi="lv-LV"/>
                    </w:rPr>
                  </w:pPr>
                  <w:r w:rsidRPr="00530266">
                    <w:rPr>
                      <w:rFonts w:ascii="Times New Roman" w:eastAsia="Times New Roman" w:hAnsi="Times New Roman"/>
                      <w:b/>
                      <w:bCs/>
                      <w:sz w:val="24"/>
                      <w:szCs w:val="24"/>
                      <w:shd w:val="clear" w:color="auto" w:fill="FFFFFF"/>
                      <w:lang w:val="lv-LV" w:eastAsia="lv-LV" w:bidi="lv-LV"/>
                    </w:rPr>
                    <w:t>4 771,97</w:t>
                  </w:r>
                </w:p>
              </w:tc>
            </w:tr>
          </w:tbl>
          <w:p w14:paraId="448A8324" w14:textId="77777777" w:rsidR="007C29EE" w:rsidRPr="00530266" w:rsidRDefault="007C29EE" w:rsidP="00980CAA">
            <w:pPr>
              <w:shd w:val="clear" w:color="auto" w:fill="FFFFFF"/>
              <w:jc w:val="both"/>
              <w:rPr>
                <w:rFonts w:ascii="Times New Roman" w:eastAsia="Times New Roman" w:hAnsi="Times New Roman" w:cs="Times New Roman"/>
                <w:sz w:val="24"/>
                <w:szCs w:val="24"/>
                <w:lang w:eastAsia="lv-LV"/>
              </w:rPr>
            </w:pPr>
            <w:r w:rsidRPr="00530266">
              <w:rPr>
                <w:noProof/>
                <w:lang w:eastAsia="lv-LV"/>
              </w:rPr>
              <w:t xml:space="preserve">** </w:t>
            </w:r>
            <w:r w:rsidRPr="00530266">
              <w:rPr>
                <w:rFonts w:ascii="Times New Roman" w:eastAsia="Times New Roman" w:hAnsi="Times New Roman" w:cs="Times New Roman"/>
                <w:sz w:val="24"/>
                <w:szCs w:val="24"/>
                <w:lang w:eastAsia="lv-LV"/>
              </w:rPr>
              <w:t xml:space="preserve">Lai iekļautu zāles kompensējamo zāļu sarakstā, Nacionālais veselības dienests pieņem lēmumu “Par zāļu iekļaušanu Kompensējamo zāļu sarakstā”,  diagnozēm, kuru ārstēšanai zāles paredzētas, un zāļu cenu, par kādu tās tiks pārdotas aptiekā. Zāļu ražotāju pārstāvji var vērsties Nacionālajā veselības dienestā ar iesniegumu kompensējamo zāļu cenas pārskatīšanai. Ja Nacionālais veselības dienests piekrīt kompensējamo zāļu cenu pārskatīt, tiek pieņemts lēmums par kompensējamo zāļu sarakstā iekļauto zāļu cenas pārskatīšanu, norādot datumu, kad lēmums stājas spēkā. Tabulā sniegta informācija par valsts budžeta izdevumu samazināšanos kompensējamām zālēm, kurām no 2020.gada 1.aprīļa tiek pazemināta cena. Aptiekas cenu starpība ir starpība starp zāļu cenu, kas spēkā šobrīd, t.i. līdz </w:t>
            </w:r>
            <w:r w:rsidRPr="00530266">
              <w:rPr>
                <w:rFonts w:ascii="Times New Roman" w:eastAsia="Times New Roman" w:hAnsi="Times New Roman" w:cs="Times New Roman"/>
                <w:sz w:val="24"/>
                <w:szCs w:val="24"/>
                <w:lang w:eastAsia="lv-LV"/>
              </w:rPr>
              <w:lastRenderedPageBreak/>
              <w:t>2020.gada 31.martam, un šo pašu zāļu samazināto cenu, kas spēkā no 2020. gada 1.aprīļa. </w:t>
            </w:r>
          </w:p>
          <w:p w14:paraId="10D5DE3D" w14:textId="77777777" w:rsidR="007C29EE" w:rsidRPr="00530266" w:rsidRDefault="007C29EE" w:rsidP="00980CAA">
            <w:pPr>
              <w:widowControl w:val="0"/>
              <w:spacing w:after="0" w:line="240" w:lineRule="auto"/>
              <w:jc w:val="both"/>
              <w:rPr>
                <w:noProof/>
                <w:lang w:eastAsia="lv-LV"/>
              </w:rPr>
            </w:pPr>
          </w:p>
        </w:tc>
      </w:tr>
      <w:tr w:rsidR="007C29EE" w:rsidRPr="00530266" w14:paraId="0296E297"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tcPr>
          <w:p w14:paraId="6E84EB3F"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c>
          <w:tcPr>
            <w:tcW w:w="4472" w:type="pct"/>
            <w:gridSpan w:val="8"/>
            <w:vMerge/>
            <w:tcBorders>
              <w:top w:val="outset" w:sz="6" w:space="0" w:color="auto"/>
              <w:left w:val="outset" w:sz="6" w:space="0" w:color="auto"/>
              <w:bottom w:val="outset" w:sz="6" w:space="0" w:color="auto"/>
              <w:right w:val="outset" w:sz="6" w:space="0" w:color="auto"/>
            </w:tcBorders>
            <w:vAlign w:val="center"/>
          </w:tcPr>
          <w:p w14:paraId="7C41C7B2" w14:textId="77777777" w:rsidR="007C29EE" w:rsidRPr="00530266" w:rsidRDefault="007C29EE" w:rsidP="00980CAA">
            <w:pPr>
              <w:widowControl w:val="0"/>
              <w:spacing w:after="0" w:line="240" w:lineRule="auto"/>
              <w:ind w:firstLine="298"/>
              <w:jc w:val="both"/>
              <w:rPr>
                <w:rFonts w:ascii="Times New Roman" w:eastAsia="Times New Roman" w:hAnsi="Times New Roman" w:cs="Times New Roman"/>
                <w:noProof/>
                <w:sz w:val="24"/>
                <w:szCs w:val="24"/>
                <w:lang w:eastAsia="lv-LV"/>
              </w:rPr>
            </w:pPr>
          </w:p>
        </w:tc>
      </w:tr>
      <w:tr w:rsidR="007C29EE" w:rsidRPr="00530266" w14:paraId="4E5D0A52"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717F761F"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6.1. detalizēts ieņēmumu aprēķins</w:t>
            </w:r>
          </w:p>
        </w:tc>
        <w:tc>
          <w:tcPr>
            <w:tcW w:w="4472" w:type="pct"/>
            <w:gridSpan w:val="8"/>
            <w:vMerge/>
            <w:tcBorders>
              <w:top w:val="outset" w:sz="6" w:space="0" w:color="auto"/>
              <w:left w:val="outset" w:sz="6" w:space="0" w:color="auto"/>
              <w:bottom w:val="outset" w:sz="6" w:space="0" w:color="auto"/>
              <w:right w:val="outset" w:sz="6" w:space="0" w:color="auto"/>
            </w:tcBorders>
            <w:vAlign w:val="center"/>
            <w:hideMark/>
          </w:tcPr>
          <w:p w14:paraId="41E3771A"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r>
      <w:tr w:rsidR="007C29EE" w:rsidRPr="00530266" w14:paraId="797D326A"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6261B884"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lastRenderedPageBreak/>
              <w:t>6.2. detalizēts izdevumu aprēķins</w:t>
            </w:r>
          </w:p>
        </w:tc>
        <w:tc>
          <w:tcPr>
            <w:tcW w:w="4472" w:type="pct"/>
            <w:gridSpan w:val="8"/>
            <w:vMerge/>
            <w:tcBorders>
              <w:top w:val="outset" w:sz="6" w:space="0" w:color="auto"/>
              <w:left w:val="outset" w:sz="6" w:space="0" w:color="auto"/>
              <w:bottom w:val="outset" w:sz="6" w:space="0" w:color="auto"/>
              <w:right w:val="outset" w:sz="6" w:space="0" w:color="auto"/>
            </w:tcBorders>
            <w:vAlign w:val="center"/>
            <w:hideMark/>
          </w:tcPr>
          <w:p w14:paraId="59F079CA"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p>
        </w:tc>
      </w:tr>
      <w:tr w:rsidR="007C29EE" w:rsidRPr="00530266" w14:paraId="758B4A4C"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53040C42"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lastRenderedPageBreak/>
              <w:t>7. Amata vietu skaita izmaiņas</w:t>
            </w:r>
          </w:p>
        </w:tc>
        <w:tc>
          <w:tcPr>
            <w:tcW w:w="4472" w:type="pct"/>
            <w:gridSpan w:val="8"/>
            <w:tcBorders>
              <w:top w:val="outset" w:sz="6" w:space="0" w:color="auto"/>
              <w:left w:val="outset" w:sz="6" w:space="0" w:color="auto"/>
              <w:bottom w:val="outset" w:sz="6" w:space="0" w:color="auto"/>
              <w:right w:val="outset" w:sz="6" w:space="0" w:color="auto"/>
            </w:tcBorders>
            <w:hideMark/>
          </w:tcPr>
          <w:p w14:paraId="5D5734A3"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Nav</w:t>
            </w:r>
          </w:p>
        </w:tc>
      </w:tr>
      <w:tr w:rsidR="007C29EE" w:rsidRPr="00530266" w14:paraId="5F63875F" w14:textId="77777777" w:rsidTr="007C29EE">
        <w:tblPrEx>
          <w:tblCellSpacing w:w="15" w:type="dxa"/>
          <w:tblBorders>
            <w:top w:val="outset" w:sz="6" w:space="0" w:color="auto"/>
            <w:left w:val="outset" w:sz="6" w:space="0" w:color="auto"/>
            <w:bottom w:val="outset" w:sz="6" w:space="0" w:color="auto"/>
            <w:right w:val="outset" w:sz="6" w:space="0" w:color="auto"/>
          </w:tblBorders>
          <w:shd w:val="clear" w:color="auto" w:fill="auto"/>
        </w:tblPrEx>
        <w:trPr>
          <w:tblCellSpacing w:w="15" w:type="dxa"/>
        </w:trPr>
        <w:tc>
          <w:tcPr>
            <w:tcW w:w="528" w:type="pct"/>
            <w:gridSpan w:val="2"/>
            <w:tcBorders>
              <w:top w:val="outset" w:sz="6" w:space="0" w:color="auto"/>
              <w:left w:val="outset" w:sz="6" w:space="0" w:color="auto"/>
              <w:bottom w:val="outset" w:sz="6" w:space="0" w:color="auto"/>
              <w:right w:val="outset" w:sz="6" w:space="0" w:color="auto"/>
            </w:tcBorders>
            <w:hideMark/>
          </w:tcPr>
          <w:p w14:paraId="7BAE33D3" w14:textId="77777777" w:rsidR="007C29EE" w:rsidRPr="00530266" w:rsidRDefault="007C29EE" w:rsidP="00980CAA">
            <w:pPr>
              <w:spacing w:after="0" w:line="240" w:lineRule="auto"/>
              <w:rPr>
                <w:rFonts w:ascii="Times New Roman" w:eastAsia="Times New Roman" w:hAnsi="Times New Roman" w:cs="Times New Roman"/>
                <w:iCs/>
                <w:sz w:val="24"/>
                <w:szCs w:val="24"/>
                <w:lang w:eastAsia="lv-LV"/>
              </w:rPr>
            </w:pPr>
            <w:r w:rsidRPr="00530266">
              <w:rPr>
                <w:rFonts w:ascii="Times New Roman" w:eastAsia="Times New Roman" w:hAnsi="Times New Roman" w:cs="Times New Roman"/>
                <w:iCs/>
                <w:sz w:val="24"/>
                <w:szCs w:val="24"/>
                <w:lang w:eastAsia="lv-LV"/>
              </w:rPr>
              <w:t>8. Cita informācija</w:t>
            </w:r>
          </w:p>
        </w:tc>
        <w:tc>
          <w:tcPr>
            <w:tcW w:w="4472" w:type="pct"/>
            <w:gridSpan w:val="8"/>
            <w:tcBorders>
              <w:top w:val="outset" w:sz="6" w:space="0" w:color="auto"/>
              <w:left w:val="outset" w:sz="6" w:space="0" w:color="auto"/>
              <w:bottom w:val="outset" w:sz="6" w:space="0" w:color="auto"/>
              <w:right w:val="outset" w:sz="6" w:space="0" w:color="auto"/>
            </w:tcBorders>
            <w:hideMark/>
          </w:tcPr>
          <w:p w14:paraId="65072D58" w14:textId="77777777" w:rsidR="007C29EE" w:rsidRPr="00530266" w:rsidRDefault="007C29EE" w:rsidP="00980CAA">
            <w:pPr>
              <w:spacing w:after="0" w:line="240" w:lineRule="auto"/>
              <w:contextualSpacing/>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Nav</w:t>
            </w:r>
          </w:p>
        </w:tc>
      </w:tr>
    </w:tbl>
    <w:p w14:paraId="112C47DF" w14:textId="77777777" w:rsidR="00BE47F1" w:rsidRPr="00530266" w:rsidRDefault="00BE47F1" w:rsidP="00BE47F1">
      <w:pPr>
        <w:pStyle w:val="Title"/>
        <w:ind w:firstLine="539"/>
        <w:jc w:val="both"/>
        <w:rPr>
          <w:i/>
          <w:sz w:val="24"/>
          <w:szCs w:val="24"/>
        </w:rPr>
      </w:pPr>
    </w:p>
    <w:p w14:paraId="6ACDEB35" w14:textId="77777777" w:rsidR="00BE47F1" w:rsidRPr="00530266" w:rsidRDefault="00BE47F1" w:rsidP="00BE47F1">
      <w:pPr>
        <w:pStyle w:val="Title"/>
        <w:ind w:firstLine="539"/>
        <w:jc w:val="both"/>
        <w:rPr>
          <w:sz w:val="24"/>
          <w:szCs w:val="24"/>
        </w:rPr>
      </w:pPr>
    </w:p>
    <w:p w14:paraId="78C54F1B" w14:textId="77777777" w:rsidR="00BE47F1" w:rsidRPr="00530266" w:rsidRDefault="00BE47F1" w:rsidP="00BE47F1">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98"/>
      </w:tblGrid>
      <w:tr w:rsidR="00BE47F1" w:rsidRPr="00530266" w14:paraId="648187A6" w14:textId="77777777" w:rsidTr="00980CAA">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78AC94"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30266">
              <w:rPr>
                <w:rFonts w:ascii="Times New Roman" w:eastAsia="Times New Roman" w:hAnsi="Times New Roman" w:cs="Times New Roman"/>
                <w:b/>
                <w:bCs/>
                <w:sz w:val="24"/>
                <w:szCs w:val="24"/>
                <w:lang w:eastAsia="lv-LV"/>
              </w:rPr>
              <w:t>IV. Tiesību akta projekta ietekme uz spēkā esošo tiesību normu sistēmu</w:t>
            </w:r>
          </w:p>
        </w:tc>
      </w:tr>
      <w:tr w:rsidR="00742975" w:rsidRPr="00530266" w14:paraId="3AA1A39F" w14:textId="77777777" w:rsidTr="00980CAA">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00B4FEDA" w14:textId="65CC14EA" w:rsidR="00742975" w:rsidRPr="00530266" w:rsidRDefault="00742975" w:rsidP="00742975">
            <w:pPr>
              <w:spacing w:before="100" w:beforeAutospacing="1" w:after="100" w:afterAutospacing="1" w:line="293" w:lineRule="atLeast"/>
              <w:rPr>
                <w:rFonts w:ascii="Times New Roman" w:eastAsia="Times New Roman" w:hAnsi="Times New Roman" w:cs="Times New Roman"/>
                <w:b/>
                <w:bCs/>
                <w:sz w:val="24"/>
                <w:szCs w:val="24"/>
                <w:lang w:eastAsia="lv-LV"/>
              </w:rPr>
            </w:pPr>
            <w:r w:rsidRPr="00530266">
              <w:rPr>
                <w:rFonts w:ascii="Times New Roman" w:eastAsia="Times New Roman" w:hAnsi="Times New Roman" w:cs="Times New Roman"/>
                <w:iCs/>
                <w:sz w:val="24"/>
                <w:szCs w:val="24"/>
                <w:lang w:eastAsia="lv-LV"/>
              </w:rPr>
              <w:t>Projekts šo jomu neskar</w:t>
            </w:r>
          </w:p>
        </w:tc>
      </w:tr>
    </w:tbl>
    <w:p w14:paraId="2CA8D050" w14:textId="5DC0C1DB" w:rsidR="00BE47F1" w:rsidRPr="00530266" w:rsidRDefault="00BE47F1" w:rsidP="00BE47F1">
      <w:pPr>
        <w:jc w:val="both"/>
        <w:rPr>
          <w:rFonts w:ascii="Times New Roman" w:hAnsi="Times New Roman" w:cs="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4"/>
        <w:gridCol w:w="2906"/>
        <w:gridCol w:w="6296"/>
      </w:tblGrid>
      <w:tr w:rsidR="00BE47F1" w:rsidRPr="00530266" w14:paraId="019C458E" w14:textId="77777777" w:rsidTr="00980CAA">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34C4FBF"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30266">
              <w:rPr>
                <w:rFonts w:ascii="Times New Roman" w:eastAsia="Times New Roman" w:hAnsi="Times New Roman" w:cs="Times New Roman"/>
                <w:b/>
                <w:bCs/>
                <w:sz w:val="24"/>
                <w:szCs w:val="24"/>
                <w:lang w:eastAsia="lv-LV"/>
              </w:rPr>
              <w:t>VI. Sabiedrības līdzdalība un komunikācijas aktivitātes</w:t>
            </w:r>
          </w:p>
        </w:tc>
      </w:tr>
      <w:tr w:rsidR="00BE47F1" w:rsidRPr="00530266" w14:paraId="64261D23" w14:textId="77777777" w:rsidTr="00980CAA">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14:paraId="63251307"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14:paraId="2057E776"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14:paraId="53F11E59" w14:textId="27CA9A8B" w:rsidR="00BE47F1" w:rsidRPr="00530266" w:rsidRDefault="00FA1FFA" w:rsidP="00E12258">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 xml:space="preserve">Sabiedriskā apspriede. </w:t>
            </w:r>
          </w:p>
        </w:tc>
      </w:tr>
      <w:tr w:rsidR="00BE47F1" w:rsidRPr="00530266" w14:paraId="1A4659F0" w14:textId="77777777" w:rsidTr="00980CAA">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14:paraId="2538BBA2"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14:paraId="0C82E941"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14:paraId="153B2D52" w14:textId="3BC03D79" w:rsidR="00BE47F1" w:rsidRPr="00530266" w:rsidRDefault="000B062B" w:rsidP="00980CAA">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Informācija tiks precizēta</w:t>
            </w:r>
            <w:r w:rsidR="00BE47F1" w:rsidRPr="00530266">
              <w:rPr>
                <w:rFonts w:ascii="Times New Roman" w:eastAsia="Times New Roman" w:hAnsi="Times New Roman" w:cs="Times New Roman"/>
                <w:sz w:val="24"/>
                <w:szCs w:val="24"/>
                <w:lang w:eastAsia="lv-LV"/>
              </w:rPr>
              <w:t xml:space="preserve">.  </w:t>
            </w:r>
          </w:p>
        </w:tc>
      </w:tr>
      <w:tr w:rsidR="00BE47F1" w:rsidRPr="00530266" w14:paraId="6FBF514B" w14:textId="77777777" w:rsidTr="00980CAA">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7F51A0A"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14:paraId="30F4C0E8"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14:paraId="389964DD" w14:textId="7CE4D61F" w:rsidR="00BE47F1" w:rsidRPr="00530266" w:rsidRDefault="000B062B" w:rsidP="00980CAA">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Informācija tiks precizēta.</w:t>
            </w:r>
          </w:p>
        </w:tc>
      </w:tr>
      <w:tr w:rsidR="00BE47F1" w:rsidRPr="00530266" w14:paraId="1EC2CB54" w14:textId="77777777" w:rsidTr="00980CAA">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99E9060"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14:paraId="73157C87"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14:paraId="1A573617" w14:textId="77777777" w:rsidR="00BE47F1" w:rsidRPr="00530266" w:rsidRDefault="00BE47F1" w:rsidP="00980CAA">
            <w:pPr>
              <w:spacing w:after="0" w:line="240" w:lineRule="auto"/>
              <w:jc w:val="both"/>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Nav</w:t>
            </w:r>
          </w:p>
        </w:tc>
      </w:tr>
    </w:tbl>
    <w:p w14:paraId="31FF071F" w14:textId="77777777" w:rsidR="00BE47F1" w:rsidRPr="00530266" w:rsidRDefault="00BE47F1" w:rsidP="00BE47F1">
      <w:pPr>
        <w:jc w:val="both"/>
        <w:rPr>
          <w:rFonts w:ascii="Times New Roman" w:hAnsi="Times New Roman" w:cs="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84"/>
        <w:gridCol w:w="3681"/>
        <w:gridCol w:w="5521"/>
      </w:tblGrid>
      <w:tr w:rsidR="00BE47F1" w:rsidRPr="00530266" w14:paraId="4757CB09" w14:textId="77777777" w:rsidTr="00980CAA">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FC0ED2E" w14:textId="77777777" w:rsidR="00BE47F1" w:rsidRPr="00530266" w:rsidRDefault="00BE47F1" w:rsidP="00980CA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530266">
              <w:rPr>
                <w:rFonts w:ascii="Times New Roman" w:eastAsia="Times New Roman" w:hAnsi="Times New Roman" w:cs="Times New Roman"/>
                <w:b/>
                <w:bCs/>
                <w:sz w:val="24"/>
                <w:szCs w:val="24"/>
                <w:lang w:eastAsia="lv-LV"/>
              </w:rPr>
              <w:t>VII. Tiesību akta projekta izpildes nodrošināšana un tās ietekme uz institūcijām</w:t>
            </w:r>
          </w:p>
        </w:tc>
      </w:tr>
      <w:tr w:rsidR="00BE47F1" w:rsidRPr="00530266" w14:paraId="53F88530" w14:textId="77777777" w:rsidTr="00980CAA">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0E15037F"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5733CFD7"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79B9477D"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Nacionālais veselības dienests, Veselības inspekcija, Zāļu valsts aģentūra</w:t>
            </w:r>
          </w:p>
        </w:tc>
      </w:tr>
      <w:tr w:rsidR="00BE47F1" w:rsidRPr="00530266" w14:paraId="1B92185A" w14:textId="77777777" w:rsidTr="00980CAA">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001A692B"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14:paraId="10414B39"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Projekta izpildes ietekme uz pārvaldes funkcijām un institucionālo struktūru.</w:t>
            </w:r>
          </w:p>
          <w:p w14:paraId="33EF90D1" w14:textId="77777777" w:rsidR="00BE47F1" w:rsidRPr="00530266" w:rsidRDefault="00BE47F1" w:rsidP="00980CAA">
            <w:pPr>
              <w:spacing w:before="100" w:beforeAutospacing="1" w:after="100" w:afterAutospacing="1" w:line="293" w:lineRule="atLeast"/>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0893723C"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Projekts šo jomu neskar</w:t>
            </w:r>
          </w:p>
        </w:tc>
      </w:tr>
      <w:tr w:rsidR="00BE47F1" w:rsidRPr="00530266" w14:paraId="04D4ED76" w14:textId="77777777" w:rsidTr="00980CAA">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4EBD0325"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442E8319"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47683C0F" w14:textId="77777777" w:rsidR="00BE47F1" w:rsidRPr="00530266" w:rsidRDefault="00BE47F1" w:rsidP="00980CAA">
            <w:pPr>
              <w:spacing w:after="0" w:line="240" w:lineRule="auto"/>
              <w:rPr>
                <w:rFonts w:ascii="Times New Roman" w:eastAsia="Times New Roman" w:hAnsi="Times New Roman" w:cs="Times New Roman"/>
                <w:sz w:val="24"/>
                <w:szCs w:val="24"/>
                <w:lang w:eastAsia="lv-LV"/>
              </w:rPr>
            </w:pPr>
            <w:r w:rsidRPr="00530266">
              <w:rPr>
                <w:rFonts w:ascii="Times New Roman" w:eastAsia="Times New Roman" w:hAnsi="Times New Roman" w:cs="Times New Roman"/>
                <w:sz w:val="24"/>
                <w:szCs w:val="24"/>
                <w:lang w:eastAsia="lv-LV"/>
              </w:rPr>
              <w:t>Nav</w:t>
            </w:r>
          </w:p>
        </w:tc>
      </w:tr>
    </w:tbl>
    <w:p w14:paraId="46754C0F" w14:textId="46D9CC4B" w:rsidR="00BE47F1" w:rsidRPr="00530266" w:rsidRDefault="00BE47F1" w:rsidP="00BE47F1">
      <w:pPr>
        <w:tabs>
          <w:tab w:val="left" w:pos="7230"/>
          <w:tab w:val="right" w:pos="9072"/>
        </w:tabs>
        <w:ind w:right="-765"/>
        <w:rPr>
          <w:rFonts w:ascii="Times New Roman" w:eastAsia="Calibri" w:hAnsi="Times New Roman" w:cs="Times New Roman"/>
          <w:sz w:val="24"/>
          <w:szCs w:val="24"/>
        </w:rPr>
      </w:pPr>
    </w:p>
    <w:p w14:paraId="0453AC83" w14:textId="77777777" w:rsidR="00A73CCC" w:rsidRPr="00530266" w:rsidRDefault="00A73CCC" w:rsidP="00BE47F1">
      <w:pPr>
        <w:tabs>
          <w:tab w:val="left" w:pos="7230"/>
          <w:tab w:val="right" w:pos="9072"/>
        </w:tabs>
        <w:ind w:right="-765"/>
        <w:rPr>
          <w:rFonts w:ascii="Times New Roman" w:eastAsia="Calibri" w:hAnsi="Times New Roman" w:cs="Times New Roman"/>
          <w:sz w:val="28"/>
          <w:szCs w:val="28"/>
        </w:rPr>
      </w:pPr>
    </w:p>
    <w:p w14:paraId="1CF3AC4D" w14:textId="64895A22" w:rsidR="00BE47F1" w:rsidRPr="00530266" w:rsidRDefault="00BE47F1" w:rsidP="00BE47F1">
      <w:pPr>
        <w:tabs>
          <w:tab w:val="left" w:pos="7230"/>
          <w:tab w:val="right" w:pos="9072"/>
        </w:tabs>
        <w:ind w:right="-765"/>
        <w:rPr>
          <w:rFonts w:ascii="Times New Roman" w:eastAsia="Calibri" w:hAnsi="Times New Roman" w:cs="Times New Roman"/>
          <w:sz w:val="28"/>
          <w:szCs w:val="28"/>
        </w:rPr>
      </w:pPr>
      <w:r w:rsidRPr="00530266">
        <w:rPr>
          <w:rFonts w:ascii="Times New Roman" w:eastAsia="Calibri" w:hAnsi="Times New Roman" w:cs="Times New Roman"/>
          <w:sz w:val="28"/>
          <w:szCs w:val="28"/>
        </w:rPr>
        <w:t>Veselības ministre</w:t>
      </w:r>
      <w:r w:rsidRPr="00530266">
        <w:rPr>
          <w:rFonts w:ascii="Times New Roman" w:eastAsia="Calibri" w:hAnsi="Times New Roman" w:cs="Times New Roman"/>
          <w:sz w:val="28"/>
          <w:szCs w:val="28"/>
        </w:rPr>
        <w:tab/>
        <w:t xml:space="preserve">                    I</w:t>
      </w:r>
      <w:r w:rsidR="00C40B85" w:rsidRPr="00530266">
        <w:rPr>
          <w:rFonts w:ascii="Times New Roman" w:eastAsia="Calibri" w:hAnsi="Times New Roman" w:cs="Times New Roman"/>
          <w:sz w:val="28"/>
          <w:szCs w:val="28"/>
        </w:rPr>
        <w:t>.</w:t>
      </w:r>
      <w:r w:rsidRPr="00530266">
        <w:rPr>
          <w:rFonts w:ascii="Times New Roman" w:eastAsia="Calibri" w:hAnsi="Times New Roman" w:cs="Times New Roman"/>
          <w:sz w:val="28"/>
          <w:szCs w:val="28"/>
        </w:rPr>
        <w:t xml:space="preserve"> Viņķele </w:t>
      </w:r>
    </w:p>
    <w:p w14:paraId="4B25B913" w14:textId="77777777" w:rsidR="00BE47F1" w:rsidRPr="00530266" w:rsidRDefault="00BE47F1" w:rsidP="00BE47F1">
      <w:pPr>
        <w:tabs>
          <w:tab w:val="left" w:pos="7230"/>
          <w:tab w:val="right" w:pos="9072"/>
        </w:tabs>
        <w:ind w:right="-765"/>
        <w:rPr>
          <w:rFonts w:ascii="Times New Roman" w:eastAsia="Calibri" w:hAnsi="Times New Roman" w:cs="Times New Roman"/>
          <w:sz w:val="28"/>
          <w:szCs w:val="28"/>
        </w:rPr>
      </w:pPr>
    </w:p>
    <w:p w14:paraId="0139E31A" w14:textId="1098A50B" w:rsidR="00BE47F1" w:rsidRPr="00530266" w:rsidRDefault="00BE47F1" w:rsidP="00BE47F1">
      <w:pPr>
        <w:tabs>
          <w:tab w:val="left" w:pos="7230"/>
          <w:tab w:val="right" w:pos="9072"/>
        </w:tabs>
        <w:ind w:right="-765"/>
        <w:rPr>
          <w:rFonts w:ascii="Times New Roman" w:hAnsi="Times New Roman" w:cs="Times New Roman"/>
          <w:sz w:val="28"/>
          <w:szCs w:val="28"/>
        </w:rPr>
      </w:pPr>
      <w:r w:rsidRPr="00530266">
        <w:rPr>
          <w:rFonts w:ascii="Times New Roman" w:eastAsia="Calibri" w:hAnsi="Times New Roman" w:cs="Times New Roman"/>
          <w:sz w:val="28"/>
          <w:szCs w:val="28"/>
        </w:rPr>
        <w:t>Vīza: Valsts sekretāre</w:t>
      </w:r>
      <w:r w:rsidRPr="00530266">
        <w:rPr>
          <w:rFonts w:ascii="Times New Roman" w:eastAsia="Calibri" w:hAnsi="Times New Roman" w:cs="Times New Roman"/>
          <w:sz w:val="28"/>
          <w:szCs w:val="28"/>
        </w:rPr>
        <w:tab/>
        <w:t>D</w:t>
      </w:r>
      <w:r w:rsidR="00C40B85" w:rsidRPr="00530266">
        <w:rPr>
          <w:rFonts w:ascii="Times New Roman" w:eastAsia="Calibri" w:hAnsi="Times New Roman" w:cs="Times New Roman"/>
          <w:sz w:val="28"/>
          <w:szCs w:val="28"/>
        </w:rPr>
        <w:t>.</w:t>
      </w:r>
      <w:r w:rsidRPr="00530266">
        <w:rPr>
          <w:rFonts w:ascii="Times New Roman" w:eastAsia="Calibri" w:hAnsi="Times New Roman" w:cs="Times New Roman"/>
          <w:sz w:val="28"/>
          <w:szCs w:val="28"/>
        </w:rPr>
        <w:t xml:space="preserve"> Mūrmane-Umbraško</w:t>
      </w:r>
    </w:p>
    <w:p w14:paraId="24C9FDB7" w14:textId="77777777" w:rsidR="00BE47F1" w:rsidRPr="00530266" w:rsidRDefault="00BE47F1" w:rsidP="00BE47F1">
      <w:pPr>
        <w:tabs>
          <w:tab w:val="left" w:pos="6237"/>
        </w:tabs>
        <w:spacing w:after="0" w:line="240" w:lineRule="auto"/>
        <w:rPr>
          <w:rFonts w:ascii="Times New Roman" w:eastAsia="Calibri" w:hAnsi="Times New Roman" w:cs="Times New Roman"/>
          <w:sz w:val="24"/>
          <w:szCs w:val="24"/>
        </w:rPr>
      </w:pPr>
    </w:p>
    <w:p w14:paraId="3C8CC882" w14:textId="190DCF1F" w:rsidR="00076AF1" w:rsidRPr="00530266" w:rsidRDefault="00076AF1" w:rsidP="000B062B">
      <w:pPr>
        <w:tabs>
          <w:tab w:val="left" w:pos="6237"/>
        </w:tabs>
        <w:spacing w:after="0" w:line="240" w:lineRule="auto"/>
        <w:rPr>
          <w:rFonts w:ascii="Times New Roman" w:hAnsi="Times New Roman" w:cs="Times New Roman"/>
          <w:sz w:val="24"/>
          <w:szCs w:val="28"/>
        </w:rPr>
      </w:pPr>
    </w:p>
    <w:p w14:paraId="41CF8E36" w14:textId="77777777" w:rsidR="00A73CCC" w:rsidRPr="00530266" w:rsidRDefault="00A73CCC" w:rsidP="000B062B">
      <w:pPr>
        <w:tabs>
          <w:tab w:val="left" w:pos="6237"/>
        </w:tabs>
        <w:spacing w:after="0" w:line="240" w:lineRule="auto"/>
        <w:rPr>
          <w:rFonts w:ascii="Times New Roman" w:hAnsi="Times New Roman" w:cs="Times New Roman"/>
          <w:sz w:val="24"/>
          <w:szCs w:val="28"/>
        </w:rPr>
      </w:pPr>
    </w:p>
    <w:p w14:paraId="76917058" w14:textId="77777777" w:rsidR="00076AF1" w:rsidRPr="00530266" w:rsidRDefault="00076AF1" w:rsidP="000B062B">
      <w:pPr>
        <w:tabs>
          <w:tab w:val="left" w:pos="6237"/>
        </w:tabs>
        <w:spacing w:after="0" w:line="240" w:lineRule="auto"/>
        <w:rPr>
          <w:rFonts w:ascii="Times New Roman" w:hAnsi="Times New Roman" w:cs="Times New Roman"/>
          <w:sz w:val="24"/>
          <w:szCs w:val="28"/>
        </w:rPr>
      </w:pPr>
    </w:p>
    <w:p w14:paraId="5A8CF84A" w14:textId="77777777" w:rsidR="00076AF1" w:rsidRPr="00530266" w:rsidRDefault="00076AF1" w:rsidP="000B062B">
      <w:pPr>
        <w:tabs>
          <w:tab w:val="left" w:pos="6237"/>
        </w:tabs>
        <w:spacing w:after="0" w:line="240" w:lineRule="auto"/>
        <w:rPr>
          <w:rFonts w:ascii="Times New Roman" w:hAnsi="Times New Roman" w:cs="Times New Roman"/>
          <w:sz w:val="24"/>
          <w:szCs w:val="28"/>
        </w:rPr>
      </w:pPr>
    </w:p>
    <w:p w14:paraId="5BE9EBB5" w14:textId="448FC532" w:rsidR="000B062B" w:rsidRPr="00530266" w:rsidRDefault="000B062B" w:rsidP="000B062B">
      <w:pPr>
        <w:tabs>
          <w:tab w:val="left" w:pos="6237"/>
        </w:tabs>
        <w:spacing w:after="0" w:line="240" w:lineRule="auto"/>
        <w:rPr>
          <w:rFonts w:ascii="Times New Roman" w:hAnsi="Times New Roman" w:cs="Times New Roman"/>
          <w:sz w:val="24"/>
          <w:szCs w:val="28"/>
        </w:rPr>
      </w:pPr>
      <w:r w:rsidRPr="00530266">
        <w:rPr>
          <w:rFonts w:ascii="Times New Roman" w:hAnsi="Times New Roman" w:cs="Times New Roman"/>
          <w:sz w:val="24"/>
          <w:szCs w:val="28"/>
        </w:rPr>
        <w:t>Artūrs Grīgs 67876116</w:t>
      </w:r>
    </w:p>
    <w:p w14:paraId="38045CCA" w14:textId="77777777" w:rsidR="000B062B" w:rsidRPr="00373D9F" w:rsidRDefault="000B062B" w:rsidP="000B062B">
      <w:pPr>
        <w:tabs>
          <w:tab w:val="left" w:pos="6237"/>
        </w:tabs>
        <w:spacing w:after="0" w:line="240" w:lineRule="auto"/>
        <w:rPr>
          <w:rFonts w:ascii="Times New Roman" w:hAnsi="Times New Roman" w:cs="Times New Roman"/>
          <w:sz w:val="24"/>
          <w:szCs w:val="28"/>
        </w:rPr>
      </w:pPr>
      <w:r w:rsidRPr="00530266">
        <w:rPr>
          <w:rFonts w:ascii="Times New Roman" w:hAnsi="Times New Roman" w:cs="Times New Roman"/>
          <w:sz w:val="24"/>
          <w:szCs w:val="28"/>
        </w:rPr>
        <w:t>Arturs.Grigs@vm.gov.lv</w:t>
      </w:r>
    </w:p>
    <w:p w14:paraId="3679D13E" w14:textId="7DD1279F" w:rsidR="00BE47F1" w:rsidRPr="00F36580" w:rsidRDefault="00BE47F1" w:rsidP="000B062B">
      <w:pPr>
        <w:tabs>
          <w:tab w:val="left" w:pos="6237"/>
        </w:tabs>
        <w:spacing w:after="0" w:line="240" w:lineRule="auto"/>
        <w:rPr>
          <w:rFonts w:ascii="Times New Roman" w:eastAsia="Calibri" w:hAnsi="Times New Roman" w:cs="Times New Roman"/>
          <w:sz w:val="24"/>
          <w:szCs w:val="24"/>
        </w:rPr>
      </w:pPr>
    </w:p>
    <w:sectPr w:rsidR="00BE47F1" w:rsidRPr="00F36580" w:rsidSect="00233229">
      <w:headerReference w:type="default" r:id="rId8"/>
      <w:footerReference w:type="default" r:id="rId9"/>
      <w:footerReference w:type="first" r:id="rId10"/>
      <w:pgSz w:w="11906" w:h="16838"/>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6FC86" w14:textId="77777777" w:rsidR="008849FA" w:rsidRDefault="008849FA" w:rsidP="00CB7F50">
      <w:pPr>
        <w:spacing w:after="0" w:line="240" w:lineRule="auto"/>
      </w:pPr>
      <w:r>
        <w:separator/>
      </w:r>
    </w:p>
  </w:endnote>
  <w:endnote w:type="continuationSeparator" w:id="0">
    <w:p w14:paraId="5EE7C86B" w14:textId="77777777" w:rsidR="008849FA" w:rsidRDefault="008849FA" w:rsidP="00CB7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B2217" w14:textId="6E711A35" w:rsidR="00980CAA" w:rsidRDefault="00980CAA" w:rsidP="00876267">
    <w:pPr>
      <w:pStyle w:val="Footer"/>
    </w:pPr>
    <w:bookmarkStart w:id="1" w:name="_Hlk30500116"/>
    <w:r w:rsidRPr="00C62749">
      <w:t>VManot_</w:t>
    </w:r>
    <w:r w:rsidR="008B25BF">
      <w:t>0604</w:t>
    </w:r>
    <w:r>
      <w:t>20</w:t>
    </w:r>
    <w:r w:rsidRPr="00C62749">
      <w:t>_</w:t>
    </w:r>
    <w:r w:rsidRPr="009A051C">
      <w:t xml:space="preserve"> </w:t>
    </w:r>
    <w:r>
      <w:t>MK899</w:t>
    </w:r>
  </w:p>
  <w:bookmarkEnd w:id="1"/>
  <w:p w14:paraId="250A06E5" w14:textId="5A321922" w:rsidR="00980CAA" w:rsidRPr="00876267" w:rsidRDefault="00980CAA" w:rsidP="0087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49B6" w14:textId="4593289C" w:rsidR="00980CAA" w:rsidRDefault="00980CAA" w:rsidP="0017706D">
    <w:pPr>
      <w:pStyle w:val="Footer"/>
    </w:pPr>
    <w:r w:rsidRPr="00C62749">
      <w:t>VManot_</w:t>
    </w:r>
    <w:r w:rsidR="008B25BF">
      <w:t>06</w:t>
    </w:r>
    <w:r>
      <w:t>0</w:t>
    </w:r>
    <w:r w:rsidR="008B25BF">
      <w:t>4</w:t>
    </w:r>
    <w:r>
      <w:t>20</w:t>
    </w:r>
    <w:r w:rsidRPr="00C62749">
      <w:t>_</w:t>
    </w:r>
    <w:r w:rsidRPr="009A051C">
      <w:t xml:space="preserve"> </w:t>
    </w:r>
    <w:r>
      <w:t>MK899</w:t>
    </w:r>
  </w:p>
  <w:p w14:paraId="394CA937" w14:textId="2941D034" w:rsidR="00980CAA" w:rsidRPr="00742975" w:rsidRDefault="00980CAA" w:rsidP="0074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35F5" w14:textId="77777777" w:rsidR="008849FA" w:rsidRDefault="008849FA" w:rsidP="00CB7F50">
      <w:pPr>
        <w:spacing w:after="0" w:line="240" w:lineRule="auto"/>
      </w:pPr>
      <w:r>
        <w:separator/>
      </w:r>
    </w:p>
  </w:footnote>
  <w:footnote w:type="continuationSeparator" w:id="0">
    <w:p w14:paraId="2BCD583A" w14:textId="77777777" w:rsidR="008849FA" w:rsidRDefault="008849FA" w:rsidP="00CB7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777773"/>
      <w:docPartObj>
        <w:docPartGallery w:val="Page Numbers (Top of Page)"/>
        <w:docPartUnique/>
      </w:docPartObj>
    </w:sdtPr>
    <w:sdtEndPr>
      <w:rPr>
        <w:noProof/>
      </w:rPr>
    </w:sdtEndPr>
    <w:sdtContent>
      <w:p w14:paraId="7E969985" w14:textId="00D7376D" w:rsidR="00980CAA" w:rsidRDefault="00980CAA">
        <w:pPr>
          <w:pStyle w:val="Header"/>
          <w:jc w:val="center"/>
        </w:pPr>
        <w:r>
          <w:fldChar w:fldCharType="begin"/>
        </w:r>
        <w:r>
          <w:instrText xml:space="preserve"> PAGE   \* MERGEFORMAT </w:instrText>
        </w:r>
        <w:r>
          <w:fldChar w:fldCharType="separate"/>
        </w:r>
        <w:r w:rsidR="008B25BF">
          <w:rPr>
            <w:noProof/>
          </w:rPr>
          <w:t>2</w:t>
        </w:r>
        <w:r>
          <w:rPr>
            <w:noProof/>
          </w:rPr>
          <w:fldChar w:fldCharType="end"/>
        </w:r>
      </w:p>
    </w:sdtContent>
  </w:sdt>
  <w:p w14:paraId="3AE3BA4C" w14:textId="77777777" w:rsidR="00980CAA" w:rsidRDefault="0098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909BB"/>
    <w:multiLevelType w:val="hybridMultilevel"/>
    <w:tmpl w:val="D28E37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781"/>
    <w:rsid w:val="00007A14"/>
    <w:rsid w:val="00015CE5"/>
    <w:rsid w:val="00023773"/>
    <w:rsid w:val="00025C2D"/>
    <w:rsid w:val="0003254C"/>
    <w:rsid w:val="0003615A"/>
    <w:rsid w:val="00046645"/>
    <w:rsid w:val="0006780A"/>
    <w:rsid w:val="00076AF1"/>
    <w:rsid w:val="00083DDC"/>
    <w:rsid w:val="00091C41"/>
    <w:rsid w:val="0009393C"/>
    <w:rsid w:val="000A729B"/>
    <w:rsid w:val="000B062B"/>
    <w:rsid w:val="000B0D3A"/>
    <w:rsid w:val="000B2691"/>
    <w:rsid w:val="000B308E"/>
    <w:rsid w:val="000B7042"/>
    <w:rsid w:val="000C3683"/>
    <w:rsid w:val="000C601E"/>
    <w:rsid w:val="000E3528"/>
    <w:rsid w:val="000E576E"/>
    <w:rsid w:val="00105CC6"/>
    <w:rsid w:val="00112817"/>
    <w:rsid w:val="00112C85"/>
    <w:rsid w:val="00153AFD"/>
    <w:rsid w:val="00163B70"/>
    <w:rsid w:val="0017706D"/>
    <w:rsid w:val="00177941"/>
    <w:rsid w:val="001A0917"/>
    <w:rsid w:val="001A57B9"/>
    <w:rsid w:val="001B6919"/>
    <w:rsid w:val="001C1333"/>
    <w:rsid w:val="001D0647"/>
    <w:rsid w:val="001F2FE8"/>
    <w:rsid w:val="001F7D71"/>
    <w:rsid w:val="00204F70"/>
    <w:rsid w:val="00211297"/>
    <w:rsid w:val="00220FAD"/>
    <w:rsid w:val="00230B6C"/>
    <w:rsid w:val="002319C0"/>
    <w:rsid w:val="00233229"/>
    <w:rsid w:val="002448A6"/>
    <w:rsid w:val="002457FF"/>
    <w:rsid w:val="00251681"/>
    <w:rsid w:val="002815A0"/>
    <w:rsid w:val="002A5B43"/>
    <w:rsid w:val="002C127F"/>
    <w:rsid w:val="002C51D3"/>
    <w:rsid w:val="002D5E91"/>
    <w:rsid w:val="002D7CCE"/>
    <w:rsid w:val="002E5AA8"/>
    <w:rsid w:val="002F6748"/>
    <w:rsid w:val="003005EF"/>
    <w:rsid w:val="00305F01"/>
    <w:rsid w:val="00307A94"/>
    <w:rsid w:val="003308DA"/>
    <w:rsid w:val="00342278"/>
    <w:rsid w:val="00343A04"/>
    <w:rsid w:val="0038015A"/>
    <w:rsid w:val="00381FAC"/>
    <w:rsid w:val="0038303B"/>
    <w:rsid w:val="003A0043"/>
    <w:rsid w:val="003A5D68"/>
    <w:rsid w:val="003C0320"/>
    <w:rsid w:val="003E6BDF"/>
    <w:rsid w:val="003F02E1"/>
    <w:rsid w:val="00416F7C"/>
    <w:rsid w:val="0041751C"/>
    <w:rsid w:val="00443BEE"/>
    <w:rsid w:val="004531EF"/>
    <w:rsid w:val="0045744E"/>
    <w:rsid w:val="004644EE"/>
    <w:rsid w:val="0048172E"/>
    <w:rsid w:val="004D0619"/>
    <w:rsid w:val="004E5C13"/>
    <w:rsid w:val="00503101"/>
    <w:rsid w:val="00530266"/>
    <w:rsid w:val="0053645A"/>
    <w:rsid w:val="00571F4E"/>
    <w:rsid w:val="005776FA"/>
    <w:rsid w:val="00584EC2"/>
    <w:rsid w:val="00585996"/>
    <w:rsid w:val="00592745"/>
    <w:rsid w:val="00592A88"/>
    <w:rsid w:val="00595E45"/>
    <w:rsid w:val="005D771B"/>
    <w:rsid w:val="005E74B9"/>
    <w:rsid w:val="00601FA8"/>
    <w:rsid w:val="00602B30"/>
    <w:rsid w:val="006204BA"/>
    <w:rsid w:val="00635199"/>
    <w:rsid w:val="006374B4"/>
    <w:rsid w:val="00651128"/>
    <w:rsid w:val="00651CA0"/>
    <w:rsid w:val="006552D1"/>
    <w:rsid w:val="006730C4"/>
    <w:rsid w:val="0068207C"/>
    <w:rsid w:val="006B57C6"/>
    <w:rsid w:val="006D0558"/>
    <w:rsid w:val="00705042"/>
    <w:rsid w:val="00707D06"/>
    <w:rsid w:val="00715460"/>
    <w:rsid w:val="0073511F"/>
    <w:rsid w:val="00742975"/>
    <w:rsid w:val="007460C4"/>
    <w:rsid w:val="00751D4A"/>
    <w:rsid w:val="00755E6D"/>
    <w:rsid w:val="0077071E"/>
    <w:rsid w:val="00776DEC"/>
    <w:rsid w:val="0077747A"/>
    <w:rsid w:val="007903B9"/>
    <w:rsid w:val="00791F7B"/>
    <w:rsid w:val="007A184F"/>
    <w:rsid w:val="007C0B74"/>
    <w:rsid w:val="007C29EE"/>
    <w:rsid w:val="007F700E"/>
    <w:rsid w:val="00804894"/>
    <w:rsid w:val="008049F2"/>
    <w:rsid w:val="00813033"/>
    <w:rsid w:val="0082085F"/>
    <w:rsid w:val="00823A47"/>
    <w:rsid w:val="0083007D"/>
    <w:rsid w:val="00833DE8"/>
    <w:rsid w:val="00833E8E"/>
    <w:rsid w:val="0083718C"/>
    <w:rsid w:val="00844263"/>
    <w:rsid w:val="008528CD"/>
    <w:rsid w:val="00857C74"/>
    <w:rsid w:val="00872A30"/>
    <w:rsid w:val="00876267"/>
    <w:rsid w:val="008768CF"/>
    <w:rsid w:val="008849FA"/>
    <w:rsid w:val="008B2517"/>
    <w:rsid w:val="008B25BF"/>
    <w:rsid w:val="008D4C1A"/>
    <w:rsid w:val="008E6781"/>
    <w:rsid w:val="008F3C76"/>
    <w:rsid w:val="008F6156"/>
    <w:rsid w:val="009017EA"/>
    <w:rsid w:val="00904196"/>
    <w:rsid w:val="00906F70"/>
    <w:rsid w:val="00933D68"/>
    <w:rsid w:val="00936017"/>
    <w:rsid w:val="00956200"/>
    <w:rsid w:val="00965076"/>
    <w:rsid w:val="0097079C"/>
    <w:rsid w:val="00980CAA"/>
    <w:rsid w:val="0098160C"/>
    <w:rsid w:val="00995A85"/>
    <w:rsid w:val="0099600C"/>
    <w:rsid w:val="00997700"/>
    <w:rsid w:val="009A051C"/>
    <w:rsid w:val="009E5EA4"/>
    <w:rsid w:val="00A17B79"/>
    <w:rsid w:val="00A56208"/>
    <w:rsid w:val="00A6405F"/>
    <w:rsid w:val="00A73CCC"/>
    <w:rsid w:val="00A860B9"/>
    <w:rsid w:val="00A9059F"/>
    <w:rsid w:val="00A94345"/>
    <w:rsid w:val="00AA1EE4"/>
    <w:rsid w:val="00AC43B4"/>
    <w:rsid w:val="00AE03A2"/>
    <w:rsid w:val="00AE22FD"/>
    <w:rsid w:val="00B3354E"/>
    <w:rsid w:val="00B57916"/>
    <w:rsid w:val="00B60436"/>
    <w:rsid w:val="00B67EA7"/>
    <w:rsid w:val="00B80176"/>
    <w:rsid w:val="00B80A20"/>
    <w:rsid w:val="00B8533A"/>
    <w:rsid w:val="00B85F4C"/>
    <w:rsid w:val="00B872CB"/>
    <w:rsid w:val="00B87D40"/>
    <w:rsid w:val="00B94BFB"/>
    <w:rsid w:val="00BA3336"/>
    <w:rsid w:val="00BB2A2B"/>
    <w:rsid w:val="00BD44D6"/>
    <w:rsid w:val="00BE47F1"/>
    <w:rsid w:val="00BF1134"/>
    <w:rsid w:val="00BF34DB"/>
    <w:rsid w:val="00C059FE"/>
    <w:rsid w:val="00C135FC"/>
    <w:rsid w:val="00C350FF"/>
    <w:rsid w:val="00C40B85"/>
    <w:rsid w:val="00C52698"/>
    <w:rsid w:val="00C625DE"/>
    <w:rsid w:val="00C62749"/>
    <w:rsid w:val="00C63F77"/>
    <w:rsid w:val="00C70040"/>
    <w:rsid w:val="00C735CA"/>
    <w:rsid w:val="00C74DE7"/>
    <w:rsid w:val="00C82876"/>
    <w:rsid w:val="00CA22F6"/>
    <w:rsid w:val="00CB249C"/>
    <w:rsid w:val="00CB574F"/>
    <w:rsid w:val="00CB7F50"/>
    <w:rsid w:val="00CC08CB"/>
    <w:rsid w:val="00CC569A"/>
    <w:rsid w:val="00CC66A6"/>
    <w:rsid w:val="00CE33B2"/>
    <w:rsid w:val="00D31EF1"/>
    <w:rsid w:val="00D46616"/>
    <w:rsid w:val="00D52564"/>
    <w:rsid w:val="00D65E13"/>
    <w:rsid w:val="00D7520D"/>
    <w:rsid w:val="00DA7BBA"/>
    <w:rsid w:val="00DB4F27"/>
    <w:rsid w:val="00DD0534"/>
    <w:rsid w:val="00DE145C"/>
    <w:rsid w:val="00E10F17"/>
    <w:rsid w:val="00E120A5"/>
    <w:rsid w:val="00E12258"/>
    <w:rsid w:val="00E35F8C"/>
    <w:rsid w:val="00E63537"/>
    <w:rsid w:val="00E70E5E"/>
    <w:rsid w:val="00E760F2"/>
    <w:rsid w:val="00E76E70"/>
    <w:rsid w:val="00E86D00"/>
    <w:rsid w:val="00E95FEE"/>
    <w:rsid w:val="00EB2FBC"/>
    <w:rsid w:val="00EB32F2"/>
    <w:rsid w:val="00EC071E"/>
    <w:rsid w:val="00EC102B"/>
    <w:rsid w:val="00ED60CD"/>
    <w:rsid w:val="00ED6ACF"/>
    <w:rsid w:val="00EE5D4A"/>
    <w:rsid w:val="00EE620A"/>
    <w:rsid w:val="00F2221A"/>
    <w:rsid w:val="00F229FD"/>
    <w:rsid w:val="00F3595D"/>
    <w:rsid w:val="00F36580"/>
    <w:rsid w:val="00FA1FFA"/>
    <w:rsid w:val="00FA72FD"/>
    <w:rsid w:val="00FC6EC3"/>
    <w:rsid w:val="00FE35CA"/>
    <w:rsid w:val="00FE6A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345C"/>
  <w15:docId w15:val="{113905BD-98B8-43FF-8FC8-28FB618D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D68"/>
    <w:rPr>
      <w:rFonts w:ascii="Segoe UI" w:hAnsi="Segoe UI" w:cs="Segoe UI"/>
      <w:sz w:val="18"/>
      <w:szCs w:val="18"/>
    </w:rPr>
  </w:style>
  <w:style w:type="character" w:styleId="CommentReference">
    <w:name w:val="annotation reference"/>
    <w:basedOn w:val="DefaultParagraphFont"/>
    <w:uiPriority w:val="99"/>
    <w:semiHidden/>
    <w:unhideWhenUsed/>
    <w:rsid w:val="001F7D71"/>
    <w:rPr>
      <w:sz w:val="16"/>
      <w:szCs w:val="16"/>
    </w:rPr>
  </w:style>
  <w:style w:type="paragraph" w:styleId="CommentText">
    <w:name w:val="annotation text"/>
    <w:basedOn w:val="Normal"/>
    <w:link w:val="CommentTextChar"/>
    <w:uiPriority w:val="99"/>
    <w:semiHidden/>
    <w:unhideWhenUsed/>
    <w:rsid w:val="001F7D71"/>
    <w:pPr>
      <w:spacing w:line="240" w:lineRule="auto"/>
    </w:pPr>
    <w:rPr>
      <w:sz w:val="20"/>
      <w:szCs w:val="20"/>
    </w:rPr>
  </w:style>
  <w:style w:type="character" w:customStyle="1" w:styleId="CommentTextChar">
    <w:name w:val="Comment Text Char"/>
    <w:basedOn w:val="DefaultParagraphFont"/>
    <w:link w:val="CommentText"/>
    <w:uiPriority w:val="99"/>
    <w:semiHidden/>
    <w:rsid w:val="001F7D71"/>
    <w:rPr>
      <w:sz w:val="20"/>
      <w:szCs w:val="20"/>
    </w:rPr>
  </w:style>
  <w:style w:type="paragraph" w:styleId="CommentSubject">
    <w:name w:val="annotation subject"/>
    <w:basedOn w:val="CommentText"/>
    <w:next w:val="CommentText"/>
    <w:link w:val="CommentSubjectChar"/>
    <w:uiPriority w:val="99"/>
    <w:semiHidden/>
    <w:unhideWhenUsed/>
    <w:rsid w:val="001F7D71"/>
    <w:rPr>
      <w:b/>
      <w:bCs/>
    </w:rPr>
  </w:style>
  <w:style w:type="character" w:customStyle="1" w:styleId="CommentSubjectChar">
    <w:name w:val="Comment Subject Char"/>
    <w:basedOn w:val="CommentTextChar"/>
    <w:link w:val="CommentSubject"/>
    <w:uiPriority w:val="99"/>
    <w:semiHidden/>
    <w:rsid w:val="001F7D71"/>
    <w:rPr>
      <w:b/>
      <w:bCs/>
      <w:sz w:val="20"/>
      <w:szCs w:val="20"/>
    </w:rPr>
  </w:style>
  <w:style w:type="paragraph" w:styleId="Title">
    <w:name w:val="Title"/>
    <w:basedOn w:val="Normal"/>
    <w:link w:val="TitleChar"/>
    <w:qFormat/>
    <w:rsid w:val="002815A0"/>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2815A0"/>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CB7F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7F50"/>
  </w:style>
  <w:style w:type="paragraph" w:styleId="Footer">
    <w:name w:val="footer"/>
    <w:basedOn w:val="Normal"/>
    <w:link w:val="FooterChar"/>
    <w:uiPriority w:val="99"/>
    <w:unhideWhenUsed/>
    <w:rsid w:val="00CB7F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7F50"/>
  </w:style>
  <w:style w:type="character" w:styleId="Hyperlink">
    <w:name w:val="Hyperlink"/>
    <w:basedOn w:val="DefaultParagraphFont"/>
    <w:uiPriority w:val="99"/>
    <w:unhideWhenUsed/>
    <w:rsid w:val="00844263"/>
    <w:rPr>
      <w:color w:val="0563C1" w:themeColor="hyperlink"/>
      <w:u w:val="single"/>
    </w:rPr>
  </w:style>
  <w:style w:type="character" w:customStyle="1" w:styleId="UnresolvedMention1">
    <w:name w:val="Unresolved Mention1"/>
    <w:basedOn w:val="DefaultParagraphFont"/>
    <w:uiPriority w:val="99"/>
    <w:semiHidden/>
    <w:unhideWhenUsed/>
    <w:rsid w:val="00844263"/>
    <w:rPr>
      <w:color w:val="808080"/>
      <w:shd w:val="clear" w:color="auto" w:fill="E6E6E6"/>
    </w:rPr>
  </w:style>
  <w:style w:type="paragraph" w:customStyle="1" w:styleId="tv213">
    <w:name w:val="tv213"/>
    <w:basedOn w:val="Normal"/>
    <w:rsid w:val="00A9059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F2FE8"/>
    <w:pPr>
      <w:ind w:left="720"/>
      <w:contextualSpacing/>
    </w:pPr>
  </w:style>
  <w:style w:type="paragraph" w:styleId="NoSpacing">
    <w:name w:val="No Spacing"/>
    <w:uiPriority w:val="1"/>
    <w:qFormat/>
    <w:rsid w:val="00FA1FFA"/>
    <w:pPr>
      <w:spacing w:after="0" w:line="240" w:lineRule="auto"/>
    </w:pPr>
  </w:style>
  <w:style w:type="paragraph" w:customStyle="1" w:styleId="xmsonormal">
    <w:name w:val="x_msonormal"/>
    <w:basedOn w:val="Normal"/>
    <w:rsid w:val="007903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C29E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7C29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955671">
      <w:bodyDiv w:val="1"/>
      <w:marLeft w:val="0"/>
      <w:marRight w:val="0"/>
      <w:marTop w:val="0"/>
      <w:marBottom w:val="0"/>
      <w:divBdr>
        <w:top w:val="none" w:sz="0" w:space="0" w:color="auto"/>
        <w:left w:val="none" w:sz="0" w:space="0" w:color="auto"/>
        <w:bottom w:val="none" w:sz="0" w:space="0" w:color="auto"/>
        <w:right w:val="none" w:sz="0" w:space="0" w:color="auto"/>
      </w:divBdr>
    </w:div>
    <w:div w:id="610236657">
      <w:bodyDiv w:val="1"/>
      <w:marLeft w:val="0"/>
      <w:marRight w:val="0"/>
      <w:marTop w:val="0"/>
      <w:marBottom w:val="0"/>
      <w:divBdr>
        <w:top w:val="none" w:sz="0" w:space="0" w:color="auto"/>
        <w:left w:val="none" w:sz="0" w:space="0" w:color="auto"/>
        <w:bottom w:val="none" w:sz="0" w:space="0" w:color="auto"/>
        <w:right w:val="none" w:sz="0" w:space="0" w:color="auto"/>
      </w:divBdr>
    </w:div>
    <w:div w:id="1267928807">
      <w:bodyDiv w:val="1"/>
      <w:marLeft w:val="0"/>
      <w:marRight w:val="0"/>
      <w:marTop w:val="0"/>
      <w:marBottom w:val="0"/>
      <w:divBdr>
        <w:top w:val="none" w:sz="0" w:space="0" w:color="auto"/>
        <w:left w:val="none" w:sz="0" w:space="0" w:color="auto"/>
        <w:bottom w:val="none" w:sz="0" w:space="0" w:color="auto"/>
        <w:right w:val="none" w:sz="0" w:space="0" w:color="auto"/>
      </w:divBdr>
    </w:div>
    <w:div w:id="1715154531">
      <w:bodyDiv w:val="1"/>
      <w:marLeft w:val="0"/>
      <w:marRight w:val="0"/>
      <w:marTop w:val="0"/>
      <w:marBottom w:val="0"/>
      <w:divBdr>
        <w:top w:val="none" w:sz="0" w:space="0" w:color="auto"/>
        <w:left w:val="none" w:sz="0" w:space="0" w:color="auto"/>
        <w:bottom w:val="none" w:sz="0" w:space="0" w:color="auto"/>
        <w:right w:val="none" w:sz="0" w:space="0" w:color="auto"/>
      </w:divBdr>
    </w:div>
    <w:div w:id="1804418052">
      <w:bodyDiv w:val="1"/>
      <w:marLeft w:val="0"/>
      <w:marRight w:val="0"/>
      <w:marTop w:val="0"/>
      <w:marBottom w:val="0"/>
      <w:divBdr>
        <w:top w:val="none" w:sz="0" w:space="0" w:color="auto"/>
        <w:left w:val="none" w:sz="0" w:space="0" w:color="auto"/>
        <w:bottom w:val="none" w:sz="0" w:space="0" w:color="auto"/>
        <w:right w:val="none" w:sz="0" w:space="0" w:color="auto"/>
      </w:divBdr>
    </w:div>
    <w:div w:id="1926568745">
      <w:bodyDiv w:val="1"/>
      <w:marLeft w:val="0"/>
      <w:marRight w:val="0"/>
      <w:marTop w:val="0"/>
      <w:marBottom w:val="0"/>
      <w:divBdr>
        <w:top w:val="none" w:sz="0" w:space="0" w:color="auto"/>
        <w:left w:val="none" w:sz="0" w:space="0" w:color="auto"/>
        <w:bottom w:val="none" w:sz="0" w:space="0" w:color="auto"/>
        <w:right w:val="none" w:sz="0" w:space="0" w:color="auto"/>
      </w:divBdr>
    </w:div>
    <w:div w:id="1929580099">
      <w:bodyDiv w:val="1"/>
      <w:marLeft w:val="0"/>
      <w:marRight w:val="0"/>
      <w:marTop w:val="0"/>
      <w:marBottom w:val="0"/>
      <w:divBdr>
        <w:top w:val="none" w:sz="0" w:space="0" w:color="auto"/>
        <w:left w:val="none" w:sz="0" w:space="0" w:color="auto"/>
        <w:bottom w:val="none" w:sz="0" w:space="0" w:color="auto"/>
        <w:right w:val="none" w:sz="0" w:space="0" w:color="auto"/>
      </w:divBdr>
    </w:div>
    <w:div w:id="210957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CB66-2FCB-44AB-99FB-565E6CAD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10931</Words>
  <Characters>6231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Grīgs</dc:creator>
  <dc:description>Grīgs,  67876116_x000d_
Arturs.Grigs@vm.gov.lv</dc:description>
  <cp:lastModifiedBy>Anita Jurševica</cp:lastModifiedBy>
  <cp:revision>6</cp:revision>
  <cp:lastPrinted>2018-06-11T13:17:00Z</cp:lastPrinted>
  <dcterms:created xsi:type="dcterms:W3CDTF">2020-04-08T06:27:00Z</dcterms:created>
  <dcterms:modified xsi:type="dcterms:W3CDTF">2020-04-17T07:45:00Z</dcterms:modified>
</cp:coreProperties>
</file>