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BD7" w:rsidRPr="00B62BD7" w:rsidRDefault="00B62BD7" w:rsidP="00B62BD7">
      <w:pPr>
        <w:rPr>
          <w:rFonts w:ascii="Times New Roman" w:hAnsi="Times New Roman" w:cs="Times New Roman"/>
          <w:sz w:val="28"/>
          <w:szCs w:val="28"/>
        </w:rPr>
      </w:pPr>
      <w:r w:rsidRPr="00B62BD7">
        <w:rPr>
          <w:rFonts w:ascii="Times New Roman" w:hAnsi="Times New Roman" w:cs="Times New Roman"/>
          <w:sz w:val="28"/>
          <w:szCs w:val="28"/>
        </w:rPr>
        <w:t xml:space="preserve">2020.gada   </w:t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  <w:t xml:space="preserve">                                Noteikumi Nr.</w:t>
      </w:r>
    </w:p>
    <w:p w:rsidR="00B62BD7" w:rsidRPr="00B62BD7" w:rsidRDefault="00B62BD7" w:rsidP="00B62BD7">
      <w:pPr>
        <w:spacing w:after="480"/>
        <w:rPr>
          <w:rFonts w:ascii="Times New Roman" w:hAnsi="Times New Roman" w:cs="Times New Roman"/>
          <w:sz w:val="28"/>
          <w:szCs w:val="28"/>
        </w:rPr>
      </w:pPr>
      <w:r w:rsidRPr="00B62BD7">
        <w:rPr>
          <w:rFonts w:ascii="Times New Roman" w:hAnsi="Times New Roman" w:cs="Times New Roman"/>
          <w:sz w:val="28"/>
          <w:szCs w:val="28"/>
        </w:rPr>
        <w:t>Rīgā</w:t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  <w:t xml:space="preserve">                                (prot. Nr.     .§)</w:t>
      </w:r>
    </w:p>
    <w:p w:rsidR="008A6D8A" w:rsidRPr="00B62BD7" w:rsidRDefault="008A6D8A" w:rsidP="008A6D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B62BD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Elektronisko smēķēšanas ierī</w:t>
      </w:r>
      <w:r w:rsidR="00B87D8F" w:rsidRPr="00B62BD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č</w:t>
      </w:r>
      <w:r w:rsidRPr="00B62BD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u </w:t>
      </w:r>
      <w:proofErr w:type="spellStart"/>
      <w:r w:rsidRPr="00B62BD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uzpildes</w:t>
      </w:r>
      <w:proofErr w:type="spellEnd"/>
      <w:r w:rsidRPr="00B62BD7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mehānisma tehniskie standarti</w:t>
      </w:r>
    </w:p>
    <w:p w:rsidR="008A6D8A" w:rsidRPr="00B62BD7" w:rsidRDefault="008A6D8A" w:rsidP="008A6D8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:rsidR="008A6D8A" w:rsidRPr="00B62BD7" w:rsidRDefault="008A6D8A" w:rsidP="008A6D8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 w:rsidRPr="00B62BD7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Izdoti saskaņā ar </w:t>
      </w:r>
      <w:hyperlink r:id="rId7" w:tgtFrame="_blank" w:history="1">
        <w:r w:rsidRPr="00B62BD7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t>Tabakas izstrādājumu, augu smēķēšanas produktu,</w:t>
        </w:r>
        <w:r w:rsidRPr="00B62BD7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br/>
          <w:t>elektronisko smēķēšanas ierīču un to šķidrumu aprites</w:t>
        </w:r>
        <w:r w:rsidRPr="00B62BD7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br/>
          <w:t>likuma</w:t>
        </w:r>
      </w:hyperlink>
      <w:r w:rsidRPr="00B62BD7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 </w:t>
      </w:r>
      <w:hyperlink r:id="rId8" w:anchor="p3" w:tgtFrame="_blank" w:history="1">
        <w:r w:rsidRPr="00B62BD7">
          <w:rPr>
            <w:rFonts w:ascii="Times New Roman" w:eastAsia="Times New Roman" w:hAnsi="Times New Roman" w:cs="Times New Roman"/>
            <w:iCs/>
            <w:sz w:val="28"/>
            <w:szCs w:val="28"/>
            <w:lang w:eastAsia="lv-LV"/>
          </w:rPr>
          <w:t>3.panta</w:t>
        </w:r>
      </w:hyperlink>
      <w:r w:rsidRPr="00B62BD7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 piektās daļas 7.punktu</w:t>
      </w:r>
    </w:p>
    <w:p w:rsidR="008A6D8A" w:rsidRPr="00F5032F" w:rsidRDefault="008A6D8A" w:rsidP="00B87D8F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0" w:name="p1"/>
      <w:bookmarkStart w:id="1" w:name="p-593769"/>
      <w:bookmarkEnd w:id="0"/>
      <w:bookmarkEnd w:id="1"/>
      <w:r w:rsidRPr="00B62BD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Noteikumi </w:t>
      </w:r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nosaka ar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tvertni uzpildāmas elektroniskās smēķēšanas ierīces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mehānisma tehniskos standartus.</w:t>
      </w:r>
    </w:p>
    <w:p w:rsidR="00B87D8F" w:rsidRPr="00F5032F" w:rsidRDefault="00B87D8F" w:rsidP="00B87D8F">
      <w:pPr>
        <w:pStyle w:val="ListParagraph"/>
        <w:shd w:val="clear" w:color="auto" w:fill="FFFFFF"/>
        <w:spacing w:after="0" w:line="293" w:lineRule="atLeast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B87D8F" w:rsidRPr="00F5032F" w:rsidRDefault="008A6D8A" w:rsidP="00B87D8F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2" w:name="p2"/>
      <w:bookmarkStart w:id="3" w:name="p-593770"/>
      <w:bookmarkEnd w:id="2"/>
      <w:bookmarkEnd w:id="3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Uzpildāmo elektronisko smēķēšanas ierīci un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tvertni atļauts laist tirgū, ja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mehānisms atbilst vienam no šādiem nosacījumiem:</w:t>
      </w:r>
    </w:p>
    <w:p w:rsidR="00B87D8F" w:rsidRPr="00F5032F" w:rsidRDefault="00B87D8F" w:rsidP="00B87D8F">
      <w:pPr>
        <w:pStyle w:val="ListParagraph"/>
        <w:shd w:val="clear" w:color="auto" w:fill="FFFFFF"/>
        <w:spacing w:after="0" w:line="293" w:lineRule="atLeast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A6D8A" w:rsidRPr="00F5032F" w:rsidRDefault="008A6D8A" w:rsidP="00B87D8F">
      <w:pPr>
        <w:pStyle w:val="ListParagraph"/>
        <w:numPr>
          <w:ilvl w:val="1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mehānismam izmanto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tvertņu, kas sastāv no droši piestiprināta vismaz 9 milimetrus gara uzgaļa, kurš ir viegli ievietojams attiecīgās uzpildāmās elektroniskās smēķēšanas </w:t>
      </w:r>
      <w:r w:rsidR="003C56B5"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ierīces </w:t>
      </w:r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rezervuāra atverē un ir šaurāks nekā attiecīgā rezervuāra atvere, un plūsmas regulēšanas mehānisma, kas, novietots vertikālā stāvoklī un pakļauts atmosfēras spiedienam 20°C (± 5°C) temperatūrā, ļauj izplūst ne vairāk kā 20 nikotīnu saturoša </w:t>
      </w:r>
      <w:r w:rsidR="003D3653"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vai nikotīnu nesaturoša </w:t>
      </w:r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šķidruma pilieniem minūtē;</w:t>
      </w:r>
    </w:p>
    <w:p w:rsidR="00B87D8F" w:rsidRPr="00F5032F" w:rsidRDefault="00B87D8F" w:rsidP="00B87D8F">
      <w:pPr>
        <w:pStyle w:val="ListParagraph"/>
        <w:shd w:val="clear" w:color="auto" w:fill="FFFFFF"/>
        <w:spacing w:after="0" w:line="293" w:lineRule="atLeast"/>
        <w:ind w:left="16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A6D8A" w:rsidRPr="00F5032F" w:rsidRDefault="008A6D8A" w:rsidP="00B87D8F">
      <w:pPr>
        <w:pStyle w:val="ListParagraph"/>
        <w:numPr>
          <w:ilvl w:val="1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mehānisms darbojas ar speciālu savienojuma sistēmu (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doksistēmu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), kas nikotīnu saturošam </w:t>
      </w:r>
      <w:r w:rsidR="00B87D8F"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vai nikotīnu nesaturošam </w:t>
      </w:r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šķidrumam no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tvertnes ļauj izplūst uzpildāmās elektroniskās smēķēšanas ierīces rezervuārā tikai tad, kad uzpildāmā elektroniskā smēķēšanas ierīce un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tvertne ir savienoti.</w:t>
      </w:r>
    </w:p>
    <w:p w:rsidR="00B87D8F" w:rsidRPr="00F5032F" w:rsidRDefault="00B87D8F" w:rsidP="00B87D8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A6D8A" w:rsidRPr="00F5032F" w:rsidRDefault="008A6D8A" w:rsidP="00B87D8F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4" w:name="p3"/>
      <w:bookmarkStart w:id="5" w:name="p-593771"/>
      <w:bookmarkEnd w:id="4"/>
      <w:bookmarkEnd w:id="5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Uzpildāmajai elektroniskajai smēķēšanas ierīcei un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tvertnei pievieno uzpildīšanas instrukciju ar shematiskiem attēliem.</w:t>
      </w:r>
    </w:p>
    <w:p w:rsidR="00B87D8F" w:rsidRPr="00F5032F" w:rsidRDefault="00B87D8F" w:rsidP="00B87D8F">
      <w:pPr>
        <w:pStyle w:val="ListParagraph"/>
        <w:shd w:val="clear" w:color="auto" w:fill="FFFFFF"/>
        <w:spacing w:after="0" w:line="293" w:lineRule="atLeast"/>
        <w:ind w:left="66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8A6D8A" w:rsidRPr="00F5032F" w:rsidRDefault="008A6D8A" w:rsidP="00B87D8F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6" w:name="p4"/>
      <w:bookmarkStart w:id="7" w:name="p-593772"/>
      <w:bookmarkEnd w:id="6"/>
      <w:bookmarkEnd w:id="7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Uzpildāmajai elektroniskajai smēķēšanas ierīcei un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tvertnei ar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mehānismu, kas minēts šo noteikumu 2.1.apakšpunktā, lietošanas instrukcijā norāda uzgaļa platumu vai rezervuāra atveres platumu tā, lai patērētājs varētu pārliecināties par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tvertnes un elektroniskās smēķēšanas ierīces saderību.</w:t>
      </w:r>
    </w:p>
    <w:p w:rsidR="00B87D8F" w:rsidRPr="00F5032F" w:rsidRDefault="00B87D8F" w:rsidP="00B87D8F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B62BD7" w:rsidRPr="00F5032F" w:rsidRDefault="008A6D8A" w:rsidP="00B62BD7">
      <w:pPr>
        <w:pStyle w:val="ListParagraph"/>
        <w:numPr>
          <w:ilvl w:val="0"/>
          <w:numId w:val="1"/>
        </w:num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8" w:name="p5"/>
      <w:bookmarkStart w:id="9" w:name="p-593773"/>
      <w:bookmarkEnd w:id="8"/>
      <w:bookmarkEnd w:id="9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Uzpildāmajai elektroniskajai smēķēšanas ierīcei un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tvertnei ar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mehānismu, kas minēts šo noteikumu 2.2.apakšpunktā, lietošanas </w:t>
      </w:r>
      <w:r w:rsidRPr="00F5032F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  <w:lang w:eastAsia="lv-LV"/>
        </w:rPr>
        <w:t>instrukcijā norāda speciālās savienojuma sistēmas (</w:t>
      </w:r>
      <w:proofErr w:type="spellStart"/>
      <w:r w:rsidRPr="00F5032F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  <w:lang w:eastAsia="lv-LV"/>
        </w:rPr>
        <w:t>doksistēmas</w:t>
      </w:r>
      <w:proofErr w:type="spellEnd"/>
      <w:r w:rsidRPr="00F5032F">
        <w:rPr>
          <w:rStyle w:val="SubtleEmphasis"/>
          <w:rFonts w:ascii="Times New Roman" w:hAnsi="Times New Roman" w:cs="Times New Roman"/>
          <w:i w:val="0"/>
          <w:color w:val="auto"/>
          <w:sz w:val="28"/>
          <w:szCs w:val="28"/>
          <w:lang w:eastAsia="lv-LV"/>
        </w:rPr>
        <w:t>) veidus, ar</w:t>
      </w:r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 xml:space="preserve">kuriem ir saderīga attiecīgā uzpildāmā elektroniskās smēķēšanas ierīce un </w:t>
      </w:r>
      <w:proofErr w:type="spellStart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>uzpildes</w:t>
      </w:r>
      <w:proofErr w:type="spellEnd"/>
      <w:r w:rsidRPr="00F5032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tvertne.</w:t>
      </w: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  <w:bookmarkStart w:id="10" w:name="n4"/>
      <w:bookmarkEnd w:id="10"/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  <w:r w:rsidRPr="00B62BD7">
        <w:rPr>
          <w:sz w:val="28"/>
          <w:szCs w:val="28"/>
        </w:rPr>
        <w:t>Ministru prezidents</w:t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  <w:t xml:space="preserve">  Arturs Krišjānis Kariņš</w:t>
      </w: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  <w:r w:rsidRPr="00B62BD7">
        <w:rPr>
          <w:sz w:val="28"/>
          <w:szCs w:val="28"/>
        </w:rPr>
        <w:t>Veselības ministre</w:t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  <w:t xml:space="preserve">         Ilze Viņķele</w:t>
      </w: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  <w:r w:rsidRPr="00B62BD7">
        <w:rPr>
          <w:sz w:val="28"/>
          <w:szCs w:val="28"/>
        </w:rPr>
        <w:t xml:space="preserve">Iesniedzējs: Veselības ministre </w:t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</w:r>
      <w:r w:rsidRPr="00B62BD7">
        <w:rPr>
          <w:sz w:val="28"/>
          <w:szCs w:val="28"/>
        </w:rPr>
        <w:tab/>
        <w:t xml:space="preserve">         Ilze Viņķele</w:t>
      </w: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</w:p>
    <w:p w:rsidR="00B62BD7" w:rsidRPr="00B62BD7" w:rsidRDefault="00B62BD7" w:rsidP="00B62BD7">
      <w:pPr>
        <w:pStyle w:val="NoSpacing"/>
        <w:jc w:val="both"/>
        <w:rPr>
          <w:sz w:val="28"/>
          <w:szCs w:val="28"/>
        </w:rPr>
      </w:pPr>
    </w:p>
    <w:p w:rsidR="00B62BD7" w:rsidRPr="00B62BD7" w:rsidRDefault="00B62BD7" w:rsidP="00B62BD7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B62BD7">
        <w:rPr>
          <w:rFonts w:ascii="Times New Roman" w:hAnsi="Times New Roman" w:cs="Times New Roman"/>
          <w:sz w:val="28"/>
          <w:szCs w:val="28"/>
        </w:rPr>
        <w:t>Vīza: Valsts sekretāre</w:t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bookmarkStart w:id="11" w:name="_GoBack"/>
      <w:bookmarkEnd w:id="11"/>
      <w:r w:rsidRPr="00B62BD7">
        <w:rPr>
          <w:rFonts w:ascii="Times New Roman" w:hAnsi="Times New Roman" w:cs="Times New Roman"/>
          <w:sz w:val="28"/>
          <w:szCs w:val="28"/>
        </w:rPr>
        <w:tab/>
      </w:r>
      <w:r w:rsidRPr="00B62B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2BD7">
        <w:rPr>
          <w:rFonts w:ascii="Times New Roman" w:hAnsi="Times New Roman" w:cs="Times New Roman"/>
          <w:sz w:val="28"/>
          <w:szCs w:val="28"/>
        </w:rPr>
        <w:t xml:space="preserve"> Daina </w:t>
      </w:r>
      <w:proofErr w:type="spellStart"/>
      <w:r w:rsidRPr="00B62BD7">
        <w:rPr>
          <w:rFonts w:ascii="Times New Roman" w:hAnsi="Times New Roman" w:cs="Times New Roman"/>
          <w:sz w:val="28"/>
          <w:szCs w:val="28"/>
        </w:rPr>
        <w:t>Mūrmane</w:t>
      </w:r>
      <w:proofErr w:type="spellEnd"/>
      <w:r w:rsidRPr="00B62B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62BD7">
        <w:rPr>
          <w:rFonts w:ascii="Times New Roman" w:hAnsi="Times New Roman" w:cs="Times New Roman"/>
          <w:sz w:val="28"/>
          <w:szCs w:val="28"/>
        </w:rPr>
        <w:t>Umbraško</w:t>
      </w:r>
      <w:proofErr w:type="spellEnd"/>
    </w:p>
    <w:sectPr w:rsidR="00B62BD7" w:rsidRPr="00B62BD7" w:rsidSect="00B87D8F">
      <w:footerReference w:type="default" r:id="rId9"/>
      <w:pgSz w:w="11906" w:h="16838"/>
      <w:pgMar w:top="1440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013" w:rsidRDefault="006B6013" w:rsidP="006B6013">
      <w:pPr>
        <w:spacing w:after="0" w:line="240" w:lineRule="auto"/>
      </w:pPr>
      <w:r>
        <w:separator/>
      </w:r>
    </w:p>
  </w:endnote>
  <w:endnote w:type="continuationSeparator" w:id="0">
    <w:p w:rsidR="006B6013" w:rsidRDefault="006B6013" w:rsidP="006B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013" w:rsidRPr="006B6013" w:rsidRDefault="006B6013">
    <w:pPr>
      <w:pStyle w:val="Footer"/>
      <w:rPr>
        <w:rFonts w:ascii="Times New Roman" w:hAnsi="Times New Roman" w:cs="Times New Roman"/>
      </w:rPr>
    </w:pPr>
    <w:r w:rsidRPr="006B6013">
      <w:rPr>
        <w:rFonts w:ascii="Times New Roman" w:hAnsi="Times New Roman" w:cs="Times New Roman"/>
      </w:rPr>
      <w:t>VMnot_</w:t>
    </w:r>
    <w:r w:rsidR="00F5032F">
      <w:rPr>
        <w:rFonts w:ascii="Times New Roman" w:hAnsi="Times New Roman" w:cs="Times New Roman"/>
      </w:rPr>
      <w:t>0</w:t>
    </w:r>
    <w:r w:rsidRPr="006B6013">
      <w:rPr>
        <w:rFonts w:ascii="Times New Roman" w:hAnsi="Times New Roman" w:cs="Times New Roman"/>
      </w:rPr>
      <w:t>60</w:t>
    </w:r>
    <w:r w:rsidR="00F5032F">
      <w:rPr>
        <w:rFonts w:ascii="Times New Roman" w:hAnsi="Times New Roman" w:cs="Times New Roman"/>
      </w:rPr>
      <w:t>2</w:t>
    </w:r>
    <w:r w:rsidRPr="006B6013">
      <w:rPr>
        <w:rFonts w:ascii="Times New Roman" w:hAnsi="Times New Roman" w:cs="Times New Roman"/>
      </w:rPr>
      <w:t>2020_ESIteh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013" w:rsidRDefault="006B6013" w:rsidP="006B6013">
      <w:pPr>
        <w:spacing w:after="0" w:line="240" w:lineRule="auto"/>
      </w:pPr>
      <w:r>
        <w:separator/>
      </w:r>
    </w:p>
  </w:footnote>
  <w:footnote w:type="continuationSeparator" w:id="0">
    <w:p w:rsidR="006B6013" w:rsidRDefault="006B6013" w:rsidP="006B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77800"/>
    <w:multiLevelType w:val="multilevel"/>
    <w:tmpl w:val="A19A32F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8A"/>
    <w:rsid w:val="003C56B5"/>
    <w:rsid w:val="003D3653"/>
    <w:rsid w:val="003E6A50"/>
    <w:rsid w:val="006B6013"/>
    <w:rsid w:val="00805761"/>
    <w:rsid w:val="008A6D8A"/>
    <w:rsid w:val="00B62BD7"/>
    <w:rsid w:val="00B87D8F"/>
    <w:rsid w:val="00F5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9A33"/>
  <w15:chartTrackingRefBased/>
  <w15:docId w15:val="{96613D4E-F2CA-4433-A68C-BDC03913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6D8A"/>
    <w:rPr>
      <w:color w:val="0000FF"/>
      <w:u w:val="single"/>
    </w:rPr>
  </w:style>
  <w:style w:type="paragraph" w:customStyle="1" w:styleId="tv213">
    <w:name w:val="tv213"/>
    <w:basedOn w:val="Normal"/>
    <w:rsid w:val="008A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87D8F"/>
    <w:pPr>
      <w:ind w:left="720"/>
      <w:contextualSpacing/>
    </w:pPr>
  </w:style>
  <w:style w:type="paragraph" w:styleId="NoSpacing">
    <w:name w:val="No Spacing"/>
    <w:uiPriority w:val="1"/>
    <w:qFormat/>
    <w:rsid w:val="00B6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ubtleEmphasis">
    <w:name w:val="Subtle Emphasis"/>
    <w:basedOn w:val="DefaultParagraphFont"/>
    <w:uiPriority w:val="19"/>
    <w:qFormat/>
    <w:rsid w:val="006B6013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B6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13"/>
  </w:style>
  <w:style w:type="paragraph" w:styleId="Footer">
    <w:name w:val="footer"/>
    <w:basedOn w:val="Normal"/>
    <w:link w:val="FooterChar"/>
    <w:uiPriority w:val="99"/>
    <w:unhideWhenUsed/>
    <w:rsid w:val="006B60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22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22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2077-tabakas-izstradajumu-augu-smekesanas-produktu-elektronisko-smekesanas-iericu-un-to-skidrumu-aprite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282077-tabakas-izstradajumu-augu-smekesanas-produktu-elektronisko-smekesanas-iericu-un-to-skidrumu-aprite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Voitkeviča</dc:creator>
  <cp:keywords/>
  <dc:description/>
  <cp:lastModifiedBy>Lilita Voitkeviča</cp:lastModifiedBy>
  <cp:revision>7</cp:revision>
  <dcterms:created xsi:type="dcterms:W3CDTF">2019-12-23T13:37:00Z</dcterms:created>
  <dcterms:modified xsi:type="dcterms:W3CDTF">2020-02-06T07:15:00Z</dcterms:modified>
</cp:coreProperties>
</file>