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TableGrid"/>
        <w:tblW w:w="0" w:type="auto"/>
        <w:tblLook w:val="04A0" w:firstRow="1" w:lastRow="0" w:firstColumn="1" w:lastColumn="0" w:noHBand="0" w:noVBand="1"/>
      </w:tblPr>
      <w:tblGrid>
        <w:gridCol w:w="704"/>
        <w:gridCol w:w="2693"/>
        <w:gridCol w:w="3686"/>
        <w:gridCol w:w="3402"/>
        <w:gridCol w:w="3402"/>
      </w:tblGrid>
      <w:tr w:rsidR="006A2CBA" w:rsidTr="008C308C">
        <w:tc>
          <w:tcPr>
            <w:tcW w:w="704" w:type="dxa"/>
          </w:tcPr>
          <w:p w:rsidR="006A2CBA" w:rsidRDefault="006A2CBA">
            <w:bookmarkStart w:id="0" w:name="_GoBack"/>
            <w:bookmarkEnd w:id="0"/>
            <w:r>
              <w:t>Nr.</w:t>
            </w:r>
          </w:p>
        </w:tc>
        <w:tc>
          <w:tcPr>
            <w:tcW w:w="2693" w:type="dxa"/>
          </w:tcPr>
          <w:p w:rsidR="006A2CBA" w:rsidRDefault="006A2CBA" w:rsidP="006A2CBA">
            <w:pPr>
              <w:jc w:val="center"/>
            </w:pPr>
            <w:r w:rsidRPr="00E17331">
              <w:rPr>
                <w:rFonts w:ascii="Times New Roman" w:eastAsia="Times New Roman" w:hAnsi="Times New Roman" w:cs="Times New Roman"/>
                <w:sz w:val="24"/>
                <w:szCs w:val="20"/>
                <w:lang w:eastAsia="lv-LV"/>
              </w:rPr>
              <w:t>Iebilduma/priekšlikuma iesniedzējs</w:t>
            </w:r>
          </w:p>
        </w:tc>
        <w:tc>
          <w:tcPr>
            <w:tcW w:w="3686" w:type="dxa"/>
          </w:tcPr>
          <w:p w:rsidR="006A2CBA" w:rsidRDefault="006A2CBA" w:rsidP="006A2CBA">
            <w:pPr>
              <w:jc w:val="center"/>
            </w:pPr>
            <w:r w:rsidRPr="00E17331">
              <w:rPr>
                <w:rFonts w:ascii="Times New Roman" w:eastAsia="Times New Roman" w:hAnsi="Times New Roman" w:cs="Times New Roman"/>
                <w:sz w:val="24"/>
                <w:szCs w:val="20"/>
                <w:lang w:eastAsia="lv-LV"/>
              </w:rPr>
              <w:t>Iesniegtā iebilduma/</w:t>
            </w:r>
            <w:r w:rsidRPr="00E17331">
              <w:rPr>
                <w:rFonts w:ascii="Times New Roman" w:eastAsia="Times New Roman" w:hAnsi="Times New Roman" w:cs="Times New Roman"/>
                <w:sz w:val="24"/>
                <w:szCs w:val="20"/>
                <w:lang w:eastAsia="lv-LV"/>
              </w:rPr>
              <w:br/>
              <w:t>priekšlikuma būtība</w:t>
            </w:r>
          </w:p>
        </w:tc>
        <w:tc>
          <w:tcPr>
            <w:tcW w:w="3402" w:type="dxa"/>
          </w:tcPr>
          <w:p w:rsidR="006A2CBA" w:rsidRDefault="006A2CBA" w:rsidP="006A2CBA">
            <w:pPr>
              <w:jc w:val="center"/>
            </w:pPr>
            <w:r w:rsidRPr="00E17331">
              <w:rPr>
                <w:rFonts w:ascii="Times New Roman" w:eastAsia="Times New Roman" w:hAnsi="Times New Roman" w:cs="Times New Roman"/>
                <w:sz w:val="24"/>
                <w:szCs w:val="20"/>
                <w:lang w:eastAsia="lv-LV"/>
              </w:rPr>
              <w:t>Ņemts vērā/</w:t>
            </w:r>
            <w:r w:rsidRPr="00E17331">
              <w:rPr>
                <w:rFonts w:ascii="Times New Roman" w:eastAsia="Times New Roman" w:hAnsi="Times New Roman" w:cs="Times New Roman"/>
                <w:sz w:val="24"/>
                <w:szCs w:val="20"/>
                <w:lang w:eastAsia="lv-LV"/>
              </w:rPr>
              <w:br/>
              <w:t>nav ņemts vērā</w:t>
            </w:r>
          </w:p>
        </w:tc>
        <w:tc>
          <w:tcPr>
            <w:tcW w:w="3402" w:type="dxa"/>
          </w:tcPr>
          <w:p w:rsidR="006A2CBA" w:rsidRDefault="006A2CBA" w:rsidP="006A2CBA">
            <w:pPr>
              <w:jc w:val="center"/>
            </w:pPr>
            <w:r w:rsidRPr="00E17331">
              <w:rPr>
                <w:rFonts w:ascii="Times New Roman" w:eastAsia="Times New Roman" w:hAnsi="Times New Roman" w:cs="Times New Roman"/>
                <w:sz w:val="24"/>
                <w:szCs w:val="20"/>
                <w:lang w:eastAsia="lv-LV"/>
              </w:rPr>
              <w:t>Pamatojums, ja iebildums/priekšlikums</w:t>
            </w:r>
            <w:r w:rsidRPr="00E17331">
              <w:rPr>
                <w:rFonts w:ascii="Times New Roman" w:eastAsia="Times New Roman" w:hAnsi="Times New Roman" w:cs="Times New Roman"/>
                <w:sz w:val="24"/>
                <w:szCs w:val="20"/>
                <w:lang w:eastAsia="lv-LV"/>
              </w:rPr>
              <w:br/>
              <w:t>nav ņemts vērā</w:t>
            </w:r>
          </w:p>
        </w:tc>
      </w:tr>
      <w:tr w:rsidR="006A2CBA" w:rsidTr="008C308C">
        <w:tc>
          <w:tcPr>
            <w:tcW w:w="704" w:type="dxa"/>
          </w:tcPr>
          <w:p w:rsidR="006A2CBA" w:rsidRPr="006A2CBA" w:rsidRDefault="006A2CBA">
            <w:pPr>
              <w:rPr>
                <w:rFonts w:ascii="Times New Roman" w:hAnsi="Times New Roman" w:cs="Times New Roman"/>
                <w:sz w:val="24"/>
                <w:szCs w:val="24"/>
              </w:rPr>
            </w:pPr>
            <w:r w:rsidRPr="006A2CBA">
              <w:rPr>
                <w:rFonts w:ascii="Times New Roman" w:hAnsi="Times New Roman" w:cs="Times New Roman"/>
                <w:sz w:val="24"/>
                <w:szCs w:val="24"/>
              </w:rPr>
              <w:t>1.</w:t>
            </w:r>
          </w:p>
        </w:tc>
        <w:tc>
          <w:tcPr>
            <w:tcW w:w="2693" w:type="dxa"/>
          </w:tcPr>
          <w:p w:rsidR="006A2CBA" w:rsidRPr="006A2CBA" w:rsidRDefault="006A2CBA">
            <w:pPr>
              <w:rPr>
                <w:rFonts w:ascii="Times New Roman" w:hAnsi="Times New Roman" w:cs="Times New Roman"/>
                <w:sz w:val="24"/>
                <w:szCs w:val="24"/>
              </w:rPr>
            </w:pPr>
            <w:r>
              <w:rPr>
                <w:rFonts w:ascii="Times New Roman" w:eastAsia="Times New Roman" w:hAnsi="Times New Roman" w:cs="Times New Roman"/>
                <w:sz w:val="24"/>
                <w:szCs w:val="20"/>
                <w:lang w:eastAsia="lv-LV"/>
              </w:rPr>
              <w:t>LDDK eksperts</w:t>
            </w:r>
          </w:p>
        </w:tc>
        <w:tc>
          <w:tcPr>
            <w:tcW w:w="3686" w:type="dxa"/>
          </w:tcPr>
          <w:p w:rsidR="006A2CBA" w:rsidRPr="00675404" w:rsidRDefault="006A2CBA" w:rsidP="006A2CBA">
            <w:pPr>
              <w:pStyle w:val="naisnod"/>
              <w:spacing w:before="120" w:after="0" w:line="276" w:lineRule="auto"/>
              <w:jc w:val="both"/>
              <w:rPr>
                <w:b w:val="0"/>
              </w:rPr>
            </w:pPr>
            <w:r w:rsidRPr="00675404">
              <w:rPr>
                <w:color w:val="000000"/>
              </w:rPr>
              <w:t>Par projektu “Grozījumi likumā "Par iedzīvotāju ienākumu nodokli"” </w:t>
            </w:r>
          </w:p>
          <w:p w:rsidR="006A2CBA" w:rsidRPr="006A2CBA" w:rsidRDefault="006A2CBA" w:rsidP="006A2CBA">
            <w:pPr>
              <w:jc w:val="both"/>
              <w:rPr>
                <w:rFonts w:ascii="Times New Roman" w:hAnsi="Times New Roman" w:cs="Times New Roman"/>
                <w:sz w:val="24"/>
                <w:szCs w:val="24"/>
              </w:rPr>
            </w:pPr>
            <w:r w:rsidRPr="00C9640F">
              <w:rPr>
                <w:rFonts w:ascii="Times New Roman" w:hAnsi="Times New Roman"/>
                <w:sz w:val="24"/>
                <w:szCs w:val="24"/>
              </w:rPr>
              <w:t xml:space="preserve">Pēc VM piedāvātās 15.panta devītās daļas redakcijas var secināt, ka šajā gadījumā veselības apdrošināšanai novirzāmais viens procentpunkts netiek attiecināts uz </w:t>
            </w:r>
            <w:r w:rsidRPr="00C9640F">
              <w:rPr>
                <w:rFonts w:ascii="Times New Roman" w:hAnsi="Times New Roman"/>
                <w:sz w:val="24"/>
                <w:szCs w:val="24"/>
                <w:shd w:val="clear" w:color="auto" w:fill="FFFFFF"/>
              </w:rPr>
              <w:t xml:space="preserve">nodokļa (obligātās apdrošināšanas) objektu (ienākumiem), bet uz patentmaksas apmēru. Ja tiek saglabāta piedāvātā redakcija, tad, lai nodrošinātu vienlīdzīgu pieeju arī citiem nodokļu maksāšanas režīmiem, tad arī tiem </w:t>
            </w:r>
            <w:r w:rsidRPr="00C9640F">
              <w:rPr>
                <w:rFonts w:ascii="Times New Roman" w:hAnsi="Times New Roman"/>
                <w:sz w:val="24"/>
                <w:szCs w:val="24"/>
              </w:rPr>
              <w:t xml:space="preserve">veselības apdrošināšanai novirzāmais viens procentpunkts būtu jāattiecina uz </w:t>
            </w:r>
            <w:r w:rsidRPr="00C9640F">
              <w:rPr>
                <w:rFonts w:ascii="Times New Roman" w:hAnsi="Times New Roman"/>
                <w:sz w:val="24"/>
                <w:szCs w:val="24"/>
                <w:shd w:val="clear" w:color="auto" w:fill="FFFFFF"/>
              </w:rPr>
              <w:t xml:space="preserve">nodokļa (obligātās apdrošināšanas iemaksu) likmi. Šādā gadījumā vispārīgajā darba nodokļu režīmā </w:t>
            </w:r>
            <w:r w:rsidRPr="00C9640F">
              <w:rPr>
                <w:rFonts w:ascii="Times New Roman" w:hAnsi="Times New Roman"/>
                <w:sz w:val="24"/>
                <w:szCs w:val="24"/>
              </w:rPr>
              <w:t>veselības apdrošināšanai novirzāmais viens procentpunkts būtu aizstājams ar likmi 0,34 procentpunkti.</w:t>
            </w:r>
          </w:p>
        </w:tc>
        <w:tc>
          <w:tcPr>
            <w:tcW w:w="3402" w:type="dxa"/>
          </w:tcPr>
          <w:p w:rsidR="00C9640F" w:rsidRDefault="00C9640F">
            <w:pPr>
              <w:rPr>
                <w:rFonts w:ascii="Times New Roman" w:hAnsi="Times New Roman" w:cs="Times New Roman"/>
                <w:sz w:val="24"/>
                <w:szCs w:val="24"/>
              </w:rPr>
            </w:pPr>
          </w:p>
          <w:p w:rsidR="00C9640F" w:rsidRDefault="00C9640F">
            <w:pPr>
              <w:rPr>
                <w:rFonts w:ascii="Times New Roman" w:hAnsi="Times New Roman" w:cs="Times New Roman"/>
                <w:sz w:val="24"/>
                <w:szCs w:val="24"/>
              </w:rPr>
            </w:pPr>
          </w:p>
          <w:p w:rsidR="00C9640F" w:rsidRDefault="00C9640F">
            <w:pPr>
              <w:rPr>
                <w:rFonts w:ascii="Times New Roman" w:hAnsi="Times New Roman" w:cs="Times New Roman"/>
                <w:sz w:val="24"/>
                <w:szCs w:val="24"/>
              </w:rPr>
            </w:pPr>
          </w:p>
          <w:p w:rsidR="00C9640F" w:rsidRDefault="00C9640F">
            <w:pPr>
              <w:rPr>
                <w:rFonts w:ascii="Times New Roman" w:hAnsi="Times New Roman" w:cs="Times New Roman"/>
                <w:sz w:val="24"/>
                <w:szCs w:val="24"/>
              </w:rPr>
            </w:pPr>
          </w:p>
          <w:p w:rsidR="006A2CBA" w:rsidRPr="006A2CBA" w:rsidRDefault="00C9640F">
            <w:pPr>
              <w:rPr>
                <w:rFonts w:ascii="Times New Roman" w:hAnsi="Times New Roman" w:cs="Times New Roman"/>
                <w:sz w:val="24"/>
                <w:szCs w:val="24"/>
              </w:rPr>
            </w:pPr>
            <w:r>
              <w:rPr>
                <w:rFonts w:ascii="Times New Roman" w:hAnsi="Times New Roman" w:cs="Times New Roman"/>
                <w:sz w:val="24"/>
                <w:szCs w:val="24"/>
              </w:rPr>
              <w:t>Nav ņemts vērā</w:t>
            </w:r>
          </w:p>
        </w:tc>
        <w:tc>
          <w:tcPr>
            <w:tcW w:w="3402" w:type="dxa"/>
          </w:tcPr>
          <w:p w:rsidR="00C9640F" w:rsidRDefault="00C9640F" w:rsidP="00C9640F">
            <w:pPr>
              <w:jc w:val="both"/>
              <w:rPr>
                <w:rFonts w:ascii="Times New Roman" w:hAnsi="Times New Roman" w:cs="Times New Roman"/>
                <w:sz w:val="24"/>
                <w:szCs w:val="24"/>
              </w:rPr>
            </w:pPr>
          </w:p>
          <w:p w:rsidR="00C9640F" w:rsidRDefault="00C9640F" w:rsidP="00C9640F">
            <w:pPr>
              <w:jc w:val="both"/>
              <w:rPr>
                <w:rFonts w:ascii="Times New Roman" w:hAnsi="Times New Roman" w:cs="Times New Roman"/>
                <w:sz w:val="24"/>
                <w:szCs w:val="24"/>
              </w:rPr>
            </w:pPr>
          </w:p>
          <w:p w:rsidR="00C9640F" w:rsidRDefault="00C9640F" w:rsidP="00C9640F">
            <w:pPr>
              <w:jc w:val="both"/>
              <w:rPr>
                <w:rFonts w:ascii="Times New Roman" w:hAnsi="Times New Roman" w:cs="Times New Roman"/>
                <w:sz w:val="24"/>
                <w:szCs w:val="24"/>
              </w:rPr>
            </w:pPr>
          </w:p>
          <w:p w:rsidR="00C9640F" w:rsidRDefault="00C9640F" w:rsidP="00C9640F">
            <w:pPr>
              <w:jc w:val="both"/>
              <w:rPr>
                <w:rFonts w:ascii="Times New Roman" w:hAnsi="Times New Roman" w:cs="Times New Roman"/>
                <w:sz w:val="24"/>
                <w:szCs w:val="24"/>
              </w:rPr>
            </w:pPr>
          </w:p>
          <w:p w:rsidR="006A2CBA" w:rsidRPr="006A2CBA" w:rsidRDefault="00C9640F" w:rsidP="00C9640F">
            <w:pPr>
              <w:jc w:val="both"/>
              <w:rPr>
                <w:rFonts w:ascii="Times New Roman" w:hAnsi="Times New Roman" w:cs="Times New Roman"/>
                <w:sz w:val="24"/>
                <w:szCs w:val="24"/>
              </w:rPr>
            </w:pPr>
            <w:r>
              <w:rPr>
                <w:rFonts w:ascii="Times New Roman" w:hAnsi="Times New Roman" w:cs="Times New Roman"/>
                <w:sz w:val="24"/>
                <w:szCs w:val="24"/>
              </w:rPr>
              <w:t>Jau šobrīd iemaksa valsts sociālās apdrošināšanas speciālajā budžetā pensiju apdrošināšanai un invaliditātes apdrošināšanai tiek veiktas no patentmaksas apmēra. Ņemot vērā, ka veselība apdrošināšana ir viens no sociālās apdrošināšanas veidiem, Veselības ministrija uzskata, ka nav pamata vienam sociālās apdrošināšanas veidam noteikt citu principu iemaksas bāzes noteikšanai.</w:t>
            </w:r>
          </w:p>
        </w:tc>
      </w:tr>
      <w:tr w:rsidR="006A2CBA" w:rsidTr="008C308C">
        <w:tc>
          <w:tcPr>
            <w:tcW w:w="704" w:type="dxa"/>
          </w:tcPr>
          <w:p w:rsidR="006A2CBA" w:rsidRPr="006A2CBA" w:rsidRDefault="006A2CBA">
            <w:pPr>
              <w:rPr>
                <w:rFonts w:ascii="Times New Roman" w:hAnsi="Times New Roman" w:cs="Times New Roman"/>
                <w:sz w:val="24"/>
                <w:szCs w:val="24"/>
              </w:rPr>
            </w:pPr>
          </w:p>
        </w:tc>
        <w:tc>
          <w:tcPr>
            <w:tcW w:w="2693" w:type="dxa"/>
          </w:tcPr>
          <w:p w:rsidR="006A2CBA" w:rsidRPr="006A2CBA" w:rsidRDefault="006A2CBA">
            <w:pPr>
              <w:rPr>
                <w:rFonts w:ascii="Times New Roman" w:hAnsi="Times New Roman" w:cs="Times New Roman"/>
                <w:sz w:val="24"/>
                <w:szCs w:val="24"/>
              </w:rPr>
            </w:pPr>
          </w:p>
        </w:tc>
        <w:tc>
          <w:tcPr>
            <w:tcW w:w="3686" w:type="dxa"/>
          </w:tcPr>
          <w:p w:rsidR="006A2CBA" w:rsidRPr="00675404" w:rsidRDefault="006A2CBA" w:rsidP="006A2CBA">
            <w:pPr>
              <w:pStyle w:val="naisnod"/>
              <w:spacing w:before="120" w:after="0" w:line="276" w:lineRule="auto"/>
              <w:jc w:val="both"/>
              <w:rPr>
                <w:b w:val="0"/>
              </w:rPr>
            </w:pPr>
            <w:r w:rsidRPr="00675404">
              <w:rPr>
                <w:color w:val="000000"/>
              </w:rPr>
              <w:t>Par projektu "Grozījumi Veselības aprūpes finansēšanas likumā"</w:t>
            </w:r>
          </w:p>
          <w:p w:rsidR="006A2CBA" w:rsidRPr="00D34F1D" w:rsidRDefault="006A2CBA" w:rsidP="006A2CBA">
            <w:pPr>
              <w:jc w:val="both"/>
              <w:rPr>
                <w:rFonts w:ascii="Times New Roman" w:hAnsi="Times New Roman" w:cs="Times New Roman"/>
                <w:sz w:val="24"/>
                <w:szCs w:val="24"/>
              </w:rPr>
            </w:pPr>
            <w:r>
              <w:rPr>
                <w:rFonts w:ascii="Times New Roman" w:hAnsi="Times New Roman" w:cs="Times New Roman"/>
                <w:color w:val="000000"/>
                <w:sz w:val="24"/>
                <w:szCs w:val="24"/>
              </w:rPr>
              <w:t xml:space="preserve">1) </w:t>
            </w:r>
            <w:r w:rsidRPr="00D34F1D">
              <w:rPr>
                <w:rFonts w:ascii="Times New Roman" w:hAnsi="Times New Roman" w:cs="Times New Roman"/>
                <w:color w:val="000000"/>
                <w:sz w:val="24"/>
                <w:szCs w:val="24"/>
              </w:rPr>
              <w:t xml:space="preserve">Projekts paredz  </w:t>
            </w:r>
            <w:r w:rsidRPr="00D34F1D">
              <w:rPr>
                <w:rFonts w:ascii="Times New Roman" w:hAnsi="Times New Roman" w:cs="Times New Roman"/>
                <w:sz w:val="24"/>
                <w:szCs w:val="24"/>
              </w:rPr>
              <w:t xml:space="preserve">izteikt 11.panta otrās daļas </w:t>
            </w:r>
            <w:r w:rsidRPr="00D34F1D">
              <w:rPr>
                <w:rFonts w:ascii="Times New Roman" w:eastAsia="Times New Roman" w:hAnsi="Times New Roman" w:cs="Times New Roman"/>
                <w:sz w:val="24"/>
                <w:szCs w:val="24"/>
                <w:lang w:eastAsia="lv-LV"/>
              </w:rPr>
              <w:t xml:space="preserve">16.punktu jaunā redakcijā, kas nesniedz skaidru priekšstatu, kā likums tiks attiecināts uz personām, kuras pensionējušās saskaņā ar likuma </w:t>
            </w:r>
            <w:hyperlink r:id="rId5" w:tgtFrame="_blank" w:history="1">
              <w:r w:rsidRPr="00D34F1D">
                <w:rPr>
                  <w:rStyle w:val="Hyperlink"/>
                  <w:rFonts w:ascii="Times New Roman" w:hAnsi="Times New Roman" w:cs="Times New Roman"/>
                  <w:sz w:val="24"/>
                  <w:szCs w:val="24"/>
                  <w:shd w:val="clear" w:color="auto" w:fill="FFFFFF"/>
                </w:rPr>
                <w:t>Par valsts pensijām</w:t>
              </w:r>
            </w:hyperlink>
            <w:r w:rsidRPr="00D34F1D">
              <w:rPr>
                <w:rFonts w:ascii="Times New Roman" w:hAnsi="Times New Roman" w:cs="Times New Roman"/>
                <w:sz w:val="24"/>
                <w:szCs w:val="24"/>
              </w:rPr>
              <w:t xml:space="preserve"> 11.panta ceturtās, piektās un sestās daļas nosacījumiem. </w:t>
            </w:r>
          </w:p>
          <w:p w:rsidR="002D6546" w:rsidRDefault="002D6546" w:rsidP="006A2CBA">
            <w:pPr>
              <w:jc w:val="both"/>
              <w:rPr>
                <w:color w:val="000000"/>
              </w:rPr>
            </w:pPr>
          </w:p>
          <w:p w:rsidR="002D6546" w:rsidRDefault="002D6546" w:rsidP="006A2CBA">
            <w:pPr>
              <w:jc w:val="both"/>
              <w:rPr>
                <w:color w:val="000000"/>
              </w:rPr>
            </w:pPr>
          </w:p>
          <w:p w:rsidR="002D6546" w:rsidRDefault="002D6546" w:rsidP="006A2CBA">
            <w:pPr>
              <w:jc w:val="both"/>
              <w:rPr>
                <w:rFonts w:ascii="Times New Roman" w:hAnsi="Times New Roman" w:cs="Times New Roman"/>
                <w:color w:val="000000"/>
                <w:sz w:val="24"/>
                <w:szCs w:val="24"/>
              </w:rPr>
            </w:pPr>
          </w:p>
          <w:p w:rsidR="002D6546" w:rsidRDefault="002D6546" w:rsidP="006A2CBA">
            <w:pPr>
              <w:jc w:val="both"/>
              <w:rPr>
                <w:rFonts w:ascii="Times New Roman" w:hAnsi="Times New Roman" w:cs="Times New Roman"/>
                <w:color w:val="000000"/>
                <w:sz w:val="24"/>
                <w:szCs w:val="24"/>
              </w:rPr>
            </w:pPr>
          </w:p>
          <w:p w:rsidR="002D6546" w:rsidRDefault="002D6546" w:rsidP="006A2CBA">
            <w:pPr>
              <w:jc w:val="both"/>
              <w:rPr>
                <w:rFonts w:ascii="Times New Roman" w:hAnsi="Times New Roman" w:cs="Times New Roman"/>
                <w:color w:val="000000"/>
                <w:sz w:val="24"/>
                <w:szCs w:val="24"/>
              </w:rPr>
            </w:pPr>
          </w:p>
          <w:p w:rsidR="006A2CBA" w:rsidRPr="006A2CBA" w:rsidRDefault="002D6546" w:rsidP="006A2CBA">
            <w:pPr>
              <w:jc w:val="both"/>
              <w:rPr>
                <w:rFonts w:ascii="Times New Roman" w:hAnsi="Times New Roman" w:cs="Times New Roman"/>
                <w:sz w:val="24"/>
                <w:szCs w:val="24"/>
              </w:rPr>
            </w:pPr>
            <w:r>
              <w:rPr>
                <w:rFonts w:ascii="Times New Roman" w:hAnsi="Times New Roman" w:cs="Times New Roman"/>
                <w:color w:val="000000"/>
                <w:sz w:val="24"/>
                <w:szCs w:val="24"/>
              </w:rPr>
              <w:t>2</w:t>
            </w:r>
            <w:r w:rsidR="006A2CBA">
              <w:rPr>
                <w:color w:val="000000"/>
              </w:rPr>
              <w:t xml:space="preserve">) </w:t>
            </w:r>
            <w:r w:rsidR="006A2CBA" w:rsidRPr="006A2CBA">
              <w:rPr>
                <w:rFonts w:ascii="Times New Roman" w:hAnsi="Times New Roman" w:cs="Times New Roman"/>
                <w:color w:val="000000"/>
                <w:sz w:val="24"/>
                <w:szCs w:val="24"/>
              </w:rPr>
              <w:t xml:space="preserve">Projekts paredz  </w:t>
            </w:r>
            <w:r w:rsidR="006A2CBA" w:rsidRPr="006A2CBA">
              <w:rPr>
                <w:rFonts w:ascii="Times New Roman" w:hAnsi="Times New Roman" w:cs="Times New Roman"/>
                <w:sz w:val="24"/>
                <w:szCs w:val="24"/>
              </w:rPr>
              <w:t>13.panta ceturtās daļas 1.punktā noteikt, ka Nacionālais veselības dienests izslēdz personu no veselības aprūpes pakalpojumu saņēmēju loka, ja ir pagājuši trīs mēneši no brīža, kad persona vairs neatbilst šā likuma </w:t>
            </w:r>
            <w:hyperlink r:id="rId6" w:anchor="p11" w:history="1">
              <w:r w:rsidR="006A2CBA" w:rsidRPr="006A2CBA">
                <w:rPr>
                  <w:rStyle w:val="Hyperlink"/>
                  <w:rFonts w:ascii="Times New Roman" w:hAnsi="Times New Roman" w:cs="Times New Roman"/>
                  <w:sz w:val="24"/>
                  <w:szCs w:val="24"/>
                </w:rPr>
                <w:t>11. panta</w:t>
              </w:r>
            </w:hyperlink>
            <w:r w:rsidR="006A2CBA" w:rsidRPr="006A2CBA">
              <w:rPr>
                <w:rFonts w:ascii="Times New Roman" w:hAnsi="Times New Roman" w:cs="Times New Roman"/>
                <w:sz w:val="24"/>
                <w:szCs w:val="24"/>
              </w:rPr>
              <w:t xml:space="preserve"> pirmās, otrās vai trešās daļas nosacījumiem. Trīs mēneši ir pārāk īss termiņš, it sevišķi, ja persona ilgus gadus ir strādājusi un maksājusi visus darba </w:t>
            </w:r>
            <w:r w:rsidR="006A2CBA" w:rsidRPr="006A2CBA">
              <w:rPr>
                <w:rFonts w:ascii="Times New Roman" w:hAnsi="Times New Roman" w:cs="Times New Roman"/>
                <w:sz w:val="24"/>
                <w:szCs w:val="24"/>
              </w:rPr>
              <w:lastRenderedPageBreak/>
              <w:t>nodokļus un tiem pielīdzināmos maksājumus</w:t>
            </w:r>
          </w:p>
        </w:tc>
        <w:tc>
          <w:tcPr>
            <w:tcW w:w="3402" w:type="dxa"/>
          </w:tcPr>
          <w:p w:rsidR="00C9640F" w:rsidRDefault="00C9640F">
            <w:pPr>
              <w:rPr>
                <w:rFonts w:ascii="Times New Roman" w:hAnsi="Times New Roman" w:cs="Times New Roman"/>
                <w:sz w:val="24"/>
                <w:szCs w:val="24"/>
              </w:rPr>
            </w:pPr>
          </w:p>
          <w:p w:rsidR="00C9640F" w:rsidRDefault="00C9640F">
            <w:pPr>
              <w:rPr>
                <w:rFonts w:ascii="Times New Roman" w:hAnsi="Times New Roman" w:cs="Times New Roman"/>
                <w:sz w:val="24"/>
                <w:szCs w:val="24"/>
              </w:rPr>
            </w:pPr>
          </w:p>
          <w:p w:rsidR="00C9640F" w:rsidRDefault="00C9640F">
            <w:pPr>
              <w:rPr>
                <w:rFonts w:ascii="Times New Roman" w:hAnsi="Times New Roman" w:cs="Times New Roman"/>
                <w:sz w:val="24"/>
                <w:szCs w:val="24"/>
              </w:rPr>
            </w:pPr>
          </w:p>
          <w:p w:rsidR="00C9640F" w:rsidRDefault="00C9640F">
            <w:pPr>
              <w:rPr>
                <w:rFonts w:ascii="Times New Roman" w:hAnsi="Times New Roman" w:cs="Times New Roman"/>
                <w:sz w:val="24"/>
                <w:szCs w:val="24"/>
              </w:rPr>
            </w:pPr>
          </w:p>
          <w:p w:rsidR="006A2CBA" w:rsidRDefault="00C9640F">
            <w:pPr>
              <w:rPr>
                <w:rFonts w:ascii="Times New Roman" w:hAnsi="Times New Roman" w:cs="Times New Roman"/>
                <w:sz w:val="24"/>
                <w:szCs w:val="24"/>
              </w:rPr>
            </w:pPr>
            <w:r>
              <w:rPr>
                <w:rFonts w:ascii="Times New Roman" w:hAnsi="Times New Roman" w:cs="Times New Roman"/>
                <w:sz w:val="24"/>
                <w:szCs w:val="24"/>
              </w:rPr>
              <w:t>Nav ņemts vērā</w:t>
            </w:r>
          </w:p>
          <w:p w:rsidR="002D6546" w:rsidRDefault="002D6546">
            <w:pPr>
              <w:rPr>
                <w:rFonts w:ascii="Times New Roman" w:hAnsi="Times New Roman" w:cs="Times New Roman"/>
                <w:sz w:val="24"/>
                <w:szCs w:val="24"/>
              </w:rPr>
            </w:pPr>
          </w:p>
          <w:p w:rsidR="002D6546" w:rsidRDefault="002D6546">
            <w:pPr>
              <w:rPr>
                <w:rFonts w:ascii="Times New Roman" w:hAnsi="Times New Roman" w:cs="Times New Roman"/>
                <w:sz w:val="24"/>
                <w:szCs w:val="24"/>
              </w:rPr>
            </w:pPr>
          </w:p>
          <w:p w:rsidR="002D6546" w:rsidRDefault="002D6546">
            <w:pPr>
              <w:rPr>
                <w:rFonts w:ascii="Times New Roman" w:hAnsi="Times New Roman" w:cs="Times New Roman"/>
                <w:sz w:val="24"/>
                <w:szCs w:val="24"/>
              </w:rPr>
            </w:pPr>
          </w:p>
          <w:p w:rsidR="002D6546" w:rsidRDefault="002D6546">
            <w:pPr>
              <w:rPr>
                <w:rFonts w:ascii="Times New Roman" w:hAnsi="Times New Roman" w:cs="Times New Roman"/>
                <w:sz w:val="24"/>
                <w:szCs w:val="24"/>
              </w:rPr>
            </w:pPr>
          </w:p>
          <w:p w:rsidR="002D6546" w:rsidRDefault="002D6546">
            <w:pPr>
              <w:rPr>
                <w:rFonts w:ascii="Times New Roman" w:hAnsi="Times New Roman" w:cs="Times New Roman"/>
                <w:sz w:val="24"/>
                <w:szCs w:val="24"/>
              </w:rPr>
            </w:pPr>
          </w:p>
          <w:p w:rsidR="002D6546" w:rsidRDefault="002D6546">
            <w:pPr>
              <w:rPr>
                <w:rFonts w:ascii="Times New Roman" w:hAnsi="Times New Roman" w:cs="Times New Roman"/>
                <w:sz w:val="24"/>
                <w:szCs w:val="24"/>
              </w:rPr>
            </w:pPr>
          </w:p>
          <w:p w:rsidR="002D6546" w:rsidRDefault="002D6546">
            <w:pPr>
              <w:rPr>
                <w:rFonts w:ascii="Times New Roman" w:hAnsi="Times New Roman" w:cs="Times New Roman"/>
                <w:sz w:val="24"/>
                <w:szCs w:val="24"/>
              </w:rPr>
            </w:pPr>
          </w:p>
          <w:p w:rsidR="002D6546" w:rsidRDefault="002D6546">
            <w:pPr>
              <w:rPr>
                <w:rFonts w:ascii="Times New Roman" w:hAnsi="Times New Roman" w:cs="Times New Roman"/>
                <w:sz w:val="24"/>
                <w:szCs w:val="24"/>
              </w:rPr>
            </w:pPr>
          </w:p>
          <w:p w:rsidR="002D6546" w:rsidRDefault="002D6546">
            <w:pPr>
              <w:rPr>
                <w:rFonts w:ascii="Times New Roman" w:hAnsi="Times New Roman" w:cs="Times New Roman"/>
                <w:sz w:val="24"/>
                <w:szCs w:val="24"/>
              </w:rPr>
            </w:pPr>
          </w:p>
          <w:p w:rsidR="002D6546" w:rsidRDefault="002D6546">
            <w:pPr>
              <w:rPr>
                <w:rFonts w:ascii="Times New Roman" w:hAnsi="Times New Roman" w:cs="Times New Roman"/>
                <w:sz w:val="24"/>
                <w:szCs w:val="24"/>
              </w:rPr>
            </w:pPr>
          </w:p>
          <w:p w:rsidR="002D6546" w:rsidRDefault="002D6546">
            <w:pPr>
              <w:rPr>
                <w:rFonts w:ascii="Times New Roman" w:hAnsi="Times New Roman" w:cs="Times New Roman"/>
                <w:sz w:val="24"/>
                <w:szCs w:val="24"/>
              </w:rPr>
            </w:pPr>
          </w:p>
          <w:p w:rsidR="002D6546" w:rsidRDefault="002D6546">
            <w:pPr>
              <w:rPr>
                <w:rFonts w:ascii="Times New Roman" w:hAnsi="Times New Roman" w:cs="Times New Roman"/>
                <w:sz w:val="24"/>
                <w:szCs w:val="24"/>
              </w:rPr>
            </w:pPr>
          </w:p>
          <w:p w:rsidR="002D6546" w:rsidRDefault="002D6546">
            <w:pPr>
              <w:rPr>
                <w:rFonts w:ascii="Times New Roman" w:hAnsi="Times New Roman" w:cs="Times New Roman"/>
                <w:sz w:val="24"/>
                <w:szCs w:val="24"/>
              </w:rPr>
            </w:pPr>
          </w:p>
          <w:p w:rsidR="002D6546" w:rsidRPr="006A2CBA" w:rsidRDefault="002D6546">
            <w:pPr>
              <w:rPr>
                <w:rFonts w:ascii="Times New Roman" w:hAnsi="Times New Roman" w:cs="Times New Roman"/>
                <w:sz w:val="24"/>
                <w:szCs w:val="24"/>
              </w:rPr>
            </w:pPr>
            <w:r>
              <w:rPr>
                <w:rFonts w:ascii="Times New Roman" w:hAnsi="Times New Roman" w:cs="Times New Roman"/>
                <w:sz w:val="24"/>
                <w:szCs w:val="24"/>
              </w:rPr>
              <w:t>Nav ņemts vērā</w:t>
            </w:r>
          </w:p>
        </w:tc>
        <w:tc>
          <w:tcPr>
            <w:tcW w:w="3402" w:type="dxa"/>
          </w:tcPr>
          <w:p w:rsidR="006A2CBA" w:rsidRDefault="006A2CBA">
            <w:pPr>
              <w:rPr>
                <w:rFonts w:ascii="Times New Roman" w:hAnsi="Times New Roman" w:cs="Times New Roman"/>
                <w:sz w:val="24"/>
                <w:szCs w:val="24"/>
              </w:rPr>
            </w:pPr>
          </w:p>
          <w:p w:rsidR="00C9640F" w:rsidRDefault="00C9640F">
            <w:pPr>
              <w:rPr>
                <w:rFonts w:ascii="Times New Roman" w:hAnsi="Times New Roman" w:cs="Times New Roman"/>
                <w:sz w:val="24"/>
                <w:szCs w:val="24"/>
              </w:rPr>
            </w:pPr>
          </w:p>
          <w:p w:rsidR="00C9640F" w:rsidRDefault="00C9640F">
            <w:pPr>
              <w:rPr>
                <w:rFonts w:ascii="Times New Roman" w:hAnsi="Times New Roman" w:cs="Times New Roman"/>
                <w:sz w:val="24"/>
                <w:szCs w:val="24"/>
              </w:rPr>
            </w:pPr>
          </w:p>
          <w:p w:rsidR="00C9640F" w:rsidRDefault="002D6546" w:rsidP="00C9640F">
            <w:pPr>
              <w:jc w:val="both"/>
              <w:rPr>
                <w:rFonts w:ascii="Times New Roman" w:hAnsi="Times New Roman" w:cs="Times New Roman"/>
                <w:sz w:val="24"/>
                <w:szCs w:val="24"/>
              </w:rPr>
            </w:pPr>
            <w:r>
              <w:rPr>
                <w:rFonts w:ascii="Times New Roman" w:hAnsi="Times New Roman" w:cs="Times New Roman"/>
                <w:sz w:val="24"/>
                <w:szCs w:val="24"/>
              </w:rPr>
              <w:t>Skaidrojam, ka likumprojektā netiek ietverta atsauce uz pensijas vecuma sasniegšanu, bet gan tiek noteikts, ka uz personām, kuras saņem vai kurām ir tiesības saņemt Latvijas valsts pensiju. Savukārt likuma “Par valsts pensijām” 11.pants (tajā skaitā šī  ceturtā, piektā un sestā daļa) definē šīs personas.  Līdz ar to likumprojekta regulējums attieksies arī uz tām personām, kuras būs priekšlaicīgi pensionējušās.</w:t>
            </w:r>
          </w:p>
          <w:p w:rsidR="002D6546" w:rsidRDefault="002D6546" w:rsidP="00C9640F">
            <w:pPr>
              <w:jc w:val="both"/>
              <w:rPr>
                <w:rFonts w:ascii="Times New Roman" w:hAnsi="Times New Roman" w:cs="Times New Roman"/>
                <w:sz w:val="24"/>
                <w:szCs w:val="24"/>
              </w:rPr>
            </w:pPr>
          </w:p>
          <w:p w:rsidR="002D6546" w:rsidRPr="006A2CBA" w:rsidRDefault="002D6546" w:rsidP="00C9640F">
            <w:pPr>
              <w:jc w:val="both"/>
              <w:rPr>
                <w:rFonts w:ascii="Times New Roman" w:hAnsi="Times New Roman" w:cs="Times New Roman"/>
                <w:sz w:val="24"/>
                <w:szCs w:val="24"/>
              </w:rPr>
            </w:pPr>
            <w:r>
              <w:rPr>
                <w:rFonts w:ascii="Times New Roman" w:hAnsi="Times New Roman" w:cs="Times New Roman"/>
                <w:sz w:val="24"/>
                <w:szCs w:val="24"/>
              </w:rPr>
              <w:t>Veselības ministrijas ieskatā trīs mēneši ir pietiekams laika posms, lai</w:t>
            </w:r>
            <w:r w:rsidR="00214AA9">
              <w:rPr>
                <w:rFonts w:ascii="Times New Roman" w:hAnsi="Times New Roman" w:cs="Times New Roman"/>
                <w:sz w:val="24"/>
                <w:szCs w:val="24"/>
              </w:rPr>
              <w:t xml:space="preserve"> persona</w:t>
            </w:r>
            <w:r>
              <w:rPr>
                <w:rFonts w:ascii="Times New Roman" w:hAnsi="Times New Roman" w:cs="Times New Roman"/>
                <w:sz w:val="24"/>
                <w:szCs w:val="24"/>
              </w:rPr>
              <w:t xml:space="preserve"> sakārtotu savu</w:t>
            </w:r>
            <w:r w:rsidR="00E65429">
              <w:rPr>
                <w:rFonts w:ascii="Times New Roman" w:hAnsi="Times New Roman" w:cs="Times New Roman"/>
                <w:sz w:val="24"/>
                <w:szCs w:val="24"/>
              </w:rPr>
              <w:t xml:space="preserve"> veselības apdrošināšanas</w:t>
            </w:r>
            <w:r>
              <w:rPr>
                <w:rFonts w:ascii="Times New Roman" w:hAnsi="Times New Roman" w:cs="Times New Roman"/>
                <w:sz w:val="24"/>
                <w:szCs w:val="24"/>
              </w:rPr>
              <w:t xml:space="preserve"> statusu</w:t>
            </w:r>
            <w:r w:rsidR="00214AA9">
              <w:rPr>
                <w:rFonts w:ascii="Times New Roman" w:hAnsi="Times New Roman" w:cs="Times New Roman"/>
                <w:sz w:val="24"/>
                <w:szCs w:val="24"/>
              </w:rPr>
              <w:t xml:space="preserve">. </w:t>
            </w:r>
          </w:p>
        </w:tc>
      </w:tr>
      <w:tr w:rsidR="006A76E8" w:rsidTr="008C308C">
        <w:tc>
          <w:tcPr>
            <w:tcW w:w="704" w:type="dxa"/>
          </w:tcPr>
          <w:p w:rsidR="006A76E8" w:rsidRPr="006A2CBA" w:rsidRDefault="006A76E8">
            <w:pPr>
              <w:rPr>
                <w:rFonts w:ascii="Times New Roman" w:hAnsi="Times New Roman" w:cs="Times New Roman"/>
                <w:sz w:val="24"/>
                <w:szCs w:val="24"/>
              </w:rPr>
            </w:pPr>
          </w:p>
        </w:tc>
        <w:tc>
          <w:tcPr>
            <w:tcW w:w="2693" w:type="dxa"/>
          </w:tcPr>
          <w:p w:rsidR="006A76E8" w:rsidRPr="006A2CBA" w:rsidRDefault="006A76E8">
            <w:pPr>
              <w:rPr>
                <w:rFonts w:ascii="Times New Roman" w:hAnsi="Times New Roman" w:cs="Times New Roman"/>
                <w:sz w:val="24"/>
                <w:szCs w:val="24"/>
              </w:rPr>
            </w:pPr>
          </w:p>
        </w:tc>
        <w:tc>
          <w:tcPr>
            <w:tcW w:w="3686" w:type="dxa"/>
          </w:tcPr>
          <w:p w:rsidR="006A76E8" w:rsidRDefault="006A76E8" w:rsidP="006A76E8">
            <w:pPr>
              <w:pStyle w:val="naisnod"/>
              <w:spacing w:before="0" w:after="0"/>
              <w:jc w:val="both"/>
              <w:rPr>
                <w:b w:val="0"/>
                <w:bCs w:val="0"/>
                <w:color w:val="000000"/>
              </w:rPr>
            </w:pPr>
            <w:r>
              <w:rPr>
                <w:color w:val="000000"/>
              </w:rPr>
              <w:t>Par likumprojektu “Grozījumi likumā “Par valsts sociālo apdrošināšanu””</w:t>
            </w:r>
          </w:p>
          <w:p w:rsidR="006A76E8" w:rsidRDefault="005959B8" w:rsidP="006A76E8">
            <w:pPr>
              <w:pStyle w:val="naisnod"/>
              <w:spacing w:before="0" w:after="0"/>
              <w:jc w:val="both"/>
              <w:rPr>
                <w:b w:val="0"/>
                <w:bCs w:val="0"/>
                <w:color w:val="000000"/>
              </w:rPr>
            </w:pPr>
            <w:r>
              <w:rPr>
                <w:b w:val="0"/>
                <w:bCs w:val="0"/>
                <w:color w:val="000000"/>
              </w:rPr>
              <w:t>1) Par projekta 2.pantu:</w:t>
            </w:r>
          </w:p>
          <w:p w:rsidR="005959B8" w:rsidRDefault="005959B8" w:rsidP="006A76E8">
            <w:pPr>
              <w:pStyle w:val="naisnod"/>
              <w:spacing w:before="0" w:after="0"/>
              <w:jc w:val="both"/>
              <w:rPr>
                <w:b w:val="0"/>
                <w:bCs w:val="0"/>
                <w:color w:val="000000"/>
              </w:rPr>
            </w:pPr>
            <w:r>
              <w:rPr>
                <w:b w:val="0"/>
                <w:bCs w:val="0"/>
                <w:color w:val="000000"/>
              </w:rPr>
              <w:t>a) projekts paredz izteikt Likuma 6.panta 1.daļu jaunā redakcijā. LDDK ieskatā VM piedāvātās redakcijas tvērums ir pārāk plašs.</w:t>
            </w:r>
          </w:p>
          <w:p w:rsidR="00214AA9" w:rsidRDefault="00214AA9" w:rsidP="006A76E8">
            <w:pPr>
              <w:pStyle w:val="naisnod"/>
              <w:spacing w:before="0" w:after="0"/>
              <w:jc w:val="both"/>
              <w:rPr>
                <w:b w:val="0"/>
                <w:bCs w:val="0"/>
                <w:color w:val="000000"/>
              </w:rPr>
            </w:pPr>
          </w:p>
          <w:p w:rsidR="00214AA9" w:rsidRDefault="00214AA9" w:rsidP="006A76E8">
            <w:pPr>
              <w:pStyle w:val="naisnod"/>
              <w:spacing w:before="0" w:after="0"/>
              <w:jc w:val="both"/>
              <w:rPr>
                <w:b w:val="0"/>
                <w:bCs w:val="0"/>
                <w:color w:val="000000"/>
              </w:rPr>
            </w:pPr>
          </w:p>
          <w:p w:rsidR="005959B8" w:rsidRDefault="005959B8" w:rsidP="006A76E8">
            <w:pPr>
              <w:pStyle w:val="naisnod"/>
              <w:spacing w:before="0" w:after="0"/>
              <w:jc w:val="both"/>
              <w:rPr>
                <w:b w:val="0"/>
                <w:bCs w:val="0"/>
                <w:color w:val="000000"/>
              </w:rPr>
            </w:pPr>
            <w:r>
              <w:rPr>
                <w:b w:val="0"/>
                <w:bCs w:val="0"/>
                <w:color w:val="000000"/>
              </w:rPr>
              <w:t>b) projekts paredz izteikt Likuma 6.panta 2.daļu jaunā redakcijā. Eksperta ieskatā darba ņēmēji, kuriem ir piešķirta izdienas pensija, veselības apdrošināšanai ir pakļaujami līdz vispārējā pensijas vecuma sasniegšanai</w:t>
            </w:r>
          </w:p>
          <w:p w:rsidR="00AA1DA9" w:rsidRDefault="00AA1DA9" w:rsidP="006A76E8">
            <w:pPr>
              <w:pStyle w:val="naisnod"/>
              <w:spacing w:before="0" w:after="0"/>
              <w:jc w:val="both"/>
              <w:rPr>
                <w:b w:val="0"/>
                <w:bCs w:val="0"/>
                <w:color w:val="000000"/>
              </w:rPr>
            </w:pPr>
          </w:p>
          <w:p w:rsidR="005959B8" w:rsidRDefault="005959B8" w:rsidP="006A76E8">
            <w:pPr>
              <w:pStyle w:val="naisnod"/>
              <w:spacing w:before="0" w:after="0"/>
              <w:jc w:val="both"/>
              <w:rPr>
                <w:b w:val="0"/>
                <w:bCs w:val="0"/>
                <w:color w:val="000000"/>
              </w:rPr>
            </w:pPr>
            <w:r>
              <w:rPr>
                <w:b w:val="0"/>
                <w:bCs w:val="0"/>
                <w:color w:val="000000"/>
              </w:rPr>
              <w:t>c) projekts paredz izteikt Likuma 6.panta (2.</w:t>
            </w:r>
            <w:r>
              <w:rPr>
                <w:b w:val="0"/>
                <w:bCs w:val="0"/>
                <w:color w:val="000000"/>
                <w:vertAlign w:val="superscript"/>
              </w:rPr>
              <w:t xml:space="preserve">2 </w:t>
            </w:r>
            <w:r>
              <w:rPr>
                <w:b w:val="0"/>
                <w:bCs w:val="0"/>
                <w:color w:val="000000"/>
              </w:rPr>
              <w:t>) daļu jaunā redakcijā, kuras noslēguma daļā vārds “pensijas” aizstāt ar vārdu “veselības”. Eksperta ieskatā ir jāizvērtē, vai šajā vietā ir nepieciešama vārdkopa “pensijas un veselības”.</w:t>
            </w:r>
          </w:p>
          <w:p w:rsidR="00AA1DA9" w:rsidRDefault="00AA1DA9" w:rsidP="006A76E8">
            <w:pPr>
              <w:pStyle w:val="naisnod"/>
              <w:spacing w:before="0" w:after="0"/>
              <w:jc w:val="both"/>
              <w:rPr>
                <w:b w:val="0"/>
                <w:bCs w:val="0"/>
                <w:color w:val="000000"/>
              </w:rPr>
            </w:pPr>
          </w:p>
          <w:p w:rsidR="00AA1DA9" w:rsidRDefault="00AA1DA9" w:rsidP="006A76E8">
            <w:pPr>
              <w:pStyle w:val="naisnod"/>
              <w:spacing w:before="0" w:after="0"/>
              <w:jc w:val="both"/>
              <w:rPr>
                <w:b w:val="0"/>
                <w:bCs w:val="0"/>
                <w:color w:val="000000"/>
              </w:rPr>
            </w:pPr>
          </w:p>
          <w:p w:rsidR="00AA1DA9" w:rsidRDefault="00AA1DA9" w:rsidP="006A76E8">
            <w:pPr>
              <w:pStyle w:val="naisnod"/>
              <w:spacing w:before="0" w:after="0"/>
              <w:jc w:val="both"/>
              <w:rPr>
                <w:b w:val="0"/>
                <w:bCs w:val="0"/>
                <w:color w:val="000000"/>
              </w:rPr>
            </w:pPr>
          </w:p>
          <w:p w:rsidR="00AA1DA9" w:rsidRDefault="00AA1DA9" w:rsidP="006A76E8">
            <w:pPr>
              <w:pStyle w:val="naisnod"/>
              <w:spacing w:before="0" w:after="0"/>
              <w:jc w:val="both"/>
              <w:rPr>
                <w:b w:val="0"/>
                <w:bCs w:val="0"/>
                <w:color w:val="000000"/>
              </w:rPr>
            </w:pPr>
          </w:p>
          <w:p w:rsidR="005959B8" w:rsidRDefault="005959B8" w:rsidP="006A76E8">
            <w:pPr>
              <w:pStyle w:val="naisnod"/>
              <w:spacing w:before="0" w:after="0"/>
              <w:jc w:val="both"/>
              <w:rPr>
                <w:b w:val="0"/>
                <w:bCs w:val="0"/>
                <w:color w:val="000000"/>
              </w:rPr>
            </w:pPr>
            <w:r>
              <w:rPr>
                <w:b w:val="0"/>
                <w:bCs w:val="0"/>
                <w:color w:val="000000"/>
              </w:rPr>
              <w:t>2) Par projekta 6.pantu – projekts paredz papildināt Likuma 18.pantu ar (1.</w:t>
            </w:r>
            <w:r>
              <w:rPr>
                <w:b w:val="0"/>
                <w:bCs w:val="0"/>
                <w:color w:val="000000"/>
                <w:vertAlign w:val="superscript"/>
              </w:rPr>
              <w:t>1</w:t>
            </w:r>
            <w:r>
              <w:rPr>
                <w:b w:val="0"/>
                <w:bCs w:val="0"/>
                <w:color w:val="000000"/>
              </w:rPr>
              <w:t>) daļu, kurā ir noteikts obligāto iemaksu apjoms īpašos (šā likuma 5.panta (2.</w:t>
            </w:r>
            <w:r>
              <w:rPr>
                <w:b w:val="0"/>
                <w:bCs w:val="0"/>
                <w:color w:val="000000"/>
                <w:vertAlign w:val="superscript"/>
              </w:rPr>
              <w:t>1</w:t>
            </w:r>
            <w:r>
              <w:rPr>
                <w:b w:val="0"/>
                <w:bCs w:val="0"/>
                <w:color w:val="000000"/>
              </w:rPr>
              <w:t>) daļā minētajos) gadījumos. Eksperta ieskatā ir jāvērtē, vai šāds apjoms nav piemērojams arī attiecībā uz dažām citām nodokļu maksātāju grupām, piemēram, patentmaksas gadījumiem.</w:t>
            </w:r>
          </w:p>
          <w:p w:rsidR="008C308C" w:rsidRDefault="008C308C" w:rsidP="006A76E8">
            <w:pPr>
              <w:pStyle w:val="naisnod"/>
              <w:spacing w:before="0" w:after="0"/>
              <w:jc w:val="both"/>
              <w:rPr>
                <w:b w:val="0"/>
                <w:bCs w:val="0"/>
                <w:color w:val="000000"/>
              </w:rPr>
            </w:pPr>
          </w:p>
          <w:p w:rsidR="008C308C" w:rsidRDefault="008C308C" w:rsidP="006A76E8">
            <w:pPr>
              <w:pStyle w:val="naisnod"/>
              <w:spacing w:before="0" w:after="0"/>
              <w:jc w:val="both"/>
              <w:rPr>
                <w:b w:val="0"/>
                <w:bCs w:val="0"/>
                <w:color w:val="000000"/>
              </w:rPr>
            </w:pPr>
          </w:p>
          <w:p w:rsidR="005959B8" w:rsidRDefault="005959B8" w:rsidP="006A76E8">
            <w:pPr>
              <w:pStyle w:val="naisnod"/>
              <w:spacing w:before="0" w:after="0"/>
              <w:jc w:val="both"/>
              <w:rPr>
                <w:b w:val="0"/>
                <w:bCs w:val="0"/>
                <w:color w:val="000000"/>
              </w:rPr>
            </w:pPr>
            <w:r>
              <w:rPr>
                <w:b w:val="0"/>
                <w:bCs w:val="0"/>
                <w:color w:val="000000"/>
              </w:rPr>
              <w:t>3) par projekta 7.pantu – projekts paredz papildināt likuma 21.pantu ar (5.</w:t>
            </w:r>
            <w:r>
              <w:rPr>
                <w:b w:val="0"/>
                <w:bCs w:val="0"/>
                <w:color w:val="000000"/>
                <w:vertAlign w:val="superscript"/>
              </w:rPr>
              <w:t>1</w:t>
            </w:r>
            <w:r>
              <w:rPr>
                <w:b w:val="0"/>
                <w:bCs w:val="0"/>
                <w:color w:val="000000"/>
              </w:rPr>
              <w:t>) daļu, kurā ir noteikts obligāto iemaksu veikšanas termiņš atsevišķām maksātāju kategorijām. Eksperta ieskatā nav skaidrs, kad ir jāveic iemaksas tām personām, kuras iegūst statusu pēc kalendārā gada 15.aprīļa.</w:t>
            </w:r>
          </w:p>
          <w:p w:rsidR="008C308C" w:rsidRDefault="008C308C" w:rsidP="006A76E8">
            <w:pPr>
              <w:pStyle w:val="naisnod"/>
              <w:spacing w:before="0" w:after="0"/>
              <w:jc w:val="both"/>
              <w:rPr>
                <w:b w:val="0"/>
                <w:bCs w:val="0"/>
                <w:color w:val="000000"/>
              </w:rPr>
            </w:pPr>
          </w:p>
          <w:p w:rsidR="005959B8" w:rsidRDefault="005959B8" w:rsidP="006A76E8">
            <w:pPr>
              <w:pStyle w:val="naisnod"/>
              <w:spacing w:before="0" w:after="0"/>
              <w:jc w:val="both"/>
              <w:rPr>
                <w:b w:val="0"/>
                <w:bCs w:val="0"/>
                <w:color w:val="000000"/>
              </w:rPr>
            </w:pPr>
            <w:r>
              <w:rPr>
                <w:b w:val="0"/>
                <w:bCs w:val="0"/>
                <w:color w:val="000000"/>
              </w:rPr>
              <w:t>4) par projekta 10. pantu un 11.pantu:</w:t>
            </w:r>
          </w:p>
          <w:p w:rsidR="005959B8" w:rsidRDefault="005959B8" w:rsidP="006A76E8">
            <w:pPr>
              <w:pStyle w:val="naisnod"/>
              <w:spacing w:before="0" w:after="0"/>
              <w:jc w:val="both"/>
              <w:rPr>
                <w:b w:val="0"/>
                <w:bCs w:val="0"/>
                <w:color w:val="000000"/>
              </w:rPr>
            </w:pPr>
            <w:r>
              <w:rPr>
                <w:b w:val="0"/>
                <w:bCs w:val="0"/>
                <w:color w:val="000000"/>
              </w:rPr>
              <w:t>a) projekts paredz Likuma 23.</w:t>
            </w:r>
            <w:r>
              <w:rPr>
                <w:b w:val="0"/>
                <w:bCs w:val="0"/>
                <w:color w:val="000000"/>
                <w:vertAlign w:val="superscript"/>
              </w:rPr>
              <w:t xml:space="preserve">1 </w:t>
            </w:r>
            <w:r>
              <w:rPr>
                <w:b w:val="0"/>
                <w:bCs w:val="0"/>
                <w:color w:val="000000"/>
              </w:rPr>
              <w:t>pantā un 23.</w:t>
            </w:r>
            <w:r>
              <w:rPr>
                <w:b w:val="0"/>
                <w:bCs w:val="0"/>
                <w:color w:val="000000"/>
                <w:vertAlign w:val="superscript"/>
              </w:rPr>
              <w:t>2</w:t>
            </w:r>
            <w:r>
              <w:rPr>
                <w:b w:val="0"/>
                <w:bCs w:val="0"/>
                <w:color w:val="000000"/>
              </w:rPr>
              <w:t xml:space="preserve"> pantā noteiktajām grupām </w:t>
            </w:r>
            <w:r>
              <w:rPr>
                <w:b w:val="0"/>
                <w:bCs w:val="0"/>
                <w:color w:val="000000"/>
              </w:rPr>
              <w:lastRenderedPageBreak/>
              <w:t>obligātās iemaksas paaugstināt no pieciem uz sešiem procentiem. Ja vērtē veselības iemaksu un obligātās sociālās apdrošināšanas iemaksu samēru, tad šajā gadījumā tas ir 1/5. Savukārt vispārējā darba nodokļu režīmā tas ir 1/34.</w:t>
            </w:r>
          </w:p>
          <w:p w:rsidR="005959B8" w:rsidRPr="005959B8" w:rsidRDefault="005959B8" w:rsidP="006A76E8">
            <w:pPr>
              <w:pStyle w:val="naisnod"/>
              <w:spacing w:before="0" w:after="0"/>
              <w:jc w:val="both"/>
              <w:rPr>
                <w:b w:val="0"/>
                <w:bCs w:val="0"/>
                <w:color w:val="000000"/>
              </w:rPr>
            </w:pPr>
            <w:r>
              <w:rPr>
                <w:b w:val="0"/>
                <w:bCs w:val="0"/>
                <w:color w:val="000000"/>
              </w:rPr>
              <w:t>b) jāizvērtē vai 23.</w:t>
            </w:r>
            <w:r>
              <w:rPr>
                <w:b w:val="0"/>
                <w:bCs w:val="0"/>
                <w:color w:val="000000"/>
                <w:vertAlign w:val="superscript"/>
              </w:rPr>
              <w:t>2</w:t>
            </w:r>
            <w:r>
              <w:rPr>
                <w:b w:val="0"/>
                <w:bCs w:val="0"/>
                <w:color w:val="000000"/>
              </w:rPr>
              <w:t xml:space="preserve"> panta pirmās daļas otrā punkta otrajā teikumā ir jābūt ietvertam arī veselības apdrošināšanas maksājumam.</w:t>
            </w:r>
          </w:p>
        </w:tc>
        <w:tc>
          <w:tcPr>
            <w:tcW w:w="3402" w:type="dxa"/>
          </w:tcPr>
          <w:p w:rsidR="006A76E8" w:rsidRDefault="006A76E8">
            <w:pPr>
              <w:rPr>
                <w:rFonts w:ascii="Times New Roman" w:hAnsi="Times New Roman" w:cs="Times New Roman"/>
                <w:sz w:val="24"/>
                <w:szCs w:val="24"/>
              </w:rPr>
            </w:pPr>
          </w:p>
          <w:p w:rsidR="00214AA9" w:rsidRDefault="00214AA9">
            <w:pPr>
              <w:rPr>
                <w:rFonts w:ascii="Times New Roman" w:hAnsi="Times New Roman" w:cs="Times New Roman"/>
                <w:sz w:val="24"/>
                <w:szCs w:val="24"/>
              </w:rPr>
            </w:pPr>
          </w:p>
          <w:p w:rsidR="00214AA9" w:rsidRDefault="00214AA9">
            <w:pPr>
              <w:rPr>
                <w:rFonts w:ascii="Times New Roman" w:hAnsi="Times New Roman" w:cs="Times New Roman"/>
                <w:sz w:val="24"/>
                <w:szCs w:val="24"/>
              </w:rPr>
            </w:pPr>
          </w:p>
          <w:p w:rsidR="00214AA9" w:rsidRDefault="00214AA9">
            <w:pPr>
              <w:rPr>
                <w:rFonts w:ascii="Times New Roman" w:hAnsi="Times New Roman" w:cs="Times New Roman"/>
                <w:sz w:val="24"/>
                <w:szCs w:val="24"/>
              </w:rPr>
            </w:pPr>
          </w:p>
          <w:p w:rsidR="00214AA9" w:rsidRDefault="00214AA9">
            <w:pPr>
              <w:rPr>
                <w:rFonts w:ascii="Times New Roman" w:hAnsi="Times New Roman" w:cs="Times New Roman"/>
                <w:sz w:val="24"/>
                <w:szCs w:val="24"/>
              </w:rPr>
            </w:pPr>
            <w:r>
              <w:rPr>
                <w:rFonts w:ascii="Times New Roman" w:hAnsi="Times New Roman" w:cs="Times New Roman"/>
                <w:sz w:val="24"/>
                <w:szCs w:val="24"/>
              </w:rPr>
              <w:t>Nav ņemts vērā</w:t>
            </w:r>
          </w:p>
          <w:p w:rsidR="00214AA9" w:rsidRDefault="00214AA9">
            <w:pPr>
              <w:rPr>
                <w:rFonts w:ascii="Times New Roman" w:hAnsi="Times New Roman" w:cs="Times New Roman"/>
                <w:sz w:val="24"/>
                <w:szCs w:val="24"/>
              </w:rPr>
            </w:pPr>
          </w:p>
          <w:p w:rsidR="00214AA9" w:rsidRDefault="00214AA9">
            <w:pPr>
              <w:rPr>
                <w:rFonts w:ascii="Times New Roman" w:hAnsi="Times New Roman" w:cs="Times New Roman"/>
                <w:sz w:val="24"/>
                <w:szCs w:val="24"/>
              </w:rPr>
            </w:pPr>
          </w:p>
          <w:p w:rsidR="00214AA9" w:rsidRDefault="00214AA9">
            <w:pPr>
              <w:rPr>
                <w:rFonts w:ascii="Times New Roman" w:hAnsi="Times New Roman" w:cs="Times New Roman"/>
                <w:sz w:val="24"/>
                <w:szCs w:val="24"/>
              </w:rPr>
            </w:pPr>
          </w:p>
          <w:p w:rsidR="00214AA9" w:rsidRDefault="00214AA9">
            <w:pPr>
              <w:rPr>
                <w:rFonts w:ascii="Times New Roman" w:hAnsi="Times New Roman" w:cs="Times New Roman"/>
                <w:sz w:val="24"/>
                <w:szCs w:val="24"/>
              </w:rPr>
            </w:pPr>
          </w:p>
          <w:p w:rsidR="00214AA9" w:rsidRDefault="00214AA9">
            <w:pPr>
              <w:rPr>
                <w:rFonts w:ascii="Times New Roman" w:hAnsi="Times New Roman" w:cs="Times New Roman"/>
                <w:sz w:val="24"/>
                <w:szCs w:val="24"/>
              </w:rPr>
            </w:pPr>
          </w:p>
          <w:p w:rsidR="00214AA9" w:rsidRDefault="00214AA9">
            <w:pPr>
              <w:rPr>
                <w:rFonts w:ascii="Times New Roman" w:hAnsi="Times New Roman" w:cs="Times New Roman"/>
                <w:sz w:val="24"/>
                <w:szCs w:val="24"/>
              </w:rPr>
            </w:pPr>
            <w:r>
              <w:rPr>
                <w:rFonts w:ascii="Times New Roman" w:hAnsi="Times New Roman" w:cs="Times New Roman"/>
                <w:sz w:val="24"/>
                <w:szCs w:val="24"/>
              </w:rPr>
              <w:t>Nav ņemts vērā</w:t>
            </w:r>
          </w:p>
          <w:p w:rsidR="00AA1DA9" w:rsidRDefault="00AA1DA9">
            <w:pPr>
              <w:rPr>
                <w:rFonts w:ascii="Times New Roman" w:hAnsi="Times New Roman" w:cs="Times New Roman"/>
                <w:sz w:val="24"/>
                <w:szCs w:val="24"/>
              </w:rPr>
            </w:pPr>
          </w:p>
          <w:p w:rsidR="00AA1DA9" w:rsidRDefault="00AA1DA9">
            <w:pPr>
              <w:rPr>
                <w:rFonts w:ascii="Times New Roman" w:hAnsi="Times New Roman" w:cs="Times New Roman"/>
                <w:sz w:val="24"/>
                <w:szCs w:val="24"/>
              </w:rPr>
            </w:pPr>
          </w:p>
          <w:p w:rsidR="00AA1DA9" w:rsidRDefault="00AA1DA9">
            <w:pPr>
              <w:rPr>
                <w:rFonts w:ascii="Times New Roman" w:hAnsi="Times New Roman" w:cs="Times New Roman"/>
                <w:sz w:val="24"/>
                <w:szCs w:val="24"/>
              </w:rPr>
            </w:pPr>
          </w:p>
          <w:p w:rsidR="00AA1DA9" w:rsidRDefault="00AA1DA9">
            <w:pPr>
              <w:rPr>
                <w:rFonts w:ascii="Times New Roman" w:hAnsi="Times New Roman" w:cs="Times New Roman"/>
                <w:sz w:val="24"/>
                <w:szCs w:val="24"/>
              </w:rPr>
            </w:pPr>
          </w:p>
          <w:p w:rsidR="00AA1DA9" w:rsidRDefault="00AA1DA9">
            <w:pPr>
              <w:rPr>
                <w:rFonts w:ascii="Times New Roman" w:hAnsi="Times New Roman" w:cs="Times New Roman"/>
                <w:sz w:val="24"/>
                <w:szCs w:val="24"/>
              </w:rPr>
            </w:pPr>
          </w:p>
          <w:p w:rsidR="00AA1DA9" w:rsidRDefault="00AA1DA9">
            <w:pPr>
              <w:rPr>
                <w:rFonts w:ascii="Times New Roman" w:hAnsi="Times New Roman" w:cs="Times New Roman"/>
                <w:sz w:val="24"/>
                <w:szCs w:val="24"/>
              </w:rPr>
            </w:pPr>
          </w:p>
          <w:p w:rsidR="00AA1DA9" w:rsidRDefault="00AA1DA9">
            <w:pPr>
              <w:rPr>
                <w:rFonts w:ascii="Times New Roman" w:hAnsi="Times New Roman" w:cs="Times New Roman"/>
                <w:sz w:val="24"/>
                <w:szCs w:val="24"/>
              </w:rPr>
            </w:pPr>
          </w:p>
          <w:p w:rsidR="00AA1DA9" w:rsidRDefault="00AA1DA9">
            <w:pPr>
              <w:rPr>
                <w:rFonts w:ascii="Times New Roman" w:hAnsi="Times New Roman" w:cs="Times New Roman"/>
                <w:sz w:val="24"/>
                <w:szCs w:val="24"/>
              </w:rPr>
            </w:pPr>
            <w:r>
              <w:rPr>
                <w:rFonts w:ascii="Times New Roman" w:hAnsi="Times New Roman" w:cs="Times New Roman"/>
                <w:sz w:val="24"/>
                <w:szCs w:val="24"/>
              </w:rPr>
              <w:t>Nav ņemts vērā</w:t>
            </w:r>
          </w:p>
          <w:p w:rsidR="00AA1DA9" w:rsidRDefault="00AA1DA9">
            <w:pPr>
              <w:rPr>
                <w:rFonts w:ascii="Times New Roman" w:hAnsi="Times New Roman" w:cs="Times New Roman"/>
                <w:sz w:val="24"/>
                <w:szCs w:val="24"/>
              </w:rPr>
            </w:pPr>
          </w:p>
          <w:p w:rsidR="00AA1DA9" w:rsidRDefault="00AA1DA9">
            <w:pPr>
              <w:rPr>
                <w:rFonts w:ascii="Times New Roman" w:hAnsi="Times New Roman" w:cs="Times New Roman"/>
                <w:sz w:val="24"/>
                <w:szCs w:val="24"/>
              </w:rPr>
            </w:pPr>
          </w:p>
          <w:p w:rsidR="00AA1DA9" w:rsidRDefault="00AA1DA9">
            <w:pPr>
              <w:rPr>
                <w:rFonts w:ascii="Times New Roman" w:hAnsi="Times New Roman" w:cs="Times New Roman"/>
                <w:sz w:val="24"/>
                <w:szCs w:val="24"/>
              </w:rPr>
            </w:pPr>
          </w:p>
          <w:p w:rsidR="00AA1DA9" w:rsidRDefault="00AA1DA9">
            <w:pPr>
              <w:rPr>
                <w:rFonts w:ascii="Times New Roman" w:hAnsi="Times New Roman" w:cs="Times New Roman"/>
                <w:sz w:val="24"/>
                <w:szCs w:val="24"/>
              </w:rPr>
            </w:pPr>
          </w:p>
          <w:p w:rsidR="00AA1DA9" w:rsidRDefault="00AA1DA9">
            <w:pPr>
              <w:rPr>
                <w:rFonts w:ascii="Times New Roman" w:hAnsi="Times New Roman" w:cs="Times New Roman"/>
                <w:sz w:val="24"/>
                <w:szCs w:val="24"/>
              </w:rPr>
            </w:pPr>
          </w:p>
          <w:p w:rsidR="00AA1DA9" w:rsidRDefault="00AA1DA9">
            <w:pPr>
              <w:rPr>
                <w:rFonts w:ascii="Times New Roman" w:hAnsi="Times New Roman" w:cs="Times New Roman"/>
                <w:sz w:val="24"/>
                <w:szCs w:val="24"/>
              </w:rPr>
            </w:pPr>
          </w:p>
          <w:p w:rsidR="00AA1DA9" w:rsidRDefault="00AA1DA9">
            <w:pPr>
              <w:rPr>
                <w:rFonts w:ascii="Times New Roman" w:hAnsi="Times New Roman" w:cs="Times New Roman"/>
                <w:sz w:val="24"/>
                <w:szCs w:val="24"/>
              </w:rPr>
            </w:pPr>
          </w:p>
          <w:p w:rsidR="00AA1DA9" w:rsidRDefault="00AA1DA9">
            <w:pPr>
              <w:rPr>
                <w:rFonts w:ascii="Times New Roman" w:hAnsi="Times New Roman" w:cs="Times New Roman"/>
                <w:sz w:val="24"/>
                <w:szCs w:val="24"/>
              </w:rPr>
            </w:pPr>
          </w:p>
          <w:p w:rsidR="00AA1DA9" w:rsidRDefault="00AA1DA9">
            <w:pPr>
              <w:rPr>
                <w:rFonts w:ascii="Times New Roman" w:hAnsi="Times New Roman" w:cs="Times New Roman"/>
                <w:sz w:val="24"/>
                <w:szCs w:val="24"/>
              </w:rPr>
            </w:pPr>
          </w:p>
          <w:p w:rsidR="00AA1DA9" w:rsidRDefault="00AA1DA9">
            <w:pPr>
              <w:rPr>
                <w:rFonts w:ascii="Times New Roman" w:hAnsi="Times New Roman" w:cs="Times New Roman"/>
                <w:sz w:val="24"/>
                <w:szCs w:val="24"/>
              </w:rPr>
            </w:pPr>
          </w:p>
          <w:p w:rsidR="00AA1DA9" w:rsidRDefault="00AA1DA9">
            <w:pPr>
              <w:rPr>
                <w:rFonts w:ascii="Times New Roman" w:hAnsi="Times New Roman" w:cs="Times New Roman"/>
                <w:sz w:val="24"/>
                <w:szCs w:val="24"/>
              </w:rPr>
            </w:pPr>
          </w:p>
          <w:p w:rsidR="00AA1DA9" w:rsidRDefault="00A94FFF">
            <w:pPr>
              <w:rPr>
                <w:rFonts w:ascii="Times New Roman" w:hAnsi="Times New Roman" w:cs="Times New Roman"/>
                <w:sz w:val="24"/>
                <w:szCs w:val="24"/>
              </w:rPr>
            </w:pPr>
            <w:r>
              <w:rPr>
                <w:rFonts w:ascii="Times New Roman" w:hAnsi="Times New Roman" w:cs="Times New Roman"/>
                <w:sz w:val="24"/>
                <w:szCs w:val="24"/>
              </w:rPr>
              <w:t>Nav ņemts vērā</w:t>
            </w:r>
          </w:p>
          <w:p w:rsidR="00214AA9" w:rsidRDefault="00214AA9">
            <w:pPr>
              <w:rPr>
                <w:rFonts w:ascii="Times New Roman" w:hAnsi="Times New Roman" w:cs="Times New Roman"/>
                <w:sz w:val="24"/>
                <w:szCs w:val="24"/>
              </w:rPr>
            </w:pPr>
          </w:p>
          <w:p w:rsidR="008C308C" w:rsidRDefault="008C308C">
            <w:pPr>
              <w:rPr>
                <w:rFonts w:ascii="Times New Roman" w:hAnsi="Times New Roman" w:cs="Times New Roman"/>
                <w:sz w:val="24"/>
                <w:szCs w:val="24"/>
              </w:rPr>
            </w:pPr>
          </w:p>
          <w:p w:rsidR="008C308C" w:rsidRDefault="008C308C">
            <w:pPr>
              <w:rPr>
                <w:rFonts w:ascii="Times New Roman" w:hAnsi="Times New Roman" w:cs="Times New Roman"/>
                <w:sz w:val="24"/>
                <w:szCs w:val="24"/>
              </w:rPr>
            </w:pPr>
          </w:p>
          <w:p w:rsidR="008C308C" w:rsidRDefault="008C308C">
            <w:pPr>
              <w:rPr>
                <w:rFonts w:ascii="Times New Roman" w:hAnsi="Times New Roman" w:cs="Times New Roman"/>
                <w:sz w:val="24"/>
                <w:szCs w:val="24"/>
              </w:rPr>
            </w:pPr>
          </w:p>
          <w:p w:rsidR="008C308C" w:rsidRDefault="008C308C">
            <w:pPr>
              <w:rPr>
                <w:rFonts w:ascii="Times New Roman" w:hAnsi="Times New Roman" w:cs="Times New Roman"/>
                <w:sz w:val="24"/>
                <w:szCs w:val="24"/>
              </w:rPr>
            </w:pPr>
          </w:p>
          <w:p w:rsidR="008C308C" w:rsidRDefault="008C308C">
            <w:pPr>
              <w:rPr>
                <w:rFonts w:ascii="Times New Roman" w:hAnsi="Times New Roman" w:cs="Times New Roman"/>
                <w:sz w:val="24"/>
                <w:szCs w:val="24"/>
              </w:rPr>
            </w:pPr>
          </w:p>
          <w:p w:rsidR="008C308C" w:rsidRDefault="008C308C">
            <w:pPr>
              <w:rPr>
                <w:rFonts w:ascii="Times New Roman" w:hAnsi="Times New Roman" w:cs="Times New Roman"/>
                <w:sz w:val="24"/>
                <w:szCs w:val="24"/>
              </w:rPr>
            </w:pPr>
          </w:p>
          <w:p w:rsidR="008C308C" w:rsidRDefault="008C308C">
            <w:pPr>
              <w:rPr>
                <w:rFonts w:ascii="Times New Roman" w:hAnsi="Times New Roman" w:cs="Times New Roman"/>
                <w:sz w:val="24"/>
                <w:szCs w:val="24"/>
              </w:rPr>
            </w:pPr>
          </w:p>
          <w:p w:rsidR="008C308C" w:rsidRDefault="008C308C">
            <w:pPr>
              <w:rPr>
                <w:rFonts w:ascii="Times New Roman" w:hAnsi="Times New Roman" w:cs="Times New Roman"/>
                <w:sz w:val="24"/>
                <w:szCs w:val="24"/>
              </w:rPr>
            </w:pPr>
          </w:p>
          <w:p w:rsidR="008C308C" w:rsidRDefault="008C308C">
            <w:pPr>
              <w:rPr>
                <w:rFonts w:ascii="Times New Roman" w:hAnsi="Times New Roman" w:cs="Times New Roman"/>
                <w:sz w:val="24"/>
                <w:szCs w:val="24"/>
              </w:rPr>
            </w:pPr>
          </w:p>
          <w:p w:rsidR="008C308C" w:rsidRDefault="008C308C">
            <w:pPr>
              <w:rPr>
                <w:rFonts w:ascii="Times New Roman" w:hAnsi="Times New Roman" w:cs="Times New Roman"/>
                <w:sz w:val="24"/>
                <w:szCs w:val="24"/>
              </w:rPr>
            </w:pPr>
          </w:p>
          <w:p w:rsidR="008C308C" w:rsidRDefault="008C308C">
            <w:pPr>
              <w:rPr>
                <w:rFonts w:ascii="Times New Roman" w:hAnsi="Times New Roman" w:cs="Times New Roman"/>
                <w:sz w:val="24"/>
                <w:szCs w:val="24"/>
              </w:rPr>
            </w:pPr>
          </w:p>
          <w:p w:rsidR="008C308C" w:rsidRDefault="008C308C">
            <w:pPr>
              <w:rPr>
                <w:rFonts w:ascii="Times New Roman" w:hAnsi="Times New Roman" w:cs="Times New Roman"/>
                <w:sz w:val="24"/>
                <w:szCs w:val="24"/>
              </w:rPr>
            </w:pPr>
            <w:r>
              <w:rPr>
                <w:rFonts w:ascii="Times New Roman" w:hAnsi="Times New Roman" w:cs="Times New Roman"/>
                <w:sz w:val="24"/>
                <w:szCs w:val="24"/>
              </w:rPr>
              <w:t>Ņemts vērā</w:t>
            </w:r>
          </w:p>
          <w:p w:rsidR="008C308C" w:rsidRDefault="008C308C">
            <w:pPr>
              <w:rPr>
                <w:rFonts w:ascii="Times New Roman" w:hAnsi="Times New Roman" w:cs="Times New Roman"/>
                <w:sz w:val="24"/>
                <w:szCs w:val="24"/>
              </w:rPr>
            </w:pPr>
          </w:p>
          <w:p w:rsidR="008C308C" w:rsidRDefault="008C308C">
            <w:pPr>
              <w:rPr>
                <w:rFonts w:ascii="Times New Roman" w:hAnsi="Times New Roman" w:cs="Times New Roman"/>
                <w:sz w:val="24"/>
                <w:szCs w:val="24"/>
              </w:rPr>
            </w:pPr>
          </w:p>
          <w:p w:rsidR="008C308C" w:rsidRDefault="008C308C">
            <w:pPr>
              <w:rPr>
                <w:rFonts w:ascii="Times New Roman" w:hAnsi="Times New Roman" w:cs="Times New Roman"/>
                <w:sz w:val="24"/>
                <w:szCs w:val="24"/>
              </w:rPr>
            </w:pPr>
          </w:p>
          <w:p w:rsidR="008C308C" w:rsidRDefault="008C308C">
            <w:pPr>
              <w:rPr>
                <w:rFonts w:ascii="Times New Roman" w:hAnsi="Times New Roman" w:cs="Times New Roman"/>
                <w:sz w:val="24"/>
                <w:szCs w:val="24"/>
              </w:rPr>
            </w:pPr>
          </w:p>
          <w:p w:rsidR="008C308C" w:rsidRDefault="008C308C">
            <w:pPr>
              <w:rPr>
                <w:rFonts w:ascii="Times New Roman" w:hAnsi="Times New Roman" w:cs="Times New Roman"/>
                <w:sz w:val="24"/>
                <w:szCs w:val="24"/>
              </w:rPr>
            </w:pPr>
          </w:p>
          <w:p w:rsidR="008C308C" w:rsidRDefault="008C308C">
            <w:pPr>
              <w:rPr>
                <w:rFonts w:ascii="Times New Roman" w:hAnsi="Times New Roman" w:cs="Times New Roman"/>
                <w:sz w:val="24"/>
                <w:szCs w:val="24"/>
              </w:rPr>
            </w:pPr>
          </w:p>
          <w:p w:rsidR="008C308C" w:rsidRDefault="008C308C">
            <w:pPr>
              <w:rPr>
                <w:rFonts w:ascii="Times New Roman" w:hAnsi="Times New Roman" w:cs="Times New Roman"/>
                <w:sz w:val="24"/>
                <w:szCs w:val="24"/>
              </w:rPr>
            </w:pPr>
          </w:p>
          <w:p w:rsidR="008C308C" w:rsidRDefault="008C308C">
            <w:pPr>
              <w:rPr>
                <w:rFonts w:ascii="Times New Roman" w:hAnsi="Times New Roman" w:cs="Times New Roman"/>
                <w:sz w:val="24"/>
                <w:szCs w:val="24"/>
              </w:rPr>
            </w:pPr>
          </w:p>
          <w:p w:rsidR="008C308C" w:rsidRDefault="008C308C">
            <w:pPr>
              <w:rPr>
                <w:rFonts w:ascii="Times New Roman" w:hAnsi="Times New Roman" w:cs="Times New Roman"/>
                <w:sz w:val="24"/>
                <w:szCs w:val="24"/>
              </w:rPr>
            </w:pPr>
          </w:p>
          <w:p w:rsidR="008C308C" w:rsidRDefault="008C308C">
            <w:pPr>
              <w:rPr>
                <w:rFonts w:ascii="Times New Roman" w:hAnsi="Times New Roman" w:cs="Times New Roman"/>
                <w:sz w:val="24"/>
                <w:szCs w:val="24"/>
              </w:rPr>
            </w:pPr>
          </w:p>
          <w:p w:rsidR="008C308C" w:rsidRDefault="008C308C">
            <w:pPr>
              <w:rPr>
                <w:rFonts w:ascii="Times New Roman" w:hAnsi="Times New Roman" w:cs="Times New Roman"/>
                <w:sz w:val="24"/>
                <w:szCs w:val="24"/>
              </w:rPr>
            </w:pPr>
          </w:p>
          <w:p w:rsidR="008C308C" w:rsidRDefault="008C308C">
            <w:pPr>
              <w:rPr>
                <w:rFonts w:ascii="Times New Roman" w:hAnsi="Times New Roman" w:cs="Times New Roman"/>
                <w:sz w:val="24"/>
                <w:szCs w:val="24"/>
              </w:rPr>
            </w:pPr>
            <w:r>
              <w:rPr>
                <w:rFonts w:ascii="Times New Roman" w:hAnsi="Times New Roman" w:cs="Times New Roman"/>
                <w:sz w:val="24"/>
                <w:szCs w:val="24"/>
              </w:rPr>
              <w:t>Nav ņemts vērā</w:t>
            </w:r>
          </w:p>
          <w:p w:rsidR="008C308C" w:rsidRDefault="008C308C">
            <w:pPr>
              <w:rPr>
                <w:rFonts w:ascii="Times New Roman" w:hAnsi="Times New Roman" w:cs="Times New Roman"/>
                <w:sz w:val="24"/>
                <w:szCs w:val="24"/>
              </w:rPr>
            </w:pPr>
          </w:p>
          <w:p w:rsidR="008C308C" w:rsidRDefault="008C308C">
            <w:pPr>
              <w:rPr>
                <w:rFonts w:ascii="Times New Roman" w:hAnsi="Times New Roman" w:cs="Times New Roman"/>
                <w:sz w:val="24"/>
                <w:szCs w:val="24"/>
              </w:rPr>
            </w:pPr>
          </w:p>
          <w:p w:rsidR="008C308C" w:rsidRDefault="008C308C">
            <w:pPr>
              <w:rPr>
                <w:rFonts w:ascii="Times New Roman" w:hAnsi="Times New Roman" w:cs="Times New Roman"/>
                <w:sz w:val="24"/>
                <w:szCs w:val="24"/>
              </w:rPr>
            </w:pPr>
          </w:p>
          <w:p w:rsidR="008C308C" w:rsidRDefault="008C308C">
            <w:pPr>
              <w:rPr>
                <w:rFonts w:ascii="Times New Roman" w:hAnsi="Times New Roman" w:cs="Times New Roman"/>
                <w:sz w:val="24"/>
                <w:szCs w:val="24"/>
              </w:rPr>
            </w:pPr>
          </w:p>
          <w:p w:rsidR="008C308C" w:rsidRDefault="008C308C">
            <w:pPr>
              <w:rPr>
                <w:rFonts w:ascii="Times New Roman" w:hAnsi="Times New Roman" w:cs="Times New Roman"/>
                <w:sz w:val="24"/>
                <w:szCs w:val="24"/>
              </w:rPr>
            </w:pPr>
          </w:p>
          <w:p w:rsidR="008C308C" w:rsidRDefault="008C308C">
            <w:pPr>
              <w:rPr>
                <w:rFonts w:ascii="Times New Roman" w:hAnsi="Times New Roman" w:cs="Times New Roman"/>
                <w:sz w:val="24"/>
                <w:szCs w:val="24"/>
              </w:rPr>
            </w:pPr>
          </w:p>
          <w:p w:rsidR="008C308C" w:rsidRDefault="008C308C">
            <w:pPr>
              <w:rPr>
                <w:rFonts w:ascii="Times New Roman" w:hAnsi="Times New Roman" w:cs="Times New Roman"/>
                <w:sz w:val="24"/>
                <w:szCs w:val="24"/>
              </w:rPr>
            </w:pPr>
          </w:p>
          <w:p w:rsidR="008C308C" w:rsidRDefault="008C308C">
            <w:pPr>
              <w:rPr>
                <w:rFonts w:ascii="Times New Roman" w:hAnsi="Times New Roman" w:cs="Times New Roman"/>
                <w:sz w:val="24"/>
                <w:szCs w:val="24"/>
              </w:rPr>
            </w:pPr>
          </w:p>
          <w:p w:rsidR="008C308C" w:rsidRDefault="008C308C">
            <w:pPr>
              <w:rPr>
                <w:rFonts w:ascii="Times New Roman" w:hAnsi="Times New Roman" w:cs="Times New Roman"/>
                <w:sz w:val="24"/>
                <w:szCs w:val="24"/>
              </w:rPr>
            </w:pPr>
            <w:r>
              <w:rPr>
                <w:rFonts w:ascii="Times New Roman" w:hAnsi="Times New Roman" w:cs="Times New Roman"/>
                <w:sz w:val="24"/>
                <w:szCs w:val="24"/>
              </w:rPr>
              <w:t>Nav ņemts vērā</w:t>
            </w:r>
          </w:p>
          <w:p w:rsidR="008C308C" w:rsidRPr="006A2CBA" w:rsidRDefault="008C308C">
            <w:pPr>
              <w:rPr>
                <w:rFonts w:ascii="Times New Roman" w:hAnsi="Times New Roman" w:cs="Times New Roman"/>
                <w:sz w:val="24"/>
                <w:szCs w:val="24"/>
              </w:rPr>
            </w:pPr>
          </w:p>
        </w:tc>
        <w:tc>
          <w:tcPr>
            <w:tcW w:w="3402" w:type="dxa"/>
          </w:tcPr>
          <w:p w:rsidR="006A76E8" w:rsidRDefault="006A76E8">
            <w:pPr>
              <w:rPr>
                <w:rFonts w:ascii="Times New Roman" w:hAnsi="Times New Roman" w:cs="Times New Roman"/>
                <w:sz w:val="24"/>
                <w:szCs w:val="24"/>
              </w:rPr>
            </w:pPr>
          </w:p>
          <w:p w:rsidR="00214AA9" w:rsidRDefault="00214AA9">
            <w:pPr>
              <w:rPr>
                <w:rFonts w:ascii="Times New Roman" w:hAnsi="Times New Roman" w:cs="Times New Roman"/>
                <w:sz w:val="24"/>
                <w:szCs w:val="24"/>
              </w:rPr>
            </w:pPr>
          </w:p>
          <w:p w:rsidR="00214AA9" w:rsidRDefault="00214AA9">
            <w:pPr>
              <w:rPr>
                <w:rFonts w:ascii="Times New Roman" w:hAnsi="Times New Roman" w:cs="Times New Roman"/>
                <w:sz w:val="24"/>
                <w:szCs w:val="24"/>
              </w:rPr>
            </w:pPr>
          </w:p>
          <w:p w:rsidR="00214AA9" w:rsidRDefault="00214AA9">
            <w:pPr>
              <w:rPr>
                <w:rFonts w:ascii="Times New Roman" w:hAnsi="Times New Roman" w:cs="Times New Roman"/>
                <w:sz w:val="24"/>
                <w:szCs w:val="24"/>
              </w:rPr>
            </w:pPr>
          </w:p>
          <w:p w:rsidR="00214AA9" w:rsidRDefault="00214AA9" w:rsidP="00214AA9">
            <w:pPr>
              <w:jc w:val="both"/>
              <w:rPr>
                <w:rFonts w:ascii="Times New Roman" w:hAnsi="Times New Roman" w:cs="Times New Roman"/>
                <w:sz w:val="24"/>
                <w:szCs w:val="24"/>
              </w:rPr>
            </w:pPr>
            <w:r>
              <w:rPr>
                <w:rFonts w:ascii="Times New Roman" w:hAnsi="Times New Roman" w:cs="Times New Roman"/>
                <w:sz w:val="24"/>
                <w:szCs w:val="24"/>
              </w:rPr>
              <w:t>Piedāvāta 6.panta pirmā daļa ir identiska regulējums, kurš bija spēkā līdz tika nodalīti vispārējā režīmā strādājošie no speciālajā režīmā strādājošiem.</w:t>
            </w:r>
          </w:p>
          <w:p w:rsidR="00214AA9" w:rsidRDefault="00214AA9" w:rsidP="00214AA9">
            <w:pPr>
              <w:jc w:val="both"/>
              <w:rPr>
                <w:rFonts w:ascii="Times New Roman" w:hAnsi="Times New Roman" w:cs="Times New Roman"/>
                <w:sz w:val="24"/>
                <w:szCs w:val="24"/>
              </w:rPr>
            </w:pPr>
          </w:p>
          <w:p w:rsidR="00214AA9" w:rsidRDefault="00214AA9" w:rsidP="00214AA9">
            <w:pPr>
              <w:jc w:val="both"/>
              <w:rPr>
                <w:rFonts w:ascii="Times New Roman" w:hAnsi="Times New Roman" w:cs="Times New Roman"/>
                <w:sz w:val="24"/>
                <w:szCs w:val="24"/>
              </w:rPr>
            </w:pPr>
            <w:r>
              <w:rPr>
                <w:rFonts w:ascii="Times New Roman" w:hAnsi="Times New Roman" w:cs="Times New Roman"/>
                <w:sz w:val="24"/>
                <w:szCs w:val="24"/>
              </w:rPr>
              <w:t>Skaidrojam, ka minētais regulējums tikai nosaka sociālās apdrošināšanas veidus, kuriem attiecīgās personas (šajā gadījumā – pensionāri) ir pakļautas nevis periodus, cik ilgi</w:t>
            </w:r>
            <w:r w:rsidR="00AA1DA9">
              <w:rPr>
                <w:rFonts w:ascii="Times New Roman" w:hAnsi="Times New Roman" w:cs="Times New Roman"/>
                <w:sz w:val="24"/>
                <w:szCs w:val="24"/>
              </w:rPr>
              <w:t>.</w:t>
            </w:r>
          </w:p>
          <w:p w:rsidR="00AA1DA9" w:rsidRDefault="00AA1DA9" w:rsidP="00214AA9">
            <w:pPr>
              <w:jc w:val="both"/>
              <w:rPr>
                <w:rFonts w:ascii="Times New Roman" w:hAnsi="Times New Roman" w:cs="Times New Roman"/>
                <w:sz w:val="24"/>
                <w:szCs w:val="24"/>
              </w:rPr>
            </w:pPr>
          </w:p>
          <w:p w:rsidR="00AA1DA9" w:rsidRDefault="00AA1DA9" w:rsidP="00214AA9">
            <w:pPr>
              <w:jc w:val="both"/>
              <w:rPr>
                <w:rFonts w:ascii="Times New Roman" w:hAnsi="Times New Roman" w:cs="Times New Roman"/>
                <w:sz w:val="24"/>
                <w:szCs w:val="24"/>
              </w:rPr>
            </w:pPr>
          </w:p>
          <w:p w:rsidR="00AA1DA9" w:rsidRDefault="00AA1DA9" w:rsidP="00214AA9">
            <w:pPr>
              <w:jc w:val="both"/>
              <w:rPr>
                <w:rFonts w:ascii="Times New Roman" w:hAnsi="Times New Roman" w:cs="Times New Roman"/>
                <w:sz w:val="24"/>
                <w:szCs w:val="24"/>
              </w:rPr>
            </w:pPr>
            <w:r>
              <w:rPr>
                <w:rFonts w:ascii="Times New Roman" w:hAnsi="Times New Roman" w:cs="Times New Roman"/>
                <w:sz w:val="24"/>
                <w:szCs w:val="24"/>
              </w:rPr>
              <w:t xml:space="preserve">Tiek saglabāts esošais regulējums, ka pensiju apdrošināšanai tiek pakļauti sezonas laukstrādnieki, kuru ienākumi mēnesī pārsniedz 70.00 </w:t>
            </w:r>
            <w:proofErr w:type="spellStart"/>
            <w:r>
              <w:rPr>
                <w:rFonts w:ascii="Times New Roman" w:hAnsi="Times New Roman" w:cs="Times New Roman"/>
                <w:sz w:val="24"/>
                <w:szCs w:val="24"/>
              </w:rPr>
              <w:t>euro</w:t>
            </w:r>
            <w:proofErr w:type="spellEnd"/>
            <w:r>
              <w:rPr>
                <w:rFonts w:ascii="Times New Roman" w:hAnsi="Times New Roman" w:cs="Times New Roman"/>
                <w:sz w:val="24"/>
                <w:szCs w:val="24"/>
              </w:rPr>
              <w:t xml:space="preserve">. Papildus tiek noteikts, ka veselības apdrošināšanai tiek pakļauti visi sezonas </w:t>
            </w:r>
            <w:r>
              <w:rPr>
                <w:rFonts w:ascii="Times New Roman" w:hAnsi="Times New Roman" w:cs="Times New Roman"/>
                <w:sz w:val="24"/>
                <w:szCs w:val="24"/>
              </w:rPr>
              <w:lastRenderedPageBreak/>
              <w:t>laukstrādnieki neatkarīgi no mēneša ienākumiem.</w:t>
            </w:r>
          </w:p>
          <w:p w:rsidR="00A94FFF" w:rsidRDefault="00A94FFF" w:rsidP="00214AA9">
            <w:pPr>
              <w:jc w:val="both"/>
              <w:rPr>
                <w:rFonts w:ascii="Times New Roman" w:hAnsi="Times New Roman" w:cs="Times New Roman"/>
                <w:sz w:val="24"/>
                <w:szCs w:val="24"/>
              </w:rPr>
            </w:pPr>
          </w:p>
          <w:p w:rsidR="008C308C" w:rsidRDefault="00A94FFF" w:rsidP="00214AA9">
            <w:pPr>
              <w:jc w:val="both"/>
              <w:rPr>
                <w:rFonts w:ascii="Times New Roman" w:hAnsi="Times New Roman" w:cs="Times New Roman"/>
                <w:sz w:val="24"/>
                <w:szCs w:val="24"/>
              </w:rPr>
            </w:pPr>
            <w:r>
              <w:rPr>
                <w:rFonts w:ascii="Times New Roman" w:hAnsi="Times New Roman" w:cs="Times New Roman"/>
                <w:sz w:val="24"/>
                <w:szCs w:val="24"/>
              </w:rPr>
              <w:t xml:space="preserve">Šobrīd ir izvēlēts tāds modelis, </w:t>
            </w:r>
            <w:r w:rsidR="008C308C">
              <w:rPr>
                <w:rFonts w:ascii="Times New Roman" w:hAnsi="Times New Roman" w:cs="Times New Roman"/>
                <w:sz w:val="24"/>
                <w:szCs w:val="24"/>
              </w:rPr>
              <w:t>kas</w:t>
            </w:r>
            <w:r>
              <w:rPr>
                <w:rFonts w:ascii="Times New Roman" w:hAnsi="Times New Roman" w:cs="Times New Roman"/>
                <w:sz w:val="24"/>
                <w:szCs w:val="24"/>
              </w:rPr>
              <w:t xml:space="preserve"> būtiski nemain</w:t>
            </w:r>
            <w:r w:rsidR="008C308C">
              <w:rPr>
                <w:rFonts w:ascii="Times New Roman" w:hAnsi="Times New Roman" w:cs="Times New Roman"/>
                <w:sz w:val="24"/>
                <w:szCs w:val="24"/>
              </w:rPr>
              <w:t>a</w:t>
            </w:r>
            <w:r>
              <w:rPr>
                <w:rFonts w:ascii="Times New Roman" w:hAnsi="Times New Roman" w:cs="Times New Roman"/>
                <w:sz w:val="24"/>
                <w:szCs w:val="24"/>
              </w:rPr>
              <w:t xml:space="preserve"> esošo valsts sociālo apdrošināšanas iemaksu</w:t>
            </w:r>
            <w:r w:rsidR="008C308C">
              <w:rPr>
                <w:rFonts w:ascii="Times New Roman" w:hAnsi="Times New Roman" w:cs="Times New Roman"/>
                <w:sz w:val="24"/>
                <w:szCs w:val="24"/>
              </w:rPr>
              <w:t xml:space="preserve"> veikšanas kārtību. Līdz ar personām, kuras jau šobrīd maksā valsts sociālās apdrošināšanas iemaksas, tiktu paplašināts apdrošināšanas loks ar veselības apdrošināšanu, attiecīgi tikai par procentpunktu palielinot maksājuma apjomu.</w:t>
            </w:r>
          </w:p>
          <w:p w:rsidR="008C308C" w:rsidRDefault="008C308C" w:rsidP="00214AA9">
            <w:pPr>
              <w:jc w:val="both"/>
              <w:rPr>
                <w:rFonts w:ascii="Times New Roman" w:hAnsi="Times New Roman" w:cs="Times New Roman"/>
                <w:sz w:val="24"/>
                <w:szCs w:val="24"/>
              </w:rPr>
            </w:pPr>
          </w:p>
          <w:p w:rsidR="008C308C" w:rsidRDefault="008C308C" w:rsidP="00214AA9">
            <w:pPr>
              <w:jc w:val="both"/>
              <w:rPr>
                <w:rFonts w:ascii="Times New Roman" w:hAnsi="Times New Roman" w:cs="Times New Roman"/>
                <w:sz w:val="24"/>
                <w:szCs w:val="24"/>
              </w:rPr>
            </w:pPr>
          </w:p>
          <w:p w:rsidR="00A94FFF" w:rsidRDefault="008C308C" w:rsidP="00214AA9">
            <w:pPr>
              <w:jc w:val="both"/>
              <w:rPr>
                <w:rFonts w:ascii="Times New Roman" w:hAnsi="Times New Roman" w:cs="Times New Roman"/>
                <w:sz w:val="24"/>
                <w:szCs w:val="24"/>
              </w:rPr>
            </w:pPr>
            <w:r>
              <w:rPr>
                <w:rFonts w:ascii="Times New Roman" w:hAnsi="Times New Roman" w:cs="Times New Roman"/>
                <w:sz w:val="24"/>
                <w:szCs w:val="24"/>
              </w:rPr>
              <w:t xml:space="preserve">Precizēta norma, nosakot, ka maksājums tiek veikts par iepriekšējo kalendāra gadu.  </w:t>
            </w:r>
          </w:p>
          <w:p w:rsidR="008C308C" w:rsidRDefault="008C308C" w:rsidP="00214AA9">
            <w:pPr>
              <w:jc w:val="both"/>
              <w:rPr>
                <w:rFonts w:ascii="Times New Roman" w:hAnsi="Times New Roman" w:cs="Times New Roman"/>
                <w:sz w:val="24"/>
                <w:szCs w:val="24"/>
              </w:rPr>
            </w:pPr>
          </w:p>
          <w:p w:rsidR="008C308C" w:rsidRDefault="008C308C" w:rsidP="00214AA9">
            <w:pPr>
              <w:jc w:val="both"/>
              <w:rPr>
                <w:rFonts w:ascii="Times New Roman" w:hAnsi="Times New Roman" w:cs="Times New Roman"/>
                <w:sz w:val="24"/>
                <w:szCs w:val="24"/>
              </w:rPr>
            </w:pPr>
          </w:p>
          <w:p w:rsidR="008C308C" w:rsidRDefault="008C308C" w:rsidP="00214AA9">
            <w:pPr>
              <w:jc w:val="both"/>
              <w:rPr>
                <w:rFonts w:ascii="Times New Roman" w:hAnsi="Times New Roman" w:cs="Times New Roman"/>
                <w:sz w:val="24"/>
                <w:szCs w:val="24"/>
              </w:rPr>
            </w:pPr>
          </w:p>
          <w:p w:rsidR="008C308C" w:rsidRDefault="008C308C" w:rsidP="00214AA9">
            <w:pPr>
              <w:jc w:val="both"/>
              <w:rPr>
                <w:rFonts w:ascii="Times New Roman" w:hAnsi="Times New Roman" w:cs="Times New Roman"/>
                <w:sz w:val="24"/>
                <w:szCs w:val="24"/>
              </w:rPr>
            </w:pPr>
          </w:p>
          <w:p w:rsidR="008C308C" w:rsidRDefault="008C308C" w:rsidP="00214AA9">
            <w:pPr>
              <w:jc w:val="both"/>
              <w:rPr>
                <w:rFonts w:ascii="Times New Roman" w:hAnsi="Times New Roman" w:cs="Times New Roman"/>
                <w:sz w:val="24"/>
                <w:szCs w:val="24"/>
              </w:rPr>
            </w:pPr>
          </w:p>
          <w:p w:rsidR="008C308C" w:rsidRDefault="008C308C" w:rsidP="00214AA9">
            <w:pPr>
              <w:jc w:val="both"/>
              <w:rPr>
                <w:rFonts w:ascii="Times New Roman" w:hAnsi="Times New Roman" w:cs="Times New Roman"/>
                <w:sz w:val="24"/>
                <w:szCs w:val="24"/>
              </w:rPr>
            </w:pPr>
          </w:p>
          <w:p w:rsidR="008C308C" w:rsidRDefault="008C308C" w:rsidP="00214AA9">
            <w:pPr>
              <w:jc w:val="both"/>
              <w:rPr>
                <w:rFonts w:ascii="Times New Roman" w:hAnsi="Times New Roman" w:cs="Times New Roman"/>
                <w:sz w:val="24"/>
                <w:szCs w:val="24"/>
              </w:rPr>
            </w:pPr>
          </w:p>
          <w:p w:rsidR="008C308C" w:rsidRDefault="008C308C" w:rsidP="00214AA9">
            <w:pPr>
              <w:jc w:val="both"/>
              <w:rPr>
                <w:rFonts w:ascii="Times New Roman" w:hAnsi="Times New Roman" w:cs="Times New Roman"/>
                <w:sz w:val="24"/>
                <w:szCs w:val="24"/>
              </w:rPr>
            </w:pPr>
          </w:p>
          <w:p w:rsidR="008C308C" w:rsidRDefault="008C308C" w:rsidP="00214AA9">
            <w:pPr>
              <w:jc w:val="both"/>
              <w:rPr>
                <w:rFonts w:ascii="Times New Roman" w:hAnsi="Times New Roman" w:cs="Times New Roman"/>
                <w:sz w:val="24"/>
                <w:szCs w:val="24"/>
              </w:rPr>
            </w:pPr>
          </w:p>
          <w:p w:rsidR="008C308C" w:rsidRDefault="008C308C" w:rsidP="00214AA9">
            <w:pPr>
              <w:jc w:val="both"/>
              <w:rPr>
                <w:rFonts w:ascii="Times New Roman" w:hAnsi="Times New Roman" w:cs="Times New Roman"/>
                <w:sz w:val="24"/>
                <w:szCs w:val="24"/>
              </w:rPr>
            </w:pPr>
            <w:r>
              <w:rPr>
                <w:rFonts w:ascii="Times New Roman" w:hAnsi="Times New Roman" w:cs="Times New Roman"/>
                <w:sz w:val="24"/>
                <w:szCs w:val="24"/>
              </w:rPr>
              <w:t xml:space="preserve">Procentpunkta pieaugumu nevar skatīt pēc šāda samēra, jo īpaši </w:t>
            </w:r>
            <w:r>
              <w:rPr>
                <w:rFonts w:ascii="Times New Roman" w:hAnsi="Times New Roman" w:cs="Times New Roman"/>
                <w:sz w:val="24"/>
                <w:szCs w:val="24"/>
              </w:rPr>
              <w:lastRenderedPageBreak/>
              <w:t xml:space="preserve">ņemot vērā, ka arī tiem, kuri jau šobrīd ir pakļauti veselības apdrošināšanai, ir atšķirīga kopējā iemaksu likme </w:t>
            </w:r>
          </w:p>
          <w:p w:rsidR="008C308C" w:rsidRDefault="008C308C" w:rsidP="00214AA9">
            <w:pPr>
              <w:jc w:val="both"/>
              <w:rPr>
                <w:rFonts w:ascii="Times New Roman" w:hAnsi="Times New Roman" w:cs="Times New Roman"/>
                <w:sz w:val="24"/>
                <w:szCs w:val="24"/>
              </w:rPr>
            </w:pPr>
          </w:p>
          <w:p w:rsidR="008C308C" w:rsidRDefault="008C308C" w:rsidP="00214AA9">
            <w:pPr>
              <w:jc w:val="both"/>
              <w:rPr>
                <w:rFonts w:ascii="Times New Roman" w:hAnsi="Times New Roman" w:cs="Times New Roman"/>
                <w:sz w:val="24"/>
                <w:szCs w:val="24"/>
              </w:rPr>
            </w:pPr>
          </w:p>
          <w:p w:rsidR="008C308C" w:rsidRDefault="008C308C" w:rsidP="00214AA9">
            <w:pPr>
              <w:jc w:val="both"/>
              <w:rPr>
                <w:rFonts w:ascii="Times New Roman" w:hAnsi="Times New Roman" w:cs="Times New Roman"/>
                <w:sz w:val="24"/>
                <w:szCs w:val="24"/>
              </w:rPr>
            </w:pPr>
          </w:p>
          <w:p w:rsidR="008C308C" w:rsidRPr="006A2CBA" w:rsidRDefault="008C308C" w:rsidP="00214AA9">
            <w:pPr>
              <w:jc w:val="both"/>
              <w:rPr>
                <w:rFonts w:ascii="Times New Roman" w:hAnsi="Times New Roman" w:cs="Times New Roman"/>
                <w:sz w:val="24"/>
                <w:szCs w:val="24"/>
              </w:rPr>
            </w:pPr>
            <w:r>
              <w:rPr>
                <w:rFonts w:ascii="Times New Roman" w:hAnsi="Times New Roman" w:cs="Times New Roman"/>
                <w:sz w:val="24"/>
                <w:szCs w:val="24"/>
              </w:rPr>
              <w:t>Tiek saglabāts e</w:t>
            </w:r>
            <w:r w:rsidR="00E65429">
              <w:rPr>
                <w:rFonts w:ascii="Times New Roman" w:hAnsi="Times New Roman" w:cs="Times New Roman"/>
                <w:sz w:val="24"/>
                <w:szCs w:val="24"/>
              </w:rPr>
              <w:t>s</w:t>
            </w:r>
            <w:r>
              <w:rPr>
                <w:rFonts w:ascii="Times New Roman" w:hAnsi="Times New Roman" w:cs="Times New Roman"/>
                <w:sz w:val="24"/>
                <w:szCs w:val="24"/>
              </w:rPr>
              <w:t>o</w:t>
            </w:r>
            <w:r w:rsidR="00E65429">
              <w:rPr>
                <w:rFonts w:ascii="Times New Roman" w:hAnsi="Times New Roman" w:cs="Times New Roman"/>
                <w:sz w:val="24"/>
                <w:szCs w:val="24"/>
              </w:rPr>
              <w:t>š</w:t>
            </w:r>
            <w:r>
              <w:rPr>
                <w:rFonts w:ascii="Times New Roman" w:hAnsi="Times New Roman" w:cs="Times New Roman"/>
                <w:sz w:val="24"/>
                <w:szCs w:val="24"/>
              </w:rPr>
              <w:t xml:space="preserve">ais regulējums, ka obligātās iemaksas pensiju apdrošināšanai neveic no ienākuma, kas gada sākumā nepārsniedz 50 </w:t>
            </w:r>
            <w:proofErr w:type="spellStart"/>
            <w:r>
              <w:rPr>
                <w:rFonts w:ascii="Times New Roman" w:hAnsi="Times New Roman" w:cs="Times New Roman"/>
                <w:sz w:val="24"/>
                <w:szCs w:val="24"/>
              </w:rPr>
              <w:t>euro</w:t>
            </w:r>
            <w:proofErr w:type="spellEnd"/>
            <w:r>
              <w:rPr>
                <w:rFonts w:ascii="Times New Roman" w:hAnsi="Times New Roman" w:cs="Times New Roman"/>
                <w:sz w:val="24"/>
                <w:szCs w:val="24"/>
              </w:rPr>
              <w:t>. Savukārt veselības apdrošināšanai šāds nosacījums netiek noteikts.</w:t>
            </w:r>
          </w:p>
        </w:tc>
      </w:tr>
      <w:tr w:rsidR="006A2CBA" w:rsidTr="008C308C">
        <w:tc>
          <w:tcPr>
            <w:tcW w:w="704" w:type="dxa"/>
          </w:tcPr>
          <w:p w:rsidR="006A2CBA" w:rsidRPr="006A2CBA" w:rsidRDefault="006A2CBA">
            <w:pPr>
              <w:rPr>
                <w:rFonts w:ascii="Times New Roman" w:hAnsi="Times New Roman" w:cs="Times New Roman"/>
                <w:sz w:val="24"/>
                <w:szCs w:val="24"/>
              </w:rPr>
            </w:pPr>
          </w:p>
        </w:tc>
        <w:tc>
          <w:tcPr>
            <w:tcW w:w="2693" w:type="dxa"/>
          </w:tcPr>
          <w:p w:rsidR="006A2CBA" w:rsidRPr="006A2CBA" w:rsidRDefault="006A2CBA">
            <w:pPr>
              <w:rPr>
                <w:rFonts w:ascii="Times New Roman" w:hAnsi="Times New Roman" w:cs="Times New Roman"/>
                <w:sz w:val="24"/>
                <w:szCs w:val="24"/>
              </w:rPr>
            </w:pPr>
          </w:p>
        </w:tc>
        <w:tc>
          <w:tcPr>
            <w:tcW w:w="3686" w:type="dxa"/>
          </w:tcPr>
          <w:p w:rsidR="006A2CBA" w:rsidRPr="00675404" w:rsidRDefault="006A2CBA" w:rsidP="006A2CBA">
            <w:pPr>
              <w:pStyle w:val="naisnod"/>
              <w:spacing w:before="120" w:after="0" w:line="276" w:lineRule="auto"/>
              <w:jc w:val="both"/>
              <w:rPr>
                <w:b w:val="0"/>
              </w:rPr>
            </w:pPr>
            <w:r w:rsidRPr="00675404">
              <w:rPr>
                <w:color w:val="000000"/>
              </w:rPr>
              <w:t>Par projektu paketi kopumā</w:t>
            </w:r>
          </w:p>
          <w:p w:rsidR="006A2CBA" w:rsidRPr="00675404" w:rsidRDefault="006A2CBA" w:rsidP="003425C5">
            <w:pPr>
              <w:pStyle w:val="naisnod"/>
              <w:spacing w:before="0" w:after="0"/>
              <w:jc w:val="both"/>
              <w:rPr>
                <w:b w:val="0"/>
                <w:color w:val="000000"/>
              </w:rPr>
            </w:pPr>
            <w:r w:rsidRPr="00675404">
              <w:rPr>
                <w:b w:val="0"/>
                <w:color w:val="000000"/>
              </w:rPr>
              <w:t xml:space="preserve">Ņemot vērā veselības aprūpes pakalpojumu bināro dabu, kā arī relatīvi augsto darba nodokļu slogu atalgojumam, kas sasniedz un pārsniedz vidējo algu valstī, kā arī relatīvi augsto ēnu ekonomikas līmeni, LDDK eksperta ieskatā labākais modelis būtu Veselības aprūpes finansēšanas sistēma, kuras ietvaros pamatpakalpojumi (neatliekamā palīdzība, primārā veselības aprūpe un atsevišķi specifiskie pakalpojumi) tiek </w:t>
            </w:r>
            <w:r w:rsidRPr="00675404">
              <w:rPr>
                <w:b w:val="0"/>
                <w:color w:val="000000"/>
              </w:rPr>
              <w:lastRenderedPageBreak/>
              <w:t>finansēti no valsts budžeta, bet pārējā groza daļa tiek finansēta no personificētiem, fiksētiem veselības obligātās apdrošināšanas maksājumiem, kurus nodrošina:</w:t>
            </w:r>
          </w:p>
          <w:p w:rsidR="006A2CBA" w:rsidRPr="00675404" w:rsidRDefault="006A2CBA" w:rsidP="003425C5">
            <w:pPr>
              <w:pStyle w:val="naisnod"/>
              <w:numPr>
                <w:ilvl w:val="0"/>
                <w:numId w:val="1"/>
              </w:numPr>
              <w:spacing w:before="0" w:after="0"/>
              <w:ind w:left="714" w:hanging="357"/>
              <w:jc w:val="both"/>
              <w:rPr>
                <w:b w:val="0"/>
                <w:color w:val="000000"/>
              </w:rPr>
            </w:pPr>
            <w:r w:rsidRPr="00675404">
              <w:rPr>
                <w:b w:val="0"/>
                <w:color w:val="000000"/>
              </w:rPr>
              <w:t>darba ņēmēji (tehniski - darba devēji, veicot  nodokļu maksājumus par darba ņēmējiem);</w:t>
            </w:r>
          </w:p>
          <w:p w:rsidR="006A2CBA" w:rsidRPr="00675404" w:rsidRDefault="006A2CBA" w:rsidP="003425C5">
            <w:pPr>
              <w:pStyle w:val="naisnod"/>
              <w:numPr>
                <w:ilvl w:val="0"/>
                <w:numId w:val="1"/>
              </w:numPr>
              <w:spacing w:before="0" w:after="0"/>
              <w:ind w:left="714" w:hanging="357"/>
              <w:jc w:val="both"/>
              <w:rPr>
                <w:b w:val="0"/>
                <w:color w:val="000000"/>
              </w:rPr>
            </w:pPr>
            <w:r w:rsidRPr="00675404">
              <w:rPr>
                <w:b w:val="0"/>
                <w:color w:val="000000"/>
              </w:rPr>
              <w:t xml:space="preserve">valsts - par attaisnotajiem nemaksātājiem (valsts apdrošināmajām personām, tostarp, pensionāri, invalīdi, bērni, valsts sociāli apdrošināmās personas u.c.). </w:t>
            </w:r>
          </w:p>
          <w:p w:rsidR="006A2CBA" w:rsidRPr="00D34F1D" w:rsidRDefault="006A2CBA" w:rsidP="003425C5">
            <w:pPr>
              <w:pStyle w:val="naisnod"/>
              <w:numPr>
                <w:ilvl w:val="0"/>
                <w:numId w:val="1"/>
              </w:numPr>
              <w:spacing w:before="0" w:after="0"/>
              <w:ind w:left="714" w:hanging="357"/>
              <w:jc w:val="both"/>
              <w:rPr>
                <w:b w:val="0"/>
                <w:color w:val="000000"/>
              </w:rPr>
            </w:pPr>
            <w:r w:rsidRPr="00675404">
              <w:rPr>
                <w:b w:val="0"/>
                <w:color w:val="000000"/>
              </w:rPr>
              <w:t xml:space="preserve">citas personas, par kurām iemaksas neveic valsts, pašas veicot ikmēneša maksājumu. </w:t>
            </w:r>
          </w:p>
          <w:p w:rsidR="006A2CBA" w:rsidRPr="00675404" w:rsidRDefault="006A2CBA" w:rsidP="003425C5">
            <w:pPr>
              <w:pStyle w:val="naisnod"/>
              <w:spacing w:before="0" w:after="0"/>
              <w:jc w:val="both"/>
              <w:rPr>
                <w:b w:val="0"/>
                <w:color w:val="000000"/>
              </w:rPr>
            </w:pPr>
            <w:r w:rsidRPr="00675404">
              <w:rPr>
                <w:b w:val="0"/>
                <w:color w:val="000000"/>
              </w:rPr>
              <w:t>Fiksētās veselības apdrošināšanas iemaksas apmērs būtu nosakāms pēc šādas formulas:</w:t>
            </w:r>
          </w:p>
          <w:p w:rsidR="006A2CBA" w:rsidRPr="00675404" w:rsidRDefault="006A2CBA" w:rsidP="003425C5">
            <w:pPr>
              <w:pStyle w:val="naisnod"/>
              <w:spacing w:before="0" w:after="0"/>
              <w:ind w:left="357"/>
              <w:jc w:val="both"/>
              <w:rPr>
                <w:color w:val="000000"/>
              </w:rPr>
            </w:pPr>
            <w:r w:rsidRPr="00675404">
              <w:rPr>
                <w:color w:val="000000"/>
              </w:rPr>
              <w:t xml:space="preserve">OVM = (VB – NPB - PAB) : </w:t>
            </w:r>
            <w:proofErr w:type="spellStart"/>
            <w:r w:rsidRPr="00675404">
              <w:rPr>
                <w:color w:val="000000"/>
              </w:rPr>
              <w:t>PSSk</w:t>
            </w:r>
            <w:proofErr w:type="spellEnd"/>
            <w:r w:rsidRPr="00675404">
              <w:rPr>
                <w:color w:val="000000"/>
              </w:rPr>
              <w:t xml:space="preserve"> </w:t>
            </w:r>
          </w:p>
          <w:p w:rsidR="006A2CBA" w:rsidRPr="00675404" w:rsidRDefault="006A2CBA" w:rsidP="003425C5">
            <w:pPr>
              <w:pStyle w:val="naisnod"/>
              <w:spacing w:before="0" w:after="0"/>
              <w:ind w:left="357"/>
              <w:jc w:val="both"/>
              <w:rPr>
                <w:b w:val="0"/>
                <w:color w:val="000000"/>
              </w:rPr>
            </w:pPr>
            <w:r w:rsidRPr="00675404">
              <w:rPr>
                <w:b w:val="0"/>
                <w:color w:val="000000"/>
              </w:rPr>
              <w:t xml:space="preserve">Kur: </w:t>
            </w:r>
          </w:p>
          <w:p w:rsidR="006A2CBA" w:rsidRPr="00675404" w:rsidRDefault="006A2CBA" w:rsidP="003425C5">
            <w:pPr>
              <w:pStyle w:val="naisnod"/>
              <w:spacing w:before="0" w:after="0"/>
              <w:ind w:left="357"/>
              <w:jc w:val="both"/>
              <w:rPr>
                <w:b w:val="0"/>
                <w:color w:val="000000"/>
              </w:rPr>
            </w:pPr>
            <w:r w:rsidRPr="00675404">
              <w:rPr>
                <w:b w:val="0"/>
                <w:color w:val="000000"/>
              </w:rPr>
              <w:t>OVM - fiksētā veselības apdrošināšanas iemaksa;</w:t>
            </w:r>
          </w:p>
          <w:p w:rsidR="006A2CBA" w:rsidRPr="00675404" w:rsidRDefault="006A2CBA" w:rsidP="003425C5">
            <w:pPr>
              <w:pStyle w:val="naisnod"/>
              <w:spacing w:before="0" w:after="0"/>
              <w:ind w:left="357"/>
              <w:jc w:val="both"/>
              <w:rPr>
                <w:b w:val="0"/>
                <w:color w:val="000000"/>
              </w:rPr>
            </w:pPr>
            <w:r w:rsidRPr="00675404">
              <w:rPr>
                <w:b w:val="0"/>
                <w:color w:val="000000"/>
              </w:rPr>
              <w:t>VB - veselības budžeta izdevumi;</w:t>
            </w:r>
          </w:p>
          <w:p w:rsidR="006A2CBA" w:rsidRPr="00675404" w:rsidRDefault="006A2CBA" w:rsidP="003425C5">
            <w:pPr>
              <w:pStyle w:val="naisnod"/>
              <w:spacing w:before="0" w:after="0"/>
              <w:ind w:left="357"/>
              <w:jc w:val="both"/>
              <w:rPr>
                <w:b w:val="0"/>
                <w:color w:val="000000"/>
              </w:rPr>
            </w:pPr>
            <w:r w:rsidRPr="00675404">
              <w:rPr>
                <w:b w:val="0"/>
                <w:color w:val="000000"/>
              </w:rPr>
              <w:lastRenderedPageBreak/>
              <w:t>NPB -  neatliekamās palīdzības budžets;</w:t>
            </w:r>
          </w:p>
          <w:p w:rsidR="006A2CBA" w:rsidRPr="00675404" w:rsidRDefault="006A2CBA" w:rsidP="003425C5">
            <w:pPr>
              <w:pStyle w:val="naisnod"/>
              <w:spacing w:before="0" w:after="0"/>
              <w:ind w:left="357"/>
              <w:jc w:val="both"/>
              <w:rPr>
                <w:b w:val="0"/>
                <w:color w:val="000000"/>
              </w:rPr>
            </w:pPr>
            <w:r w:rsidRPr="00675404">
              <w:rPr>
                <w:b w:val="0"/>
                <w:color w:val="000000"/>
              </w:rPr>
              <w:t>PAB - primārās veselības aprūpes budžets;</w:t>
            </w:r>
          </w:p>
          <w:p w:rsidR="006A2CBA" w:rsidRPr="00675404" w:rsidRDefault="006A2CBA" w:rsidP="003425C5">
            <w:pPr>
              <w:pStyle w:val="naisnod"/>
              <w:spacing w:before="0" w:after="0"/>
              <w:ind w:left="357"/>
              <w:jc w:val="both"/>
              <w:rPr>
                <w:b w:val="0"/>
                <w:color w:val="000000"/>
              </w:rPr>
            </w:pPr>
            <w:proofErr w:type="spellStart"/>
            <w:r w:rsidRPr="00675404">
              <w:rPr>
                <w:b w:val="0"/>
                <w:color w:val="000000"/>
              </w:rPr>
              <w:t>PSSk</w:t>
            </w:r>
            <w:proofErr w:type="spellEnd"/>
            <w:r w:rsidRPr="00675404">
              <w:rPr>
                <w:b w:val="0"/>
                <w:color w:val="000000"/>
              </w:rPr>
              <w:t xml:space="preserve"> – prognozējamais obligāti apdrošināmo veselības aprūpes pakalpojumu saņēmēju skaits. </w:t>
            </w:r>
          </w:p>
          <w:p w:rsidR="006A2CBA" w:rsidRPr="006A2CBA" w:rsidRDefault="006A2CBA" w:rsidP="006A2CBA">
            <w:pPr>
              <w:jc w:val="both"/>
              <w:rPr>
                <w:rFonts w:ascii="Times New Roman" w:hAnsi="Times New Roman" w:cs="Times New Roman"/>
                <w:sz w:val="24"/>
                <w:szCs w:val="24"/>
              </w:rPr>
            </w:pPr>
            <w:r w:rsidRPr="006A2CBA">
              <w:rPr>
                <w:rFonts w:ascii="Times New Roman" w:hAnsi="Times New Roman" w:cs="Times New Roman"/>
                <w:color w:val="000000"/>
                <w:sz w:val="24"/>
                <w:szCs w:val="24"/>
              </w:rPr>
              <w:t xml:space="preserve">Ņemot vērā, ka fiksētas veselības apdrošināšanas iemaksas ieviešana attiecībā uz visiem darba nodokļu veidiem nav konceptuāli izdiskutēta un nav ieviešana īsā termiņā, eksperta ieskatā ir atbalstāma esošā apdrošināšanas iemaksa vispārīgajā darba nodokļu režīmā un </w:t>
            </w:r>
            <w:proofErr w:type="spellStart"/>
            <w:r w:rsidRPr="006A2CBA">
              <w:rPr>
                <w:rFonts w:ascii="Times New Roman" w:hAnsi="Times New Roman" w:cs="Times New Roman"/>
                <w:sz w:val="24"/>
                <w:szCs w:val="24"/>
              </w:rPr>
              <w:t>Mikrouzņēmumu</w:t>
            </w:r>
            <w:proofErr w:type="spellEnd"/>
            <w:r w:rsidRPr="006A2CBA">
              <w:rPr>
                <w:rFonts w:ascii="Times New Roman" w:hAnsi="Times New Roman" w:cs="Times New Roman"/>
                <w:sz w:val="24"/>
                <w:szCs w:val="24"/>
              </w:rPr>
              <w:t xml:space="preserve"> nodokļa likmes palielināšana par vienu procentpunktu. Savukārt pārējiem darba ienākum</w:t>
            </w:r>
            <w:r w:rsidRPr="006A2CBA">
              <w:rPr>
                <w:rFonts w:ascii="Times New Roman" w:hAnsi="Times New Roman" w:cs="Times New Roman"/>
                <w:color w:val="000000"/>
                <w:sz w:val="24"/>
                <w:szCs w:val="24"/>
              </w:rPr>
              <w:t xml:space="preserve">u veidiem būtu piemērojama samērīga, fiksēta veselības apdrošināšanas iemaksa, kas būtu vismaz </w:t>
            </w:r>
            <w:r w:rsidRPr="006A2CBA">
              <w:rPr>
                <w:rFonts w:ascii="Times New Roman" w:hAnsi="Times New Roman" w:cs="Times New Roman"/>
                <w:sz w:val="24"/>
                <w:szCs w:val="24"/>
              </w:rPr>
              <w:t>viena procentpunkta apmērā no minimālās algas.</w:t>
            </w:r>
          </w:p>
        </w:tc>
        <w:tc>
          <w:tcPr>
            <w:tcW w:w="3402" w:type="dxa"/>
          </w:tcPr>
          <w:p w:rsidR="006A2CBA" w:rsidRPr="006A2CBA" w:rsidRDefault="006703E0">
            <w:pPr>
              <w:rPr>
                <w:rFonts w:ascii="Times New Roman" w:hAnsi="Times New Roman" w:cs="Times New Roman"/>
                <w:sz w:val="24"/>
                <w:szCs w:val="24"/>
              </w:rPr>
            </w:pPr>
            <w:r>
              <w:rPr>
                <w:rFonts w:ascii="Times New Roman" w:hAnsi="Times New Roman" w:cs="Times New Roman"/>
                <w:sz w:val="24"/>
                <w:szCs w:val="24"/>
              </w:rPr>
              <w:lastRenderedPageBreak/>
              <w:t xml:space="preserve">Nav ņemts vērā </w:t>
            </w:r>
          </w:p>
        </w:tc>
        <w:tc>
          <w:tcPr>
            <w:tcW w:w="3402" w:type="dxa"/>
          </w:tcPr>
          <w:p w:rsidR="004E4D92" w:rsidRDefault="006703E0" w:rsidP="006703E0">
            <w:pPr>
              <w:jc w:val="both"/>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 xml:space="preserve">Deklarācija par Artura Krišjāņa Kariņa vadītā Ministru kabineta iecerēto darbību ir noteikts, ka tiks izveidots </w:t>
            </w:r>
            <w:proofErr w:type="spellStart"/>
            <w:r>
              <w:rPr>
                <w:rFonts w:ascii="Times New Roman" w:eastAsia="Times New Roman" w:hAnsi="Times New Roman" w:cs="Times New Roman"/>
                <w:iCs/>
                <w:sz w:val="24"/>
                <w:szCs w:val="24"/>
                <w:lang w:eastAsia="lv-LV"/>
              </w:rPr>
              <w:t>ilgspējīgs</w:t>
            </w:r>
            <w:proofErr w:type="spellEnd"/>
            <w:r>
              <w:rPr>
                <w:rFonts w:ascii="Times New Roman" w:eastAsia="Times New Roman" w:hAnsi="Times New Roman" w:cs="Times New Roman"/>
                <w:iCs/>
                <w:sz w:val="24"/>
                <w:szCs w:val="24"/>
                <w:lang w:eastAsia="lv-LV"/>
              </w:rPr>
              <w:t xml:space="preserve"> veselības aprūpes finansēšanas modelis, kas paredz obligātu visu Latvijas rezidentu iekļaušanu. Arī Veselības aprūpes finansēšanas likumā ir dots uzdevums izstrādāt likumprojektu, kas paredz vienota valsts apmaksāto veselības aprūpes pakalpojuma apjoma ieviešanu. LDDK eksperta piedāvātais risinājums, </w:t>
            </w:r>
            <w:r>
              <w:rPr>
                <w:rFonts w:ascii="Times New Roman" w:eastAsia="Times New Roman" w:hAnsi="Times New Roman" w:cs="Times New Roman"/>
                <w:iCs/>
                <w:sz w:val="24"/>
                <w:szCs w:val="24"/>
                <w:lang w:eastAsia="lv-LV"/>
              </w:rPr>
              <w:lastRenderedPageBreak/>
              <w:t>pirmkārt, nenovērsīs esošo nevienlīdzību, jo personificēts maksājums nozīmē, kad cilvēkam</w:t>
            </w:r>
            <w:r w:rsidR="004A16C1">
              <w:rPr>
                <w:rFonts w:ascii="Times New Roman" w:eastAsia="Times New Roman" w:hAnsi="Times New Roman" w:cs="Times New Roman"/>
                <w:iCs/>
                <w:sz w:val="24"/>
                <w:szCs w:val="24"/>
                <w:lang w:eastAsia="lv-LV"/>
              </w:rPr>
              <w:t xml:space="preserve"> var tikt </w:t>
            </w:r>
            <w:r>
              <w:rPr>
                <w:rFonts w:ascii="Times New Roman" w:eastAsia="Times New Roman" w:hAnsi="Times New Roman" w:cs="Times New Roman"/>
                <w:iCs/>
                <w:sz w:val="24"/>
                <w:szCs w:val="24"/>
                <w:lang w:eastAsia="lv-LV"/>
              </w:rPr>
              <w:t>liegts saņemt</w:t>
            </w:r>
            <w:r w:rsidR="004A16C1">
              <w:rPr>
                <w:rFonts w:ascii="Times New Roman" w:eastAsia="Times New Roman" w:hAnsi="Times New Roman" w:cs="Times New Roman"/>
                <w:iCs/>
                <w:sz w:val="24"/>
                <w:szCs w:val="24"/>
                <w:lang w:eastAsia="lv-LV"/>
              </w:rPr>
              <w:t xml:space="preserve"> nepieciešamo</w:t>
            </w:r>
            <w:r>
              <w:rPr>
                <w:rFonts w:ascii="Times New Roman" w:eastAsia="Times New Roman" w:hAnsi="Times New Roman" w:cs="Times New Roman"/>
                <w:iCs/>
                <w:sz w:val="24"/>
                <w:szCs w:val="24"/>
                <w:lang w:eastAsia="lv-LV"/>
              </w:rPr>
              <w:t xml:space="preserve"> pakalpojumu, otrkārt, </w:t>
            </w:r>
            <w:r w:rsidR="004E4D92">
              <w:rPr>
                <w:rFonts w:ascii="Times New Roman" w:eastAsia="Times New Roman" w:hAnsi="Times New Roman" w:cs="Times New Roman"/>
                <w:iCs/>
                <w:sz w:val="24"/>
                <w:szCs w:val="24"/>
                <w:lang w:eastAsia="lv-LV"/>
              </w:rPr>
              <w:t xml:space="preserve">tas </w:t>
            </w:r>
            <w:r>
              <w:rPr>
                <w:rFonts w:ascii="Times New Roman" w:eastAsia="Times New Roman" w:hAnsi="Times New Roman" w:cs="Times New Roman"/>
                <w:iCs/>
                <w:sz w:val="24"/>
                <w:szCs w:val="24"/>
                <w:lang w:eastAsia="lv-LV"/>
              </w:rPr>
              <w:t xml:space="preserve">paredz </w:t>
            </w:r>
            <w:r w:rsidR="004A16C1">
              <w:rPr>
                <w:rFonts w:ascii="Times New Roman" w:eastAsia="Times New Roman" w:hAnsi="Times New Roman" w:cs="Times New Roman"/>
                <w:iCs/>
                <w:sz w:val="24"/>
                <w:szCs w:val="24"/>
                <w:lang w:eastAsia="lv-LV"/>
              </w:rPr>
              <w:t>ļoti lielu apdrošināšanas maksājuma apmēru, kuram būtu jānosedz visa sekundārā ambulatorā un stacionārā un terciārā veselības aprūpe, jo šos pakalpojumus darba ņēmējiem un citām personām, kuras nebūtu attaisnotie nemaksātāji, vairs neapmaksātu no valsts budžeta.</w:t>
            </w:r>
          </w:p>
          <w:p w:rsidR="004E4D92" w:rsidRPr="004E4D92" w:rsidRDefault="004E4D92" w:rsidP="006703E0">
            <w:pPr>
              <w:jc w:val="both"/>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 xml:space="preserve">Veselības ministrija arī nevar piekrist priekšlikumam palielināt par vienu procentpunktu valsts sociālās apdrošināšanas obligātās iemaksas veselības apdrošināšanai tikai vispārējā režīmā strādājošiem un </w:t>
            </w:r>
            <w:proofErr w:type="spellStart"/>
            <w:r>
              <w:rPr>
                <w:rFonts w:ascii="Times New Roman" w:eastAsia="Times New Roman" w:hAnsi="Times New Roman" w:cs="Times New Roman"/>
                <w:iCs/>
                <w:sz w:val="24"/>
                <w:szCs w:val="24"/>
                <w:lang w:eastAsia="lv-LV"/>
              </w:rPr>
              <w:t>mikrouzņēmuma</w:t>
            </w:r>
            <w:proofErr w:type="spellEnd"/>
            <w:r>
              <w:rPr>
                <w:rFonts w:ascii="Times New Roman" w:eastAsia="Times New Roman" w:hAnsi="Times New Roman" w:cs="Times New Roman"/>
                <w:iCs/>
                <w:sz w:val="24"/>
                <w:szCs w:val="24"/>
                <w:lang w:eastAsia="lv-LV"/>
              </w:rPr>
              <w:t xml:space="preserve"> nodokļa maksātājiem, savukārt pārējiem noteikt vienotu fiksētu maksājumu vismaz viena procentpunkta apmērā no minimālās algas. </w:t>
            </w:r>
            <w:r w:rsidR="00746FD5">
              <w:rPr>
                <w:rFonts w:ascii="Times New Roman" w:eastAsia="Times New Roman" w:hAnsi="Times New Roman" w:cs="Times New Roman"/>
                <w:iCs/>
                <w:sz w:val="24"/>
                <w:szCs w:val="24"/>
                <w:lang w:eastAsia="lv-LV"/>
              </w:rPr>
              <w:t xml:space="preserve">Veselības apdrošināšana ir viens no sociālās apdrošināšanas veidiem </w:t>
            </w:r>
            <w:r w:rsidR="00746FD5">
              <w:rPr>
                <w:rFonts w:ascii="Times New Roman" w:eastAsia="Times New Roman" w:hAnsi="Times New Roman" w:cs="Times New Roman"/>
                <w:iCs/>
                <w:sz w:val="24"/>
                <w:szCs w:val="24"/>
                <w:lang w:eastAsia="lv-LV"/>
              </w:rPr>
              <w:lastRenderedPageBreak/>
              <w:t>un līdz ar to tam arī jāatbilst valsts sociālās apdrošināšanas obligātās iemaksas veikšanas principiem.</w:t>
            </w:r>
          </w:p>
        </w:tc>
      </w:tr>
      <w:tr w:rsidR="006A2CBA" w:rsidTr="008C308C">
        <w:tc>
          <w:tcPr>
            <w:tcW w:w="704" w:type="dxa"/>
          </w:tcPr>
          <w:p w:rsidR="006A2CBA" w:rsidRPr="006A2CBA" w:rsidRDefault="006A2CBA">
            <w:pPr>
              <w:rPr>
                <w:rFonts w:ascii="Times New Roman" w:hAnsi="Times New Roman" w:cs="Times New Roman"/>
                <w:sz w:val="24"/>
                <w:szCs w:val="24"/>
              </w:rPr>
            </w:pPr>
            <w:r>
              <w:rPr>
                <w:rFonts w:ascii="Times New Roman" w:hAnsi="Times New Roman" w:cs="Times New Roman"/>
                <w:sz w:val="24"/>
                <w:szCs w:val="24"/>
              </w:rPr>
              <w:lastRenderedPageBreak/>
              <w:t xml:space="preserve">2. </w:t>
            </w:r>
          </w:p>
        </w:tc>
        <w:tc>
          <w:tcPr>
            <w:tcW w:w="2693" w:type="dxa"/>
          </w:tcPr>
          <w:p w:rsidR="006A2CBA" w:rsidRPr="006A2CBA" w:rsidRDefault="006A2CBA">
            <w:pPr>
              <w:rPr>
                <w:rFonts w:ascii="Times New Roman" w:hAnsi="Times New Roman" w:cs="Times New Roman"/>
                <w:sz w:val="24"/>
                <w:szCs w:val="24"/>
              </w:rPr>
            </w:pPr>
            <w:r>
              <w:rPr>
                <w:rFonts w:ascii="Times New Roman" w:hAnsi="Times New Roman" w:cs="Times New Roman"/>
                <w:sz w:val="24"/>
                <w:szCs w:val="24"/>
              </w:rPr>
              <w:t>Biofarmaceitisko zāļu ražotāju asociācija Latvijā</w:t>
            </w:r>
          </w:p>
        </w:tc>
        <w:tc>
          <w:tcPr>
            <w:tcW w:w="3686" w:type="dxa"/>
          </w:tcPr>
          <w:p w:rsidR="006A2CBA" w:rsidRPr="006A2CBA" w:rsidRDefault="006A2CBA" w:rsidP="006A2CBA">
            <w:pPr>
              <w:jc w:val="both"/>
              <w:rPr>
                <w:rFonts w:ascii="Times New Roman" w:hAnsi="Times New Roman" w:cs="Times New Roman"/>
                <w:sz w:val="24"/>
                <w:szCs w:val="24"/>
              </w:rPr>
            </w:pPr>
            <w:r>
              <w:rPr>
                <w:rFonts w:ascii="Times New Roman" w:hAnsi="Times New Roman" w:cs="Times New Roman"/>
                <w:sz w:val="24"/>
                <w:szCs w:val="24"/>
              </w:rPr>
              <w:t xml:space="preserve">Likumprojektu “Grozījumu likumā “Par iedzīvotāju ienākuma nodokli””, Grozījumi </w:t>
            </w:r>
            <w:proofErr w:type="spellStart"/>
            <w:r>
              <w:rPr>
                <w:rFonts w:ascii="Times New Roman" w:hAnsi="Times New Roman" w:cs="Times New Roman"/>
                <w:sz w:val="24"/>
                <w:szCs w:val="24"/>
              </w:rPr>
              <w:t>Mikrouzņēmumu</w:t>
            </w:r>
            <w:proofErr w:type="spellEnd"/>
            <w:r>
              <w:rPr>
                <w:rFonts w:ascii="Times New Roman" w:hAnsi="Times New Roman" w:cs="Times New Roman"/>
                <w:sz w:val="24"/>
                <w:szCs w:val="24"/>
              </w:rPr>
              <w:t xml:space="preserve"> nodokļu likumā, “Grozījumi likumā “Par valsts </w:t>
            </w:r>
            <w:r>
              <w:rPr>
                <w:rFonts w:ascii="Times New Roman" w:hAnsi="Times New Roman" w:cs="Times New Roman"/>
                <w:sz w:val="24"/>
                <w:szCs w:val="24"/>
              </w:rPr>
              <w:lastRenderedPageBreak/>
              <w:t>sociālo apdrošināšanu”” anotācijas norādītais 2020.gada budžets kompensējamo medikamentu un materiālu apmaksai ir 162 478 802 EUR savukārt likuma “Par valsts budžetu 2020.gadam” 4.pielikumā kompensējamo medikamentu un materiālu apmaksai 2020.gadā apstiprināti 167 530 684 EUR. Arī norādītās dotācijas kompensējamo medikamentu un materiālu apmaksai 2020.gadam 155 456 748 EUR neatbilst likuma “Par valsts budžetu 2020.gadam” 4.pielikumā apstiprinātajai summai 160 508 630 EUR</w:t>
            </w:r>
          </w:p>
        </w:tc>
        <w:tc>
          <w:tcPr>
            <w:tcW w:w="3402" w:type="dxa"/>
          </w:tcPr>
          <w:p w:rsidR="006A2CBA" w:rsidRPr="006A2CBA" w:rsidRDefault="00E65429">
            <w:pPr>
              <w:rPr>
                <w:rFonts w:ascii="Times New Roman" w:hAnsi="Times New Roman" w:cs="Times New Roman"/>
                <w:sz w:val="24"/>
                <w:szCs w:val="24"/>
              </w:rPr>
            </w:pPr>
            <w:r>
              <w:rPr>
                <w:rFonts w:ascii="Times New Roman" w:hAnsi="Times New Roman" w:cs="Times New Roman"/>
                <w:sz w:val="24"/>
                <w:szCs w:val="24"/>
              </w:rPr>
              <w:lastRenderedPageBreak/>
              <w:t>Ņemts vērā</w:t>
            </w:r>
          </w:p>
        </w:tc>
        <w:tc>
          <w:tcPr>
            <w:tcW w:w="3402" w:type="dxa"/>
          </w:tcPr>
          <w:p w:rsidR="00E65429" w:rsidRPr="006A2CBA" w:rsidRDefault="00E65429">
            <w:pPr>
              <w:rPr>
                <w:rFonts w:ascii="Times New Roman" w:hAnsi="Times New Roman" w:cs="Times New Roman"/>
                <w:sz w:val="24"/>
                <w:szCs w:val="24"/>
              </w:rPr>
            </w:pPr>
            <w:r>
              <w:rPr>
                <w:rFonts w:ascii="Times New Roman" w:hAnsi="Times New Roman" w:cs="Times New Roman"/>
                <w:sz w:val="24"/>
                <w:szCs w:val="24"/>
              </w:rPr>
              <w:t>Precizēta anotācija</w:t>
            </w:r>
          </w:p>
        </w:tc>
      </w:tr>
      <w:tr w:rsidR="006A2CBA" w:rsidTr="008C308C">
        <w:tc>
          <w:tcPr>
            <w:tcW w:w="704" w:type="dxa"/>
          </w:tcPr>
          <w:p w:rsidR="006A2CBA" w:rsidRDefault="006A2CBA">
            <w:pPr>
              <w:rPr>
                <w:rFonts w:ascii="Times New Roman" w:hAnsi="Times New Roman" w:cs="Times New Roman"/>
                <w:sz w:val="24"/>
                <w:szCs w:val="24"/>
              </w:rPr>
            </w:pPr>
          </w:p>
        </w:tc>
        <w:tc>
          <w:tcPr>
            <w:tcW w:w="2693" w:type="dxa"/>
          </w:tcPr>
          <w:p w:rsidR="006A2CBA" w:rsidRDefault="006A2CBA">
            <w:pPr>
              <w:rPr>
                <w:rFonts w:ascii="Times New Roman" w:hAnsi="Times New Roman" w:cs="Times New Roman"/>
                <w:sz w:val="24"/>
                <w:szCs w:val="24"/>
              </w:rPr>
            </w:pPr>
          </w:p>
        </w:tc>
        <w:tc>
          <w:tcPr>
            <w:tcW w:w="3686" w:type="dxa"/>
          </w:tcPr>
          <w:p w:rsidR="006A2CBA" w:rsidRDefault="006A2CBA" w:rsidP="006A2CBA">
            <w:pPr>
              <w:jc w:val="both"/>
              <w:rPr>
                <w:rFonts w:ascii="Times New Roman" w:hAnsi="Times New Roman" w:cs="Times New Roman"/>
                <w:sz w:val="24"/>
                <w:szCs w:val="24"/>
              </w:rPr>
            </w:pPr>
            <w:r>
              <w:rPr>
                <w:rFonts w:ascii="Times New Roman" w:hAnsi="Times New Roman" w:cs="Times New Roman"/>
                <w:sz w:val="24"/>
                <w:szCs w:val="24"/>
              </w:rPr>
              <w:t>Anotācijā 2021.gadam budžets kompensējamo medikamentu un materiālu apmaksai plānots ar ievērojamu samazinājumu līdz 120 372 208 EUR, lai gan 2020.gadā piešķirtais finansējums nesasniedza Veselības ministrijas pieprasīto finansējumu zāļu apmaks</w:t>
            </w:r>
            <w:r w:rsidR="00C02C3E">
              <w:rPr>
                <w:rFonts w:ascii="Times New Roman" w:hAnsi="Times New Roman" w:cs="Times New Roman"/>
                <w:sz w:val="24"/>
                <w:szCs w:val="24"/>
              </w:rPr>
              <w:t>ai (tātad vajadzība jau pašreiz ir lielāka par piešķirto budžetu)</w:t>
            </w:r>
          </w:p>
        </w:tc>
        <w:tc>
          <w:tcPr>
            <w:tcW w:w="3402" w:type="dxa"/>
          </w:tcPr>
          <w:p w:rsidR="006A2CBA" w:rsidRPr="006A2CBA" w:rsidRDefault="00E65429">
            <w:pPr>
              <w:rPr>
                <w:rFonts w:ascii="Times New Roman" w:hAnsi="Times New Roman" w:cs="Times New Roman"/>
                <w:sz w:val="24"/>
                <w:szCs w:val="24"/>
              </w:rPr>
            </w:pPr>
            <w:r>
              <w:rPr>
                <w:rFonts w:ascii="Times New Roman" w:hAnsi="Times New Roman" w:cs="Times New Roman"/>
                <w:sz w:val="24"/>
                <w:szCs w:val="24"/>
              </w:rPr>
              <w:t>Ņemts vērā</w:t>
            </w:r>
          </w:p>
        </w:tc>
        <w:tc>
          <w:tcPr>
            <w:tcW w:w="3402" w:type="dxa"/>
          </w:tcPr>
          <w:p w:rsidR="006A2CBA" w:rsidRPr="006A2CBA" w:rsidRDefault="00E65429">
            <w:pPr>
              <w:rPr>
                <w:rFonts w:ascii="Times New Roman" w:hAnsi="Times New Roman" w:cs="Times New Roman"/>
                <w:sz w:val="24"/>
                <w:szCs w:val="24"/>
              </w:rPr>
            </w:pPr>
            <w:r>
              <w:rPr>
                <w:rFonts w:ascii="Times New Roman" w:hAnsi="Times New Roman" w:cs="Times New Roman"/>
                <w:sz w:val="24"/>
                <w:szCs w:val="24"/>
              </w:rPr>
              <w:t>Precizēta anotācija</w:t>
            </w:r>
          </w:p>
        </w:tc>
      </w:tr>
      <w:tr w:rsidR="00C02C3E" w:rsidTr="008C308C">
        <w:tc>
          <w:tcPr>
            <w:tcW w:w="704" w:type="dxa"/>
          </w:tcPr>
          <w:p w:rsidR="00C02C3E" w:rsidRDefault="00C02C3E">
            <w:pPr>
              <w:rPr>
                <w:rFonts w:ascii="Times New Roman" w:hAnsi="Times New Roman" w:cs="Times New Roman"/>
                <w:sz w:val="24"/>
                <w:szCs w:val="24"/>
              </w:rPr>
            </w:pPr>
          </w:p>
        </w:tc>
        <w:tc>
          <w:tcPr>
            <w:tcW w:w="2693" w:type="dxa"/>
          </w:tcPr>
          <w:p w:rsidR="00C02C3E" w:rsidRDefault="00C02C3E">
            <w:pPr>
              <w:rPr>
                <w:rFonts w:ascii="Times New Roman" w:hAnsi="Times New Roman" w:cs="Times New Roman"/>
                <w:sz w:val="24"/>
                <w:szCs w:val="24"/>
              </w:rPr>
            </w:pPr>
          </w:p>
        </w:tc>
        <w:tc>
          <w:tcPr>
            <w:tcW w:w="3686" w:type="dxa"/>
          </w:tcPr>
          <w:p w:rsidR="00C02C3E" w:rsidRDefault="00C02C3E" w:rsidP="006A2CBA">
            <w:pPr>
              <w:jc w:val="both"/>
              <w:rPr>
                <w:rFonts w:ascii="Times New Roman" w:hAnsi="Times New Roman" w:cs="Times New Roman"/>
                <w:sz w:val="24"/>
                <w:szCs w:val="24"/>
              </w:rPr>
            </w:pPr>
            <w:r>
              <w:rPr>
                <w:rFonts w:ascii="Times New Roman" w:hAnsi="Times New Roman" w:cs="Times New Roman"/>
                <w:sz w:val="24"/>
                <w:szCs w:val="24"/>
              </w:rPr>
              <w:t xml:space="preserve">Anotācijā 2022.gadam plānotais budžets kompensējamo </w:t>
            </w:r>
            <w:r>
              <w:rPr>
                <w:rFonts w:ascii="Times New Roman" w:hAnsi="Times New Roman" w:cs="Times New Roman"/>
                <w:sz w:val="24"/>
                <w:szCs w:val="24"/>
              </w:rPr>
              <w:lastRenderedPageBreak/>
              <w:t>medikamentu un materiālu apmaksai 160 587 684 EUR, lai gan ir lielāks kā 2021.gadā, tomēr ir mazāks nekā 2020.gada likumā apstiprinātie 167 530 684 EUR</w:t>
            </w:r>
          </w:p>
        </w:tc>
        <w:tc>
          <w:tcPr>
            <w:tcW w:w="3402" w:type="dxa"/>
          </w:tcPr>
          <w:p w:rsidR="00C02C3E" w:rsidRPr="006A2CBA" w:rsidRDefault="00E65429">
            <w:pPr>
              <w:rPr>
                <w:rFonts w:ascii="Times New Roman" w:hAnsi="Times New Roman" w:cs="Times New Roman"/>
                <w:sz w:val="24"/>
                <w:szCs w:val="24"/>
              </w:rPr>
            </w:pPr>
            <w:r>
              <w:rPr>
                <w:rFonts w:ascii="Times New Roman" w:hAnsi="Times New Roman" w:cs="Times New Roman"/>
                <w:sz w:val="24"/>
                <w:szCs w:val="24"/>
              </w:rPr>
              <w:lastRenderedPageBreak/>
              <w:t>Ņemts vērā</w:t>
            </w:r>
          </w:p>
        </w:tc>
        <w:tc>
          <w:tcPr>
            <w:tcW w:w="3402" w:type="dxa"/>
          </w:tcPr>
          <w:p w:rsidR="00C02C3E" w:rsidRPr="006A2CBA" w:rsidRDefault="00E65429">
            <w:pPr>
              <w:rPr>
                <w:rFonts w:ascii="Times New Roman" w:hAnsi="Times New Roman" w:cs="Times New Roman"/>
                <w:sz w:val="24"/>
                <w:szCs w:val="24"/>
              </w:rPr>
            </w:pPr>
            <w:r>
              <w:rPr>
                <w:rFonts w:ascii="Times New Roman" w:hAnsi="Times New Roman" w:cs="Times New Roman"/>
                <w:sz w:val="24"/>
                <w:szCs w:val="24"/>
              </w:rPr>
              <w:t>Precizēta anotācija</w:t>
            </w:r>
          </w:p>
        </w:tc>
      </w:tr>
      <w:tr w:rsidR="00C02C3E" w:rsidTr="008C308C">
        <w:tc>
          <w:tcPr>
            <w:tcW w:w="704" w:type="dxa"/>
          </w:tcPr>
          <w:p w:rsidR="00C02C3E" w:rsidRDefault="00C02C3E">
            <w:pPr>
              <w:rPr>
                <w:rFonts w:ascii="Times New Roman" w:hAnsi="Times New Roman" w:cs="Times New Roman"/>
                <w:sz w:val="24"/>
                <w:szCs w:val="24"/>
              </w:rPr>
            </w:pPr>
          </w:p>
        </w:tc>
        <w:tc>
          <w:tcPr>
            <w:tcW w:w="2693" w:type="dxa"/>
          </w:tcPr>
          <w:p w:rsidR="00C02C3E" w:rsidRDefault="00C02C3E">
            <w:pPr>
              <w:rPr>
                <w:rFonts w:ascii="Times New Roman" w:hAnsi="Times New Roman" w:cs="Times New Roman"/>
                <w:sz w:val="24"/>
                <w:szCs w:val="24"/>
              </w:rPr>
            </w:pPr>
          </w:p>
        </w:tc>
        <w:tc>
          <w:tcPr>
            <w:tcW w:w="3686" w:type="dxa"/>
          </w:tcPr>
          <w:p w:rsidR="00C02C3E" w:rsidRDefault="00C02C3E" w:rsidP="006A2CBA">
            <w:pPr>
              <w:jc w:val="both"/>
              <w:rPr>
                <w:rFonts w:ascii="Times New Roman" w:hAnsi="Times New Roman" w:cs="Times New Roman"/>
                <w:sz w:val="24"/>
                <w:szCs w:val="24"/>
              </w:rPr>
            </w:pPr>
            <w:r>
              <w:rPr>
                <w:rFonts w:ascii="Times New Roman" w:hAnsi="Times New Roman" w:cs="Times New Roman"/>
                <w:sz w:val="24"/>
                <w:szCs w:val="24"/>
              </w:rPr>
              <w:t>Anotācijā centralizēto medikamentu un materiālu nodrošināšanai 2021.gadā nav plānoti vispār nekādi budžeta līdzekļi.</w:t>
            </w:r>
          </w:p>
        </w:tc>
        <w:tc>
          <w:tcPr>
            <w:tcW w:w="3402" w:type="dxa"/>
          </w:tcPr>
          <w:p w:rsidR="00C02C3E" w:rsidRPr="006A2CBA" w:rsidRDefault="00E65429">
            <w:pPr>
              <w:rPr>
                <w:rFonts w:ascii="Times New Roman" w:hAnsi="Times New Roman" w:cs="Times New Roman"/>
                <w:sz w:val="24"/>
                <w:szCs w:val="24"/>
              </w:rPr>
            </w:pPr>
            <w:r>
              <w:rPr>
                <w:rFonts w:ascii="Times New Roman" w:hAnsi="Times New Roman" w:cs="Times New Roman"/>
                <w:sz w:val="24"/>
                <w:szCs w:val="24"/>
              </w:rPr>
              <w:t>Ņemts vērā</w:t>
            </w:r>
          </w:p>
        </w:tc>
        <w:tc>
          <w:tcPr>
            <w:tcW w:w="3402" w:type="dxa"/>
          </w:tcPr>
          <w:p w:rsidR="00C02C3E" w:rsidRPr="006A2CBA" w:rsidRDefault="00E65429">
            <w:pPr>
              <w:rPr>
                <w:rFonts w:ascii="Times New Roman" w:hAnsi="Times New Roman" w:cs="Times New Roman"/>
                <w:sz w:val="24"/>
                <w:szCs w:val="24"/>
              </w:rPr>
            </w:pPr>
            <w:r>
              <w:rPr>
                <w:rFonts w:ascii="Times New Roman" w:hAnsi="Times New Roman" w:cs="Times New Roman"/>
                <w:sz w:val="24"/>
                <w:szCs w:val="24"/>
              </w:rPr>
              <w:t>Precizēta anotācija</w:t>
            </w:r>
          </w:p>
        </w:tc>
      </w:tr>
      <w:tr w:rsidR="00C02C3E" w:rsidTr="008C308C">
        <w:tc>
          <w:tcPr>
            <w:tcW w:w="704" w:type="dxa"/>
          </w:tcPr>
          <w:p w:rsidR="00C02C3E" w:rsidRDefault="00C02C3E">
            <w:pPr>
              <w:rPr>
                <w:rFonts w:ascii="Times New Roman" w:hAnsi="Times New Roman" w:cs="Times New Roman"/>
                <w:sz w:val="24"/>
                <w:szCs w:val="24"/>
              </w:rPr>
            </w:pPr>
          </w:p>
        </w:tc>
        <w:tc>
          <w:tcPr>
            <w:tcW w:w="2693" w:type="dxa"/>
          </w:tcPr>
          <w:p w:rsidR="00C02C3E" w:rsidRDefault="00C02C3E">
            <w:pPr>
              <w:rPr>
                <w:rFonts w:ascii="Times New Roman" w:hAnsi="Times New Roman" w:cs="Times New Roman"/>
                <w:sz w:val="24"/>
                <w:szCs w:val="24"/>
              </w:rPr>
            </w:pPr>
          </w:p>
        </w:tc>
        <w:tc>
          <w:tcPr>
            <w:tcW w:w="3686" w:type="dxa"/>
          </w:tcPr>
          <w:p w:rsidR="00C02C3E" w:rsidRDefault="00C02C3E" w:rsidP="006A2CBA">
            <w:pPr>
              <w:jc w:val="both"/>
              <w:rPr>
                <w:rFonts w:ascii="Times New Roman" w:hAnsi="Times New Roman" w:cs="Times New Roman"/>
                <w:sz w:val="24"/>
                <w:szCs w:val="24"/>
              </w:rPr>
            </w:pPr>
            <w:r>
              <w:rPr>
                <w:rFonts w:ascii="Times New Roman" w:hAnsi="Times New Roman" w:cs="Times New Roman"/>
                <w:sz w:val="24"/>
                <w:szCs w:val="24"/>
              </w:rPr>
              <w:t>Lūdzam skaidrot kāpēc Reto slimību ārstēšanai 2021.gadā ir pieaugums par aptuveni 168 milj. EUR (no aptuveni 7 milj. 2020.gadā uz 175 milj.2021.gadā), kas kopumā ir pozitīvi vērtējams, bet diemžēl 2022.gadā plānots samazinājums par 168 milj. EUR, pie tam kopējais finansējums plānots mazāks kā 2020.gadā</w:t>
            </w:r>
          </w:p>
        </w:tc>
        <w:tc>
          <w:tcPr>
            <w:tcW w:w="3402" w:type="dxa"/>
          </w:tcPr>
          <w:p w:rsidR="00C02C3E" w:rsidRPr="006A2CBA" w:rsidRDefault="00E65429">
            <w:pPr>
              <w:rPr>
                <w:rFonts w:ascii="Times New Roman" w:hAnsi="Times New Roman" w:cs="Times New Roman"/>
                <w:sz w:val="24"/>
                <w:szCs w:val="24"/>
              </w:rPr>
            </w:pPr>
            <w:r>
              <w:rPr>
                <w:rFonts w:ascii="Times New Roman" w:hAnsi="Times New Roman" w:cs="Times New Roman"/>
                <w:sz w:val="24"/>
                <w:szCs w:val="24"/>
              </w:rPr>
              <w:t>Ņemts vērā</w:t>
            </w:r>
          </w:p>
        </w:tc>
        <w:tc>
          <w:tcPr>
            <w:tcW w:w="3402" w:type="dxa"/>
          </w:tcPr>
          <w:p w:rsidR="00C02C3E" w:rsidRPr="006A2CBA" w:rsidRDefault="00E65429">
            <w:pPr>
              <w:rPr>
                <w:rFonts w:ascii="Times New Roman" w:hAnsi="Times New Roman" w:cs="Times New Roman"/>
                <w:sz w:val="24"/>
                <w:szCs w:val="24"/>
              </w:rPr>
            </w:pPr>
            <w:r>
              <w:rPr>
                <w:rFonts w:ascii="Times New Roman" w:hAnsi="Times New Roman" w:cs="Times New Roman"/>
                <w:sz w:val="24"/>
                <w:szCs w:val="24"/>
              </w:rPr>
              <w:t>Precizēta anotācija</w:t>
            </w:r>
          </w:p>
        </w:tc>
      </w:tr>
      <w:tr w:rsidR="00C02C3E" w:rsidTr="008C308C">
        <w:tc>
          <w:tcPr>
            <w:tcW w:w="704" w:type="dxa"/>
          </w:tcPr>
          <w:p w:rsidR="00C02C3E" w:rsidRDefault="00C02C3E">
            <w:pPr>
              <w:rPr>
                <w:rFonts w:ascii="Times New Roman" w:hAnsi="Times New Roman" w:cs="Times New Roman"/>
                <w:sz w:val="24"/>
                <w:szCs w:val="24"/>
              </w:rPr>
            </w:pPr>
          </w:p>
        </w:tc>
        <w:tc>
          <w:tcPr>
            <w:tcW w:w="2693" w:type="dxa"/>
          </w:tcPr>
          <w:p w:rsidR="00C02C3E" w:rsidRDefault="00C02C3E">
            <w:pPr>
              <w:rPr>
                <w:rFonts w:ascii="Times New Roman" w:hAnsi="Times New Roman" w:cs="Times New Roman"/>
                <w:sz w:val="24"/>
                <w:szCs w:val="24"/>
              </w:rPr>
            </w:pPr>
          </w:p>
        </w:tc>
        <w:tc>
          <w:tcPr>
            <w:tcW w:w="3686" w:type="dxa"/>
          </w:tcPr>
          <w:p w:rsidR="00C02C3E" w:rsidRDefault="00C02C3E" w:rsidP="006A2CBA">
            <w:pPr>
              <w:jc w:val="both"/>
              <w:rPr>
                <w:rFonts w:ascii="Times New Roman" w:hAnsi="Times New Roman" w:cs="Times New Roman"/>
                <w:sz w:val="24"/>
                <w:szCs w:val="24"/>
              </w:rPr>
            </w:pPr>
            <w:r>
              <w:rPr>
                <w:rFonts w:ascii="Times New Roman" w:hAnsi="Times New Roman" w:cs="Times New Roman"/>
                <w:sz w:val="24"/>
                <w:szCs w:val="24"/>
              </w:rPr>
              <w:t xml:space="preserve">2021.gadā laboratorisko izmeklējumu nodrošināšanai ambulatorajā aprūpē arī plānots līdzekļu samazinājums salīdzinot ar 2020.gadu – no 37 730 790 EUR uz 33 403 557 EUR. Vēršam uzmanību, ka, lai ieviestu efektīvāku personalizēto medicīnu, kas šobrīd, jau piemēram, Veselības aprūpes pakalpojumu onkoloģijās </w:t>
            </w:r>
            <w:r>
              <w:rPr>
                <w:rFonts w:ascii="Times New Roman" w:hAnsi="Times New Roman" w:cs="Times New Roman"/>
                <w:sz w:val="24"/>
                <w:szCs w:val="24"/>
              </w:rPr>
              <w:lastRenderedPageBreak/>
              <w:t xml:space="preserve">jomā uzlabošanas plānā 2017.-2020.gadam paredz vairākas aktivitātes personalizētās medicīnas veselības aprūpes sistēmā ieviešanai onkoloģijas jomā, ir nepieciešami papildu līdzekļi specifisko testu veikšanai. </w:t>
            </w:r>
          </w:p>
        </w:tc>
        <w:tc>
          <w:tcPr>
            <w:tcW w:w="3402" w:type="dxa"/>
          </w:tcPr>
          <w:p w:rsidR="00C02C3E" w:rsidRPr="006A2CBA" w:rsidRDefault="00E65429">
            <w:pPr>
              <w:rPr>
                <w:rFonts w:ascii="Times New Roman" w:hAnsi="Times New Roman" w:cs="Times New Roman"/>
                <w:sz w:val="24"/>
                <w:szCs w:val="24"/>
              </w:rPr>
            </w:pPr>
            <w:r>
              <w:rPr>
                <w:rFonts w:ascii="Times New Roman" w:hAnsi="Times New Roman" w:cs="Times New Roman"/>
                <w:sz w:val="24"/>
                <w:szCs w:val="24"/>
              </w:rPr>
              <w:lastRenderedPageBreak/>
              <w:t>Ņemts vērā</w:t>
            </w:r>
          </w:p>
        </w:tc>
        <w:tc>
          <w:tcPr>
            <w:tcW w:w="3402" w:type="dxa"/>
          </w:tcPr>
          <w:p w:rsidR="00C02C3E" w:rsidRPr="006A2CBA" w:rsidRDefault="00E65429">
            <w:pPr>
              <w:rPr>
                <w:rFonts w:ascii="Times New Roman" w:hAnsi="Times New Roman" w:cs="Times New Roman"/>
                <w:sz w:val="24"/>
                <w:szCs w:val="24"/>
              </w:rPr>
            </w:pPr>
            <w:r>
              <w:rPr>
                <w:rFonts w:ascii="Times New Roman" w:hAnsi="Times New Roman" w:cs="Times New Roman"/>
                <w:sz w:val="24"/>
                <w:szCs w:val="24"/>
              </w:rPr>
              <w:t>Precizēta anotācija</w:t>
            </w:r>
          </w:p>
        </w:tc>
      </w:tr>
      <w:tr w:rsidR="00C02C3E" w:rsidTr="008C308C">
        <w:tc>
          <w:tcPr>
            <w:tcW w:w="704" w:type="dxa"/>
          </w:tcPr>
          <w:p w:rsidR="00C02C3E" w:rsidRDefault="00C02C3E">
            <w:pPr>
              <w:rPr>
                <w:rFonts w:ascii="Times New Roman" w:hAnsi="Times New Roman" w:cs="Times New Roman"/>
                <w:sz w:val="24"/>
                <w:szCs w:val="24"/>
              </w:rPr>
            </w:pPr>
          </w:p>
        </w:tc>
        <w:tc>
          <w:tcPr>
            <w:tcW w:w="2693" w:type="dxa"/>
          </w:tcPr>
          <w:p w:rsidR="00C02C3E" w:rsidRDefault="00C02C3E">
            <w:pPr>
              <w:rPr>
                <w:rFonts w:ascii="Times New Roman" w:hAnsi="Times New Roman" w:cs="Times New Roman"/>
                <w:sz w:val="24"/>
                <w:szCs w:val="24"/>
              </w:rPr>
            </w:pPr>
            <w:r>
              <w:rPr>
                <w:rFonts w:ascii="Times New Roman" w:hAnsi="Times New Roman" w:cs="Times New Roman"/>
                <w:sz w:val="24"/>
                <w:szCs w:val="24"/>
              </w:rPr>
              <w:t>Veselības aprūpes darba devēju asociācija</w:t>
            </w:r>
          </w:p>
        </w:tc>
        <w:tc>
          <w:tcPr>
            <w:tcW w:w="3686" w:type="dxa"/>
          </w:tcPr>
          <w:p w:rsidR="00C02C3E" w:rsidRDefault="001858DE" w:rsidP="006A2CBA">
            <w:pPr>
              <w:jc w:val="both"/>
              <w:rPr>
                <w:rFonts w:ascii="Times New Roman" w:hAnsi="Times New Roman" w:cs="Times New Roman"/>
                <w:sz w:val="24"/>
                <w:szCs w:val="24"/>
              </w:rPr>
            </w:pPr>
            <w:r>
              <w:rPr>
                <w:rFonts w:ascii="Times New Roman" w:hAnsi="Times New Roman" w:cs="Times New Roman"/>
                <w:sz w:val="24"/>
                <w:szCs w:val="24"/>
              </w:rPr>
              <w:t xml:space="preserve">VADDA pēc būtības atbalsta projekta papildināšanu ar 16.pantu, vienlaicīgi aicina to papildināt arī ar kritērijiem, procedūru, kā veselības aprūpes pakalpojums tiek izslēgts no valsts apmaksājamo veselības aprūpes </w:t>
            </w:r>
            <w:proofErr w:type="spellStart"/>
            <w:r>
              <w:rPr>
                <w:rFonts w:ascii="Times New Roman" w:hAnsi="Times New Roman" w:cs="Times New Roman"/>
                <w:sz w:val="24"/>
                <w:szCs w:val="24"/>
              </w:rPr>
              <w:t>pakapojumu</w:t>
            </w:r>
            <w:proofErr w:type="spellEnd"/>
            <w:r>
              <w:rPr>
                <w:rFonts w:ascii="Times New Roman" w:hAnsi="Times New Roman" w:cs="Times New Roman"/>
                <w:sz w:val="24"/>
                <w:szCs w:val="24"/>
              </w:rPr>
              <w:t xml:space="preserve"> klāsta. Ierobežota finansējuma apstākļos īpaši svarīgi periodiski novērtēt, vai esošie izvēlētie pakalpojumi ir efektīvākie, prioritāri vajadzīgākie vai varbūt no kāda jāatsakās par labu kādam citam, kas ir akūtāki.</w:t>
            </w:r>
          </w:p>
        </w:tc>
        <w:tc>
          <w:tcPr>
            <w:tcW w:w="3402" w:type="dxa"/>
          </w:tcPr>
          <w:p w:rsidR="00C02C3E" w:rsidRPr="006A2CBA" w:rsidRDefault="00746FD5">
            <w:pPr>
              <w:rPr>
                <w:rFonts w:ascii="Times New Roman" w:hAnsi="Times New Roman" w:cs="Times New Roman"/>
                <w:sz w:val="24"/>
                <w:szCs w:val="24"/>
              </w:rPr>
            </w:pPr>
            <w:r>
              <w:rPr>
                <w:rFonts w:ascii="Times New Roman" w:hAnsi="Times New Roman" w:cs="Times New Roman"/>
                <w:sz w:val="24"/>
                <w:szCs w:val="24"/>
              </w:rPr>
              <w:t>Nav ņemts vērā</w:t>
            </w:r>
          </w:p>
        </w:tc>
        <w:tc>
          <w:tcPr>
            <w:tcW w:w="3402" w:type="dxa"/>
          </w:tcPr>
          <w:p w:rsidR="00C02C3E" w:rsidRPr="006A2CBA" w:rsidRDefault="00746FD5" w:rsidP="00746FD5">
            <w:pPr>
              <w:jc w:val="both"/>
              <w:rPr>
                <w:rFonts w:ascii="Times New Roman" w:hAnsi="Times New Roman" w:cs="Times New Roman"/>
                <w:sz w:val="24"/>
                <w:szCs w:val="24"/>
              </w:rPr>
            </w:pPr>
            <w:r>
              <w:rPr>
                <w:rFonts w:ascii="Times New Roman" w:hAnsi="Times New Roman" w:cs="Times New Roman"/>
                <w:sz w:val="24"/>
                <w:szCs w:val="24"/>
              </w:rPr>
              <w:t>Minētie kritēriji netiek iekļauti esošajā likumprojektā, taču Veselības ministrija piekrīt nepieciešamībai kopīgi ar VADDA un citām nozari pārstāvošām institūcijām diskutēt par šādu kritēriju nepieciešamību</w:t>
            </w:r>
          </w:p>
        </w:tc>
      </w:tr>
      <w:tr w:rsidR="001858DE" w:rsidTr="008C308C">
        <w:tc>
          <w:tcPr>
            <w:tcW w:w="704" w:type="dxa"/>
          </w:tcPr>
          <w:p w:rsidR="001858DE" w:rsidRDefault="001858DE">
            <w:pPr>
              <w:rPr>
                <w:rFonts w:ascii="Times New Roman" w:hAnsi="Times New Roman" w:cs="Times New Roman"/>
                <w:sz w:val="24"/>
                <w:szCs w:val="24"/>
              </w:rPr>
            </w:pPr>
          </w:p>
        </w:tc>
        <w:tc>
          <w:tcPr>
            <w:tcW w:w="2693" w:type="dxa"/>
          </w:tcPr>
          <w:p w:rsidR="001858DE" w:rsidRDefault="001858DE">
            <w:pPr>
              <w:rPr>
                <w:rFonts w:ascii="Times New Roman" w:hAnsi="Times New Roman" w:cs="Times New Roman"/>
                <w:sz w:val="24"/>
                <w:szCs w:val="24"/>
              </w:rPr>
            </w:pPr>
          </w:p>
        </w:tc>
        <w:tc>
          <w:tcPr>
            <w:tcW w:w="3686" w:type="dxa"/>
          </w:tcPr>
          <w:p w:rsidR="001858DE" w:rsidRDefault="001858DE" w:rsidP="006A2CBA">
            <w:pPr>
              <w:jc w:val="both"/>
              <w:rPr>
                <w:rFonts w:ascii="Times New Roman" w:hAnsi="Times New Roman" w:cs="Times New Roman"/>
                <w:sz w:val="24"/>
                <w:szCs w:val="24"/>
              </w:rPr>
            </w:pPr>
            <w:r>
              <w:rPr>
                <w:rFonts w:ascii="Times New Roman" w:hAnsi="Times New Roman" w:cs="Times New Roman"/>
                <w:sz w:val="24"/>
                <w:szCs w:val="24"/>
              </w:rPr>
              <w:t xml:space="preserve">Projekta 17.panta 1.1.daļa kā vienu no atlases kritērijiem nosaka: </w:t>
            </w:r>
            <w:r>
              <w:rPr>
                <w:rFonts w:ascii="Times New Roman" w:hAnsi="Times New Roman" w:cs="Times New Roman"/>
                <w:i/>
                <w:iCs/>
                <w:sz w:val="24"/>
                <w:szCs w:val="24"/>
              </w:rPr>
              <w:t xml:space="preserve">“veselības aprūpes pakalpojumu pieejamība un veselības aprūpes pakalpojumu sniegšanā iesaistītā personāla nodrošinājums, </w:t>
            </w:r>
            <w:r>
              <w:rPr>
                <w:rFonts w:ascii="Times New Roman" w:hAnsi="Times New Roman" w:cs="Times New Roman"/>
                <w:b/>
                <w:bCs/>
                <w:i/>
                <w:iCs/>
                <w:sz w:val="24"/>
                <w:szCs w:val="24"/>
              </w:rPr>
              <w:t>kā arī atsevišķos gadījumos veselības aprūpes pakalpojuma kvalitāte un efektivitāte”.</w:t>
            </w:r>
            <w:r>
              <w:rPr>
                <w:rFonts w:ascii="Times New Roman" w:hAnsi="Times New Roman" w:cs="Times New Roman"/>
                <w:sz w:val="24"/>
                <w:szCs w:val="24"/>
              </w:rPr>
              <w:t xml:space="preserve"> Mūsu skatījumā šāds </w:t>
            </w:r>
            <w:r>
              <w:rPr>
                <w:rFonts w:ascii="Times New Roman" w:hAnsi="Times New Roman" w:cs="Times New Roman"/>
                <w:sz w:val="24"/>
                <w:szCs w:val="24"/>
              </w:rPr>
              <w:lastRenderedPageBreak/>
              <w:t xml:space="preserve">atlases kritērija formulējums neiztur kritiku, jo </w:t>
            </w:r>
            <w:r>
              <w:rPr>
                <w:rFonts w:ascii="Times New Roman" w:hAnsi="Times New Roman" w:cs="Times New Roman"/>
                <w:b/>
                <w:bCs/>
                <w:sz w:val="24"/>
                <w:szCs w:val="24"/>
              </w:rPr>
              <w:t>visiem</w:t>
            </w:r>
            <w:r>
              <w:rPr>
                <w:rFonts w:ascii="Times New Roman" w:hAnsi="Times New Roman" w:cs="Times New Roman"/>
                <w:sz w:val="24"/>
                <w:szCs w:val="24"/>
              </w:rPr>
              <w:t xml:space="preserve"> valsts apmaksātiem veselības aprūpes pakalpojumiem jābūt kvalitatīviem un visu veselības aprūpei pieejamo līdzekļu izlietojumam jābūt efektīvam! Kā jau projekta anotācijā norādīts, tad vispārīgie kritēriji tika izdiskutēti ar Ministru prezidenta 2018.gada 3.aprīļa rīkojumu Nr.89 “Par darba grupu” izveidotajā darba grupā ziņojuma sagatavošanai par valsts apmaksāto veselības aprūpes pakalpojumu nodrošināšanu valsts, pašvaldību un privātās ārstniecības iestādēs.</w:t>
            </w:r>
            <w:r w:rsidR="003425C5">
              <w:rPr>
                <w:rFonts w:ascii="Times New Roman" w:hAnsi="Times New Roman" w:cs="Times New Roman"/>
                <w:sz w:val="24"/>
                <w:szCs w:val="24"/>
              </w:rPr>
              <w:t xml:space="preserve"> Minētajā darba grupā bija pārstāvji gan no primārās, gan sekundārās, gan stacionārās veselības aprūpes pakalpojumu sniedzējiem. Darba grupas ziņojums tika izskatīts Ministru kabineta sēdē 2018.gada 3.jūlijā. Minētajā ziņojumā noteikts, ka lēmuma</w:t>
            </w:r>
            <w:r w:rsidR="006A76E8">
              <w:rPr>
                <w:rFonts w:ascii="Times New Roman" w:hAnsi="Times New Roman" w:cs="Times New Roman"/>
                <w:sz w:val="24"/>
                <w:szCs w:val="24"/>
              </w:rPr>
              <w:t>m slēgt līgumu par valsts apmaksāto veselības aprūpes pakalpojumu nodrošināšanu jābūt balstītam uz noteiktiem kritērijiem:</w:t>
            </w:r>
          </w:p>
          <w:p w:rsidR="006A76E8" w:rsidRDefault="006A76E8" w:rsidP="006A2CBA">
            <w:pPr>
              <w:jc w:val="both"/>
              <w:rPr>
                <w:rFonts w:ascii="Times New Roman" w:hAnsi="Times New Roman" w:cs="Times New Roman"/>
                <w:sz w:val="24"/>
                <w:szCs w:val="24"/>
              </w:rPr>
            </w:pPr>
            <w:r>
              <w:rPr>
                <w:rFonts w:ascii="Times New Roman" w:hAnsi="Times New Roman" w:cs="Times New Roman"/>
                <w:sz w:val="24"/>
                <w:szCs w:val="24"/>
              </w:rPr>
              <w:t>1) veselības aprūpes kvalitāte;</w:t>
            </w:r>
          </w:p>
          <w:p w:rsidR="006A76E8" w:rsidRDefault="006A76E8" w:rsidP="006A2CBA">
            <w:pPr>
              <w:jc w:val="both"/>
              <w:rPr>
                <w:rFonts w:ascii="Times New Roman" w:hAnsi="Times New Roman" w:cs="Times New Roman"/>
                <w:sz w:val="24"/>
                <w:szCs w:val="24"/>
              </w:rPr>
            </w:pPr>
            <w:r>
              <w:rPr>
                <w:rFonts w:ascii="Times New Roman" w:hAnsi="Times New Roman" w:cs="Times New Roman"/>
                <w:sz w:val="24"/>
                <w:szCs w:val="24"/>
              </w:rPr>
              <w:t xml:space="preserve">2) veselības aprūpes pakalpojuma pieejamība (gan finansiālā </w:t>
            </w:r>
            <w:r>
              <w:rPr>
                <w:rFonts w:ascii="Times New Roman" w:hAnsi="Times New Roman" w:cs="Times New Roman"/>
                <w:sz w:val="24"/>
                <w:szCs w:val="24"/>
              </w:rPr>
              <w:lastRenderedPageBreak/>
              <w:t>pieejamība, gan ģeogrāfiskā pieejamība, gan arī organizatoriskā un administratīvā pieejamība);</w:t>
            </w:r>
          </w:p>
          <w:p w:rsidR="006A76E8" w:rsidRDefault="006A76E8" w:rsidP="006A2CBA">
            <w:pPr>
              <w:jc w:val="both"/>
              <w:rPr>
                <w:rFonts w:ascii="Times New Roman" w:hAnsi="Times New Roman" w:cs="Times New Roman"/>
                <w:sz w:val="24"/>
                <w:szCs w:val="24"/>
              </w:rPr>
            </w:pPr>
            <w:r>
              <w:rPr>
                <w:rFonts w:ascii="Times New Roman" w:hAnsi="Times New Roman" w:cs="Times New Roman"/>
                <w:sz w:val="24"/>
                <w:szCs w:val="24"/>
              </w:rPr>
              <w:t>3) veselības aprūpes pakalpojumu efektivitāte;</w:t>
            </w:r>
          </w:p>
          <w:p w:rsidR="006A76E8" w:rsidRDefault="006A76E8" w:rsidP="006A2CBA">
            <w:pPr>
              <w:jc w:val="both"/>
              <w:rPr>
                <w:rFonts w:ascii="Times New Roman" w:hAnsi="Times New Roman" w:cs="Times New Roman"/>
                <w:sz w:val="24"/>
                <w:szCs w:val="24"/>
              </w:rPr>
            </w:pPr>
            <w:r>
              <w:rPr>
                <w:rFonts w:ascii="Times New Roman" w:hAnsi="Times New Roman" w:cs="Times New Roman"/>
                <w:sz w:val="24"/>
                <w:szCs w:val="24"/>
              </w:rPr>
              <w:t>4) cilvēkresursi (pakalpojuma sniegšanā iesaistītā personāla nodrošinājums).</w:t>
            </w:r>
          </w:p>
          <w:p w:rsidR="006A76E8" w:rsidRPr="001858DE" w:rsidRDefault="006A76E8" w:rsidP="006A2CBA">
            <w:pPr>
              <w:jc w:val="both"/>
              <w:rPr>
                <w:rFonts w:ascii="Times New Roman" w:hAnsi="Times New Roman" w:cs="Times New Roman"/>
                <w:sz w:val="24"/>
                <w:szCs w:val="24"/>
              </w:rPr>
            </w:pPr>
            <w:r>
              <w:rPr>
                <w:rFonts w:ascii="Times New Roman" w:hAnsi="Times New Roman" w:cs="Times New Roman"/>
                <w:sz w:val="24"/>
                <w:szCs w:val="24"/>
              </w:rPr>
              <w:t xml:space="preserve">Ņemot vērā plašās diskusijas un panākto vienošanos, ko arī akcentēja tā laika Ministru kabinets, VADDA uzstāj, ka šajā ziņojumā minētos kritērijus jāattiecina uz visiem valsts apmaksāto veselības aprūpes pakalpojumu sniedzējiem. Tāpat nepieciešams projekta 17.panta 2.daļu papildināt ar deleģējumu, kas un kā šos kritērijus noteiks tā, lai tie būtu </w:t>
            </w:r>
            <w:proofErr w:type="spellStart"/>
            <w:r>
              <w:rPr>
                <w:rFonts w:ascii="Times New Roman" w:hAnsi="Times New Roman" w:cs="Times New Roman"/>
                <w:sz w:val="24"/>
                <w:szCs w:val="24"/>
              </w:rPr>
              <w:t>izmērami</w:t>
            </w:r>
            <w:proofErr w:type="spellEnd"/>
            <w:r>
              <w:rPr>
                <w:rFonts w:ascii="Times New Roman" w:hAnsi="Times New Roman" w:cs="Times New Roman"/>
                <w:sz w:val="24"/>
                <w:szCs w:val="24"/>
              </w:rPr>
              <w:t xml:space="preserve"> un salīdzināmi.</w:t>
            </w:r>
          </w:p>
        </w:tc>
        <w:tc>
          <w:tcPr>
            <w:tcW w:w="3402" w:type="dxa"/>
          </w:tcPr>
          <w:p w:rsidR="001858DE" w:rsidRPr="006A2CBA" w:rsidRDefault="00746FD5">
            <w:pPr>
              <w:rPr>
                <w:rFonts w:ascii="Times New Roman" w:hAnsi="Times New Roman" w:cs="Times New Roman"/>
                <w:sz w:val="24"/>
                <w:szCs w:val="24"/>
              </w:rPr>
            </w:pPr>
            <w:r>
              <w:rPr>
                <w:rFonts w:ascii="Times New Roman" w:hAnsi="Times New Roman" w:cs="Times New Roman"/>
                <w:sz w:val="24"/>
                <w:szCs w:val="24"/>
              </w:rPr>
              <w:lastRenderedPageBreak/>
              <w:t>Ņemts vēra</w:t>
            </w:r>
          </w:p>
        </w:tc>
        <w:tc>
          <w:tcPr>
            <w:tcW w:w="3402" w:type="dxa"/>
          </w:tcPr>
          <w:p w:rsidR="001858DE" w:rsidRPr="006A2CBA" w:rsidRDefault="00746FD5">
            <w:pPr>
              <w:rPr>
                <w:rFonts w:ascii="Times New Roman" w:hAnsi="Times New Roman" w:cs="Times New Roman"/>
                <w:sz w:val="24"/>
                <w:szCs w:val="24"/>
              </w:rPr>
            </w:pPr>
            <w:r>
              <w:rPr>
                <w:rFonts w:ascii="Times New Roman" w:hAnsi="Times New Roman" w:cs="Times New Roman"/>
                <w:sz w:val="24"/>
                <w:szCs w:val="24"/>
              </w:rPr>
              <w:t>Likumprojekts precizēts</w:t>
            </w:r>
          </w:p>
        </w:tc>
      </w:tr>
      <w:tr w:rsidR="006A76E8" w:rsidTr="008C308C">
        <w:tc>
          <w:tcPr>
            <w:tcW w:w="704" w:type="dxa"/>
          </w:tcPr>
          <w:p w:rsidR="006A76E8" w:rsidRDefault="006A76E8">
            <w:pPr>
              <w:rPr>
                <w:rFonts w:ascii="Times New Roman" w:hAnsi="Times New Roman" w:cs="Times New Roman"/>
                <w:sz w:val="24"/>
                <w:szCs w:val="24"/>
              </w:rPr>
            </w:pPr>
          </w:p>
        </w:tc>
        <w:tc>
          <w:tcPr>
            <w:tcW w:w="2693" w:type="dxa"/>
          </w:tcPr>
          <w:p w:rsidR="006A76E8" w:rsidRDefault="006A76E8">
            <w:pPr>
              <w:rPr>
                <w:rFonts w:ascii="Times New Roman" w:hAnsi="Times New Roman" w:cs="Times New Roman"/>
                <w:sz w:val="24"/>
                <w:szCs w:val="24"/>
              </w:rPr>
            </w:pPr>
          </w:p>
        </w:tc>
        <w:tc>
          <w:tcPr>
            <w:tcW w:w="3686" w:type="dxa"/>
          </w:tcPr>
          <w:p w:rsidR="006A76E8" w:rsidRDefault="006A76E8" w:rsidP="006A2CBA">
            <w:pPr>
              <w:jc w:val="both"/>
              <w:rPr>
                <w:rFonts w:ascii="Times New Roman" w:hAnsi="Times New Roman" w:cs="Times New Roman"/>
                <w:sz w:val="24"/>
                <w:szCs w:val="24"/>
              </w:rPr>
            </w:pPr>
            <w:r>
              <w:rPr>
                <w:rFonts w:ascii="Times New Roman" w:hAnsi="Times New Roman" w:cs="Times New Roman"/>
                <w:sz w:val="24"/>
                <w:szCs w:val="24"/>
              </w:rPr>
              <w:t xml:space="preserve">Projekta 17.panta 1.2.daļa kā vienu no pakalpojuma sniedzēja atlases kritērijiem nosaka: </w:t>
            </w:r>
            <w:r>
              <w:rPr>
                <w:rFonts w:ascii="Times New Roman" w:hAnsi="Times New Roman" w:cs="Times New Roman"/>
                <w:i/>
                <w:iCs/>
                <w:sz w:val="24"/>
                <w:szCs w:val="24"/>
              </w:rPr>
              <w:t>“</w:t>
            </w:r>
            <w:r>
              <w:rPr>
                <w:rFonts w:ascii="Times New Roman" w:hAnsi="Times New Roman" w:cs="Times New Roman"/>
                <w:b/>
                <w:bCs/>
                <w:i/>
                <w:iCs/>
                <w:sz w:val="24"/>
                <w:szCs w:val="24"/>
              </w:rPr>
              <w:t>iepriekš noslēgtā līguma izpilde</w:t>
            </w:r>
            <w:r>
              <w:rPr>
                <w:rFonts w:ascii="Times New Roman" w:hAnsi="Times New Roman" w:cs="Times New Roman"/>
                <w:i/>
                <w:iCs/>
                <w:sz w:val="24"/>
                <w:szCs w:val="24"/>
              </w:rPr>
              <w:t>, ja ārstniecības iestāde jau sniedz valsts apmaksātos veselības aprūpes pakalpojumus”.</w:t>
            </w:r>
          </w:p>
          <w:p w:rsidR="006A76E8" w:rsidRPr="006A76E8" w:rsidRDefault="006A76E8" w:rsidP="006A2CBA">
            <w:pPr>
              <w:jc w:val="both"/>
              <w:rPr>
                <w:rFonts w:ascii="Times New Roman" w:hAnsi="Times New Roman" w:cs="Times New Roman"/>
                <w:sz w:val="24"/>
                <w:szCs w:val="24"/>
              </w:rPr>
            </w:pPr>
            <w:r>
              <w:rPr>
                <w:rFonts w:ascii="Times New Roman" w:hAnsi="Times New Roman" w:cs="Times New Roman"/>
                <w:sz w:val="24"/>
                <w:szCs w:val="24"/>
              </w:rPr>
              <w:t xml:space="preserve">Pēc būtības VADDA biedri neiebilst minētā kritērija iekļaušanai, taču vēlas saprast cik precīzi tas tiks </w:t>
            </w:r>
            <w:r>
              <w:rPr>
                <w:rFonts w:ascii="Times New Roman" w:hAnsi="Times New Roman" w:cs="Times New Roman"/>
                <w:sz w:val="24"/>
                <w:szCs w:val="24"/>
              </w:rPr>
              <w:lastRenderedPageBreak/>
              <w:t>vērtēts, jo izpildi var ietekmēt vairāki faktori, tajā skaitā, ko ārstniecības iestādes nevar ietekmēt. Tāpat ir svarīgi saprast, vai šis kritērijs nozīmē, ka nav pieļaujama vispār, ne mazākā līguma neizpilde, kas nozīmē, ka vispār netiks vērtēti neizpildes iemesli? Projekta anotācijā šī kritērija nepieciešamība un būtība nav izklāstīta, tāpēc VADDA biedri aicina anotāciju papildināt ar skaidrojošo informāciju par šī kritērija jēgu un vērtēšanas principiem.</w:t>
            </w:r>
          </w:p>
        </w:tc>
        <w:tc>
          <w:tcPr>
            <w:tcW w:w="3402" w:type="dxa"/>
          </w:tcPr>
          <w:p w:rsidR="006A76E8" w:rsidRPr="006A2CBA" w:rsidRDefault="00746FD5">
            <w:pPr>
              <w:rPr>
                <w:rFonts w:ascii="Times New Roman" w:hAnsi="Times New Roman" w:cs="Times New Roman"/>
                <w:sz w:val="24"/>
                <w:szCs w:val="24"/>
              </w:rPr>
            </w:pPr>
            <w:r>
              <w:rPr>
                <w:rFonts w:ascii="Times New Roman" w:hAnsi="Times New Roman" w:cs="Times New Roman"/>
                <w:sz w:val="24"/>
                <w:szCs w:val="24"/>
              </w:rPr>
              <w:lastRenderedPageBreak/>
              <w:t xml:space="preserve">Ņemts vērā </w:t>
            </w:r>
          </w:p>
        </w:tc>
        <w:tc>
          <w:tcPr>
            <w:tcW w:w="3402" w:type="dxa"/>
          </w:tcPr>
          <w:p w:rsidR="006A76E8" w:rsidRPr="006A2CBA" w:rsidRDefault="00746FD5">
            <w:pPr>
              <w:rPr>
                <w:rFonts w:ascii="Times New Roman" w:hAnsi="Times New Roman" w:cs="Times New Roman"/>
                <w:sz w:val="24"/>
                <w:szCs w:val="24"/>
              </w:rPr>
            </w:pPr>
            <w:r>
              <w:rPr>
                <w:rFonts w:ascii="Times New Roman" w:hAnsi="Times New Roman" w:cs="Times New Roman"/>
                <w:sz w:val="24"/>
                <w:szCs w:val="24"/>
              </w:rPr>
              <w:t>Precizēta anotācija</w:t>
            </w:r>
          </w:p>
        </w:tc>
      </w:tr>
    </w:tbl>
    <w:p w:rsidR="000F368B" w:rsidRDefault="000F368B"/>
    <w:sectPr w:rsidR="000F368B" w:rsidSect="006A2CBA">
      <w:pgSz w:w="16838" w:h="11906" w:orient="landscape"/>
      <w:pgMar w:top="1800" w:right="1440" w:bottom="180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669D51AD"/>
    <w:multiLevelType w:val="hybridMultilevel"/>
    <w:tmpl w:val="417EE924"/>
    <w:lvl w:ilvl="0" w:tplc="979A8D92">
      <w:start w:val="1"/>
      <w:numFmt w:val="bullet"/>
      <w:lvlText w:val="•"/>
      <w:lvlJc w:val="left"/>
      <w:pPr>
        <w:tabs>
          <w:tab w:val="num" w:pos="720"/>
        </w:tabs>
        <w:ind w:left="720" w:hanging="360"/>
      </w:pPr>
      <w:rPr>
        <w:rFonts w:ascii="Arial" w:hAnsi="Arial" w:hint="default"/>
      </w:rPr>
    </w:lvl>
    <w:lvl w:ilvl="1" w:tplc="A662737C" w:tentative="1">
      <w:start w:val="1"/>
      <w:numFmt w:val="bullet"/>
      <w:lvlText w:val="•"/>
      <w:lvlJc w:val="left"/>
      <w:pPr>
        <w:tabs>
          <w:tab w:val="num" w:pos="1440"/>
        </w:tabs>
        <w:ind w:left="1440" w:hanging="360"/>
      </w:pPr>
      <w:rPr>
        <w:rFonts w:ascii="Arial" w:hAnsi="Arial" w:hint="default"/>
      </w:rPr>
    </w:lvl>
    <w:lvl w:ilvl="2" w:tplc="CECE48BA" w:tentative="1">
      <w:start w:val="1"/>
      <w:numFmt w:val="bullet"/>
      <w:lvlText w:val="•"/>
      <w:lvlJc w:val="left"/>
      <w:pPr>
        <w:tabs>
          <w:tab w:val="num" w:pos="2160"/>
        </w:tabs>
        <w:ind w:left="2160" w:hanging="360"/>
      </w:pPr>
      <w:rPr>
        <w:rFonts w:ascii="Arial" w:hAnsi="Arial" w:hint="default"/>
      </w:rPr>
    </w:lvl>
    <w:lvl w:ilvl="3" w:tplc="640EEA30" w:tentative="1">
      <w:start w:val="1"/>
      <w:numFmt w:val="bullet"/>
      <w:lvlText w:val="•"/>
      <w:lvlJc w:val="left"/>
      <w:pPr>
        <w:tabs>
          <w:tab w:val="num" w:pos="2880"/>
        </w:tabs>
        <w:ind w:left="2880" w:hanging="360"/>
      </w:pPr>
      <w:rPr>
        <w:rFonts w:ascii="Arial" w:hAnsi="Arial" w:hint="default"/>
      </w:rPr>
    </w:lvl>
    <w:lvl w:ilvl="4" w:tplc="E2685CAA" w:tentative="1">
      <w:start w:val="1"/>
      <w:numFmt w:val="bullet"/>
      <w:lvlText w:val="•"/>
      <w:lvlJc w:val="left"/>
      <w:pPr>
        <w:tabs>
          <w:tab w:val="num" w:pos="3600"/>
        </w:tabs>
        <w:ind w:left="3600" w:hanging="360"/>
      </w:pPr>
      <w:rPr>
        <w:rFonts w:ascii="Arial" w:hAnsi="Arial" w:hint="default"/>
      </w:rPr>
    </w:lvl>
    <w:lvl w:ilvl="5" w:tplc="775EAF46" w:tentative="1">
      <w:start w:val="1"/>
      <w:numFmt w:val="bullet"/>
      <w:lvlText w:val="•"/>
      <w:lvlJc w:val="left"/>
      <w:pPr>
        <w:tabs>
          <w:tab w:val="num" w:pos="4320"/>
        </w:tabs>
        <w:ind w:left="4320" w:hanging="360"/>
      </w:pPr>
      <w:rPr>
        <w:rFonts w:ascii="Arial" w:hAnsi="Arial" w:hint="default"/>
      </w:rPr>
    </w:lvl>
    <w:lvl w:ilvl="6" w:tplc="C38453CE" w:tentative="1">
      <w:start w:val="1"/>
      <w:numFmt w:val="bullet"/>
      <w:lvlText w:val="•"/>
      <w:lvlJc w:val="left"/>
      <w:pPr>
        <w:tabs>
          <w:tab w:val="num" w:pos="5040"/>
        </w:tabs>
        <w:ind w:left="5040" w:hanging="360"/>
      </w:pPr>
      <w:rPr>
        <w:rFonts w:ascii="Arial" w:hAnsi="Arial" w:hint="default"/>
      </w:rPr>
    </w:lvl>
    <w:lvl w:ilvl="7" w:tplc="653E7F28" w:tentative="1">
      <w:start w:val="1"/>
      <w:numFmt w:val="bullet"/>
      <w:lvlText w:val="•"/>
      <w:lvlJc w:val="left"/>
      <w:pPr>
        <w:tabs>
          <w:tab w:val="num" w:pos="5760"/>
        </w:tabs>
        <w:ind w:left="5760" w:hanging="360"/>
      </w:pPr>
      <w:rPr>
        <w:rFonts w:ascii="Arial" w:hAnsi="Arial" w:hint="default"/>
      </w:rPr>
    </w:lvl>
    <w:lvl w:ilvl="8" w:tplc="8068758A" w:tentative="1">
      <w:start w:val="1"/>
      <w:numFmt w:val="bullet"/>
      <w:lvlText w:val="•"/>
      <w:lvlJc w:val="left"/>
      <w:pPr>
        <w:tabs>
          <w:tab w:val="num" w:pos="6480"/>
        </w:tabs>
        <w:ind w:left="6480" w:hanging="360"/>
      </w:pPr>
      <w:rPr>
        <w:rFonts w:ascii="Arial" w:hAnsi="Arial"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A2CBA"/>
    <w:rsid w:val="000E5E06"/>
    <w:rsid w:val="000F368B"/>
    <w:rsid w:val="001646FB"/>
    <w:rsid w:val="001858DE"/>
    <w:rsid w:val="00214AA9"/>
    <w:rsid w:val="002D6546"/>
    <w:rsid w:val="003425C5"/>
    <w:rsid w:val="004A16C1"/>
    <w:rsid w:val="004E4D92"/>
    <w:rsid w:val="005959B8"/>
    <w:rsid w:val="006703E0"/>
    <w:rsid w:val="006A2CBA"/>
    <w:rsid w:val="006A76E8"/>
    <w:rsid w:val="00746FD5"/>
    <w:rsid w:val="008C308C"/>
    <w:rsid w:val="00A94FFF"/>
    <w:rsid w:val="00AA1DA9"/>
    <w:rsid w:val="00C02C3E"/>
    <w:rsid w:val="00C9640F"/>
    <w:rsid w:val="00E65429"/>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2CCBEDC-F78E-40A8-B384-09AD73F758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6A2CB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aisnod">
    <w:name w:val="naisnod"/>
    <w:basedOn w:val="Normal"/>
    <w:rsid w:val="006A2CBA"/>
    <w:pPr>
      <w:spacing w:before="600" w:after="300" w:line="240" w:lineRule="auto"/>
      <w:jc w:val="center"/>
    </w:pPr>
    <w:rPr>
      <w:rFonts w:ascii="Times New Roman" w:eastAsia="Times New Roman" w:hAnsi="Times New Roman" w:cs="Times New Roman"/>
      <w:b/>
      <w:bCs/>
      <w:sz w:val="24"/>
      <w:szCs w:val="24"/>
      <w:lang w:eastAsia="lv-LV"/>
    </w:rPr>
  </w:style>
  <w:style w:type="character" w:styleId="Hyperlink">
    <w:name w:val="Hyperlink"/>
    <w:basedOn w:val="DefaultParagraphFont"/>
    <w:uiPriority w:val="99"/>
    <w:unhideWhenUsed/>
    <w:rsid w:val="006A2CBA"/>
    <w:rPr>
      <w:color w:val="0000FF"/>
      <w:u w:val="single"/>
    </w:rPr>
  </w:style>
  <w:style w:type="paragraph" w:styleId="BalloonText">
    <w:name w:val="Balloon Text"/>
    <w:basedOn w:val="Normal"/>
    <w:link w:val="BalloonTextChar"/>
    <w:uiPriority w:val="99"/>
    <w:semiHidden/>
    <w:unhideWhenUsed/>
    <w:rsid w:val="006A76E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A76E8"/>
    <w:rPr>
      <w:rFonts w:ascii="Segoe UI" w:hAnsi="Segoe UI" w:cs="Segoe UI"/>
      <w:sz w:val="18"/>
      <w:szCs w:val="18"/>
    </w:rPr>
  </w:style>
  <w:style w:type="paragraph" w:styleId="ListParagraph">
    <w:name w:val="List Paragraph"/>
    <w:basedOn w:val="Normal"/>
    <w:uiPriority w:val="34"/>
    <w:qFormat/>
    <w:rsid w:val="006A76E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likumi.lv/ta/id/296188" TargetMode="External"/><Relationship Id="rId5" Type="http://schemas.openxmlformats.org/officeDocument/2006/relationships/hyperlink" Target="https://likumi.lv/ta/id/38048-par-valsts-pensija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13</Pages>
  <Words>9612</Words>
  <Characters>5479</Characters>
  <Application>Microsoft Office Word</Application>
  <DocSecurity>0</DocSecurity>
  <Lines>45</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15061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Anita Jurševica</dc:creator>
  <cp:keywords/>
  <dc:description/>
  <cp:lastModifiedBy>Evita Bune</cp:lastModifiedBy>
  <cp:revision>2</cp:revision>
  <dcterms:created xsi:type="dcterms:W3CDTF">2020-02-11T12:38:00Z</dcterms:created>
  <dcterms:modified xsi:type="dcterms:W3CDTF">2020-02-11T12:38:00Z</dcterms:modified>
</cp:coreProperties>
</file>