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04" w:rsidRPr="00FE0904" w:rsidRDefault="00FE0904" w:rsidP="00FE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OLE_LINK3"/>
      <w:bookmarkStart w:id="1" w:name="OLE_LINK4"/>
      <w:r w:rsidRPr="00FE090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Ministru kabineta noteikumu projekta “Grozījumi Ministru kabineta </w:t>
      </w:r>
      <w:r w:rsidRPr="00FE090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2009.gada 20.janvāra noteikumos Nr.60 ”Noteikumi par obligātajām prasībām ārstniecības iestādēm un to struktūrvienībām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””</w:t>
      </w:r>
      <w:r w:rsidRPr="00FE090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(anotācija)</w:t>
      </w:r>
    </w:p>
    <w:bookmarkEnd w:id="0"/>
    <w:bookmarkEnd w:id="1"/>
    <w:p w:rsidR="00FE0904" w:rsidRPr="00FE0904" w:rsidRDefault="00FE0904" w:rsidP="00FE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5161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32"/>
        <w:gridCol w:w="6768"/>
      </w:tblGrid>
      <w:tr w:rsidR="00FE0904" w:rsidRPr="00FE0904" w:rsidTr="00FE0904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sv-SE"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sv-SE" w:eastAsia="lv-LV"/>
              </w:rPr>
              <w:t>Tiesību akta projekta anotācijas kopsavilkums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EB1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Ministru kabineta noteikumu projekta “Grozījumi Ministru kabineta </w:t>
            </w: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2009.gada 20.janvāra noteikumos Nr.60 ”Noteikumi par obligātajām prasībām ārstniecības iestādēm un to struktūrvienībām””</w:t>
            </w:r>
            <w:r w:rsidRPr="00FE0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(turpmāk</w:t>
            </w:r>
            <w:r w:rsidRPr="00FE0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- </w:t>
            </w:r>
            <w:r w:rsidRPr="00FE0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n</w:t>
            </w: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oteikumu projekts) mērķis ir precizēt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obligāto prasību normas, kuras nav attiecināmas uz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optometristu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kabinetu</w:t>
            </w:r>
            <w:r w:rsidR="00F03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</w:p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spēkā stāšanās laiks atbilstoši Oficiālo publikāciju un tiesiskās informācijas likumam.</w:t>
            </w:r>
          </w:p>
        </w:tc>
      </w:tr>
    </w:tbl>
    <w:p w:rsidR="00FE0904" w:rsidRPr="00FE0904" w:rsidRDefault="00FE0904" w:rsidP="00FE09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FE090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166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"/>
        <w:gridCol w:w="1754"/>
        <w:gridCol w:w="6889"/>
      </w:tblGrid>
      <w:tr w:rsidR="00FE0904" w:rsidRPr="00FE0904" w:rsidTr="00FE0904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I. Tiesību akta projekta izstrādes nepieciešamība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Pamatojums</w:t>
            </w:r>
          </w:p>
        </w:tc>
        <w:tc>
          <w:tcPr>
            <w:tcW w:w="3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Default="00FE0904" w:rsidP="00FE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Ārstniecības likuma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55.panta otr</w:t>
            </w:r>
            <w:r w:rsidR="00DD1571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ā</w:t>
            </w: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daļ</w:t>
            </w:r>
            <w:r w:rsidR="00CC0A4E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  <w:p w:rsidR="00F41EB1" w:rsidRPr="00FE0904" w:rsidRDefault="00F41EB1" w:rsidP="00FE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Veselības ministrijas iniciatīva.</w:t>
            </w:r>
          </w:p>
          <w:p w:rsidR="00FE0904" w:rsidRPr="00FE0904" w:rsidRDefault="00FE0904" w:rsidP="00FE0904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E0904" w:rsidRPr="00FE0904" w:rsidTr="00FE0904">
        <w:trPr>
          <w:tblCellSpacing w:w="15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FE0904" w:rsidRPr="00FE0904" w:rsidRDefault="00FE0904" w:rsidP="007C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36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41487" w:rsidRDefault="007C5A36" w:rsidP="00FE09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Saskaņā ar 2016.gada 22.decembra grozījumiem </w:t>
            </w:r>
            <w:r w:rsidRPr="007C5A3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Ārstniecības likum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ā</w:t>
            </w:r>
            <w:r w:rsid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2A12EA"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sākot ar 2020.gada 1.janvāri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 </w:t>
            </w:r>
            <w:r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funkcionālo  speciālistu saraksts </w:t>
            </w:r>
            <w:r w:rsid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papildināts</w:t>
            </w:r>
            <w:r w:rsidR="002A12EA"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ar </w:t>
            </w:r>
            <w:proofErr w:type="spellStart"/>
            <w:r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optometristu</w:t>
            </w:r>
            <w:proofErr w:type="spellEnd"/>
            <w:r w:rsidR="002D737E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(45.</w:t>
            </w:r>
            <w:r w:rsidR="002D737E" w:rsidRPr="007C5A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lv-LV"/>
              </w:rPr>
              <w:t>1</w:t>
            </w:r>
            <w:r w:rsidR="002D737E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pants). </w:t>
            </w:r>
            <w:r w:rsid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Līdz ar to </w:t>
            </w:r>
            <w:proofErr w:type="spellStart"/>
            <w:r w:rsid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optometrists</w:t>
            </w:r>
            <w:proofErr w:type="spellEnd"/>
            <w:r w:rsid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2A12E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ir ārstniecības persona, kas ieguvusi otrā līmeņa profesionālo augstāko medicīnisko izglītību un darbojas atbilstoši savai kompetencei ārstniecībā.</w:t>
            </w:r>
            <w:r w:rsidR="002D737E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  <w:p w:rsidR="00FE0904" w:rsidRPr="002D737E" w:rsidRDefault="002A12EA" w:rsidP="00FE0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Ņemot vērā Ārstniecības likumā noteikto, ka ārstniecības persona nodarbojas ar ārstniecību ārstniecības iestādē, no 2020.gada 1.janvāra optikās esošie </w:t>
            </w:r>
            <w:proofErr w:type="spellStart"/>
            <w:r w:rsidRPr="002D737E">
              <w:rPr>
                <w:rFonts w:ascii="Times New Roman" w:hAnsi="Times New Roman" w:cs="Times New Roman"/>
                <w:sz w:val="28"/>
                <w:szCs w:val="28"/>
              </w:rPr>
              <w:t>optometrista</w:t>
            </w:r>
            <w:proofErr w:type="spellEnd"/>
            <w:r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kabineti  ir jāreģistrē kā ambulatora ārstniecības iestāde</w:t>
            </w:r>
            <w:r w:rsidR="00862C5F" w:rsidRPr="002D737E">
              <w:rPr>
                <w:rFonts w:ascii="Times New Roman" w:hAnsi="Times New Roman" w:cs="Times New Roman"/>
                <w:sz w:val="28"/>
                <w:szCs w:val="28"/>
              </w:rPr>
              <w:t>. O</w:t>
            </w:r>
            <w:r w:rsidR="00862C5F" w:rsidRPr="002D737E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bligāti izpildāmas prasības ārstniecības iestādēm un to struktūrvienībām</w:t>
            </w:r>
            <w:r w:rsidR="00862C5F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37E">
              <w:rPr>
                <w:rFonts w:ascii="Times New Roman" w:hAnsi="Times New Roman" w:cs="Times New Roman"/>
                <w:sz w:val="28"/>
                <w:szCs w:val="28"/>
              </w:rPr>
              <w:t>nosaka M</w:t>
            </w:r>
            <w:r w:rsidR="00862C5F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inistru kabineta 2009.gada 20.janvāra </w:t>
            </w:r>
            <w:r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noteikumi Nr.6o “Noteikumi par obligātajām prasībām ārstniecības iestādēm un to struktūrvienībām” (turpmāk - Noteikumi). </w:t>
            </w:r>
          </w:p>
          <w:p w:rsidR="00862C5F" w:rsidRPr="002D737E" w:rsidRDefault="00862C5F" w:rsidP="00FE09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Lai ārstniecības iestādi varētu reģistrēt 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Veselības inspekcijas Ārstniecības iestāžu reģistrā, </w:t>
            </w:r>
            <w:r w:rsidRPr="002D737E">
              <w:rPr>
                <w:rFonts w:ascii="Times New Roman" w:hAnsi="Times New Roman" w:cs="Times New Roman"/>
                <w:sz w:val="28"/>
                <w:szCs w:val="28"/>
              </w:rPr>
              <w:t>Noteikumi paredz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, ka ārstniecības iestādei jānodrošina </w:t>
            </w:r>
            <w:r w:rsidR="00D41487">
              <w:rPr>
                <w:rFonts w:ascii="Times New Roman" w:hAnsi="Times New Roman" w:cs="Times New Roman"/>
                <w:sz w:val="28"/>
                <w:szCs w:val="28"/>
              </w:rPr>
              <w:t xml:space="preserve">normu izpilde, 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kur</w:t>
            </w:r>
            <w:r w:rsidR="00D4148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noteikt</w:t>
            </w:r>
            <w:r w:rsidR="00D4148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Noteikumu vispārīgajās prasībās,</w:t>
            </w:r>
            <w:r w:rsidR="00D41487">
              <w:rPr>
                <w:rFonts w:ascii="Times New Roman" w:hAnsi="Times New Roman" w:cs="Times New Roman"/>
                <w:sz w:val="28"/>
                <w:szCs w:val="28"/>
              </w:rPr>
              <w:t xml:space="preserve"> kā arī jāizpilda </w:t>
            </w:r>
            <w:r w:rsidR="009679C9" w:rsidRPr="002D737E">
              <w:rPr>
                <w:rFonts w:ascii="Times New Roman" w:hAnsi="Times New Roman" w:cs="Times New Roman"/>
                <w:sz w:val="28"/>
                <w:szCs w:val="28"/>
              </w:rPr>
              <w:t xml:space="preserve"> prasības ambulatorajām ārstniecības iestādēm atbilstoši pakalpojuma sniedzēja kompetencei. </w:t>
            </w:r>
          </w:p>
          <w:p w:rsidR="00660399" w:rsidRPr="002D737E" w:rsidRDefault="00660399" w:rsidP="002D737E">
            <w:pPr>
              <w:spacing w:after="0" w:line="240" w:lineRule="auto"/>
              <w:ind w:hanging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Lai </w:t>
            </w:r>
            <w:proofErr w:type="spellStart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optometristu</w:t>
            </w:r>
            <w:proofErr w:type="spellEnd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kabinets varētu izpildīt Noteikumu prasības  atbilstoši tā kompetencei, nepieciešams veikt precizējošus grozījumus Noteikumu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>punkt</w:t>
            </w:r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ā un 27.punkta ievaddaļā.</w:t>
            </w:r>
          </w:p>
          <w:p w:rsidR="00660399" w:rsidRPr="00660399" w:rsidRDefault="00660399" w:rsidP="002D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Noteikumu 26.punkts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nosaka ambulatorās ārstniecības iestādes aprīkojumu, kurš nepieciešams neatliekamās medicīniskās palīdzības sniegšanai. </w:t>
            </w:r>
            <w:proofErr w:type="spellStart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Optometrista</w:t>
            </w:r>
            <w:proofErr w:type="spellEnd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kabinetā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tiek sniegti tikai </w:t>
            </w:r>
            <w:proofErr w:type="spellStart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optometrista</w:t>
            </w:r>
            <w:proofErr w:type="spellEnd"/>
            <w:r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pakalpojumi un tie nav orientēti uz citu veselības aprūpes pakalpojumu sniegšanu, kuru sniegšanas gadījumā varētu rasties nepieciešamība neatliekamās medicīniskās palīdzības </w:t>
            </w:r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nodrošināšanai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Pamatojoties uz minēto, noteikumu projekts paredz papildināt </w:t>
            </w:r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>oteikumu 26.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punktu, </w:t>
            </w:r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nosakot, ka arī </w:t>
            </w:r>
            <w:proofErr w:type="spellStart"/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optometrista</w:t>
            </w:r>
            <w:proofErr w:type="spellEnd"/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kabinetam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nepiemēro obligātu prasību nodrošināt prakses vietu ar visu 26.punktā minēto ierīču klāstu neatliekamās medicīniskās palīdzības sniegšanai. </w:t>
            </w:r>
            <w:r w:rsidR="00D414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Vienlaikus </w:t>
            </w:r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noteikumu projekts </w:t>
            </w:r>
            <w:r w:rsidR="00D41487"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papildina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>arī 27.punkta ievaddaļ</w:t>
            </w:r>
            <w:r w:rsidR="00D41487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 nosacījumu, ka šajā punktā minētais aprīkojums nav attiecināms uz </w:t>
            </w:r>
            <w:proofErr w:type="spellStart"/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optometrista</w:t>
            </w:r>
            <w:proofErr w:type="spellEnd"/>
            <w:r w:rsidR="002D737E" w:rsidRPr="002D73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praksi kā obligāta prasība. </w:t>
            </w:r>
          </w:p>
          <w:p w:rsidR="005B1E43" w:rsidRPr="00A42E12" w:rsidRDefault="005B1E43" w:rsidP="005B1E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E0904" w:rsidRPr="00FE0904" w:rsidTr="00FE0904">
        <w:trPr>
          <w:tblCellSpacing w:w="15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3.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Veselības ministrija, </w:t>
            </w:r>
            <w:r w:rsidR="00F41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Latvijas </w:t>
            </w:r>
            <w:proofErr w:type="spellStart"/>
            <w:r w:rsidR="005B1E43" w:rsidRPr="005B1E43">
              <w:rPr>
                <w:rFonts w:ascii="Times New Roman" w:eastAsia="Times New Roman" w:hAnsi="Times New Roman" w:cs="Times New Roman"/>
                <w:sz w:val="28"/>
                <w:szCs w:val="28"/>
              </w:rPr>
              <w:t>Optometristu</w:t>
            </w:r>
            <w:proofErr w:type="spellEnd"/>
            <w:r w:rsidR="005B1E43" w:rsidRPr="005B1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 optiķu asociācija</w:t>
            </w:r>
            <w:r w:rsidR="00BC16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41EB1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Nav</w:t>
            </w:r>
          </w:p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</w:tr>
    </w:tbl>
    <w:p w:rsidR="00FE0904" w:rsidRPr="00FE0904" w:rsidRDefault="00FE0904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FE090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161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3"/>
        <w:gridCol w:w="2781"/>
        <w:gridCol w:w="5656"/>
      </w:tblGrid>
      <w:tr w:rsidR="00FE0904" w:rsidRPr="00FE0904" w:rsidTr="00FE0904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FE0904" w:rsidRPr="00FE0904" w:rsidTr="00F41EB1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Sabiedrības </w:t>
            </w:r>
            <w:proofErr w:type="spellStart"/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mērķgrupas</w:t>
            </w:r>
            <w:proofErr w:type="spellEnd"/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, kuras tiesiskais regulējums ietekmē vai varētu ietekmēt</w:t>
            </w:r>
          </w:p>
        </w:tc>
        <w:tc>
          <w:tcPr>
            <w:tcW w:w="3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904" w:rsidRPr="00FE0904" w:rsidRDefault="00F41EB1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Optometristi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, Veselības inspekcija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Tiesiskā regulējuma ietekme uz </w:t>
            </w: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tautsaimniecību un administratīvo slogu</w:t>
            </w:r>
          </w:p>
        </w:tc>
        <w:tc>
          <w:tcPr>
            <w:tcW w:w="3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Noteikumu projekta tiesiskais regulējums administratīvo slogu neietekmē un tiks īstenots no esošajiem administratīvajiem resursiem.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Administratīvo izmaksu monetārs novērtējums</w:t>
            </w:r>
          </w:p>
        </w:tc>
        <w:tc>
          <w:tcPr>
            <w:tcW w:w="3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>Projekts šo jomu neskar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Atbilstības izmaksu monetārs novērtējums</w:t>
            </w:r>
          </w:p>
        </w:tc>
        <w:tc>
          <w:tcPr>
            <w:tcW w:w="3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>Projekts šo jomu neskar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</w:t>
            </w:r>
          </w:p>
        </w:tc>
      </w:tr>
    </w:tbl>
    <w:p w:rsidR="00FE0904" w:rsidRDefault="00FE0904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FE090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163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04"/>
      </w:tblGrid>
      <w:tr w:rsidR="00051D03" w:rsidRPr="00FE0904" w:rsidTr="006150B5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D03" w:rsidRPr="00FE0904" w:rsidRDefault="00051D03" w:rsidP="006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A42E1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III. Tiesību akta projekta ietekme uz valsts budžetu un pašvaldību budžetiem</w:t>
            </w:r>
          </w:p>
        </w:tc>
      </w:tr>
      <w:tr w:rsidR="00051D03" w:rsidRPr="00FE0904" w:rsidTr="006150B5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D03" w:rsidRPr="00FE0904" w:rsidRDefault="00051D03" w:rsidP="006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  <w:t>Noteikumu projekts šo jomu neskar</w:t>
            </w:r>
          </w:p>
        </w:tc>
      </w:tr>
    </w:tbl>
    <w:p w:rsidR="00FE0904" w:rsidRPr="00FE0904" w:rsidRDefault="00FE0904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163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04"/>
      </w:tblGrid>
      <w:tr w:rsidR="00FE0904" w:rsidRPr="00FE0904" w:rsidTr="00FE0904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bookmarkStart w:id="2" w:name="_Hlk25851667"/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IV. Tiesību akta projekta ietekme uz spēkā esošo tiesību normu sistēmu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  <w:t>Noteikumu projekts šo jomu neskar</w:t>
            </w:r>
          </w:p>
        </w:tc>
      </w:tr>
    </w:tbl>
    <w:bookmarkEnd w:id="2"/>
    <w:p w:rsidR="00FE0904" w:rsidRDefault="00FE0904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FE090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163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04"/>
      </w:tblGrid>
      <w:tr w:rsidR="00051D03" w:rsidRPr="00FE0904" w:rsidTr="006150B5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D03" w:rsidRPr="00FE0904" w:rsidRDefault="00051D03" w:rsidP="006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V. Tiesību akta projekta atbilstība Latvijas Republikas starptautiskajām saistībām</w:t>
            </w:r>
          </w:p>
        </w:tc>
      </w:tr>
      <w:tr w:rsidR="00051D03" w:rsidRPr="00FE0904" w:rsidTr="006150B5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D03" w:rsidRPr="00FE0904" w:rsidRDefault="00051D03" w:rsidP="006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lv-LV"/>
              </w:rPr>
              <w:t>Noteikumu projekts šo jomu neskar</w:t>
            </w:r>
          </w:p>
        </w:tc>
      </w:tr>
    </w:tbl>
    <w:p w:rsidR="00051D03" w:rsidRDefault="00051D03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161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3012"/>
        <w:gridCol w:w="5430"/>
      </w:tblGrid>
      <w:tr w:rsidR="00FE0904" w:rsidRPr="00FE0904" w:rsidTr="00FE0904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VI. Sabiedrības līdzdalība un komunikācijas aktivitātes</w:t>
            </w:r>
          </w:p>
        </w:tc>
      </w:tr>
      <w:tr w:rsidR="00FE0904" w:rsidRPr="00FE0904" w:rsidTr="00051D03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8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>Sabiedrības līdzdalība tik</w:t>
            </w:r>
            <w:r w:rsidR="00F41EB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 xml:space="preserve"> nodrošināta saskaņā ar Ministru kabineta 2009.gada 25.augusta noteikumiem Nr.970 “Sabiedrības līdzdalības kārtība attīstības plānošanas procesā”, sagatavojot un publicējot paziņojumu par līdzdalības procesu.</w:t>
            </w:r>
          </w:p>
        </w:tc>
      </w:tr>
      <w:tr w:rsidR="00FE0904" w:rsidRPr="00FE0904" w:rsidTr="00051D03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Sabiedrības līdzdalība projekta izstrādē</w:t>
            </w:r>
          </w:p>
        </w:tc>
        <w:tc>
          <w:tcPr>
            <w:tcW w:w="288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FE0904" w:rsidRPr="00F41EB1" w:rsidRDefault="00FE0904" w:rsidP="00FE0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>Paziņojums par noteikumu projekta izstrādi 2019.gada</w:t>
            </w:r>
            <w:r w:rsidR="00F41EB1">
              <w:rPr>
                <w:rFonts w:ascii="Times New Roman" w:hAnsi="Times New Roman" w:cs="Times New Roman"/>
                <w:sz w:val="28"/>
                <w:szCs w:val="28"/>
              </w:rPr>
              <w:t xml:space="preserve"> decembrī </w:t>
            </w: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 xml:space="preserve">ievietots Veselības ministrijas tīmekļa vietnē </w:t>
            </w:r>
            <w:hyperlink r:id="rId7" w:history="1">
              <w:r w:rsidRPr="00FE090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www.vm.gov.lv</w:t>
              </w:r>
            </w:hyperlink>
            <w:r w:rsidRPr="00FE0904">
              <w:rPr>
                <w:rFonts w:ascii="Times New Roman" w:hAnsi="Times New Roman" w:cs="Times New Roman"/>
                <w:sz w:val="28"/>
                <w:szCs w:val="28"/>
              </w:rPr>
              <w:t xml:space="preserve"> sadaļā “Sabiedrības līdzdalība, aicinot sabiedrību piedalīties projekta sabiedriskajā apspriedē. </w:t>
            </w:r>
            <w:bookmarkStart w:id="3" w:name="_GoBack"/>
            <w:bookmarkEnd w:id="3"/>
          </w:p>
          <w:p w:rsidR="00FE0904" w:rsidRPr="00FE0904" w:rsidRDefault="00FE0904" w:rsidP="00F41EB1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904" w:rsidRPr="00FE0904" w:rsidTr="00051D03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Sabiedrības līdzdalības rezultāti</w:t>
            </w:r>
          </w:p>
        </w:tc>
        <w:tc>
          <w:tcPr>
            <w:tcW w:w="2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904" w:rsidRPr="00FE0904" w:rsidRDefault="00FE0904" w:rsidP="00F41EB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</w:tr>
      <w:tr w:rsidR="00FE0904" w:rsidRPr="00FE0904" w:rsidTr="00051D03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4.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2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</w:t>
            </w:r>
          </w:p>
        </w:tc>
      </w:tr>
    </w:tbl>
    <w:p w:rsidR="00FE0904" w:rsidRPr="00FE0904" w:rsidRDefault="00FE0904" w:rsidP="00FE090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161" w:type="pct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3012"/>
        <w:gridCol w:w="5430"/>
      </w:tblGrid>
      <w:tr w:rsidR="00FE0904" w:rsidRPr="00FE0904" w:rsidTr="00FE0904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04" w:rsidRPr="00FE0904" w:rsidRDefault="00FE0904" w:rsidP="00FE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VII. Tiesību akta projekta izpildes nodrošināšana un tās ietekme uz institūcijām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izpildē iesaistītās institūcijas</w:t>
            </w:r>
          </w:p>
        </w:tc>
        <w:tc>
          <w:tcPr>
            <w:tcW w:w="2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 xml:space="preserve">Veselības </w:t>
            </w:r>
            <w:r w:rsidR="00A42E12">
              <w:rPr>
                <w:rFonts w:ascii="Times New Roman" w:hAnsi="Times New Roman" w:cs="Times New Roman"/>
                <w:sz w:val="28"/>
                <w:szCs w:val="28"/>
              </w:rPr>
              <w:t>inspekcija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izpildes ietekme uz pārvaldes funkcijām un institucionālo struktūru.</w:t>
            </w: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904">
              <w:rPr>
                <w:rFonts w:ascii="Times New Roman" w:hAnsi="Times New Roman" w:cs="Times New Roman"/>
                <w:sz w:val="28"/>
                <w:szCs w:val="28"/>
              </w:rPr>
              <w:t>Nav</w:t>
            </w:r>
          </w:p>
        </w:tc>
      </w:tr>
      <w:tr w:rsidR="00FE0904" w:rsidRPr="00FE0904" w:rsidTr="00FE0904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2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904" w:rsidRPr="00FE0904" w:rsidRDefault="00FE0904" w:rsidP="00FE09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FE09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</w:t>
            </w:r>
          </w:p>
        </w:tc>
      </w:tr>
    </w:tbl>
    <w:p w:rsidR="00FE0904" w:rsidRPr="00FE0904" w:rsidRDefault="00FE0904" w:rsidP="00FE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04">
        <w:rPr>
          <w:rFonts w:ascii="Times New Roman" w:hAnsi="Times New Roman" w:cs="Times New Roman"/>
          <w:sz w:val="28"/>
          <w:szCs w:val="28"/>
        </w:rPr>
        <w:t>Veselības ministre                                 </w:t>
      </w:r>
      <w:r w:rsidRPr="00FE0904">
        <w:rPr>
          <w:rFonts w:ascii="Times New Roman" w:hAnsi="Times New Roman" w:cs="Times New Roman"/>
          <w:sz w:val="28"/>
          <w:szCs w:val="28"/>
        </w:rPr>
        <w:tab/>
        <w:t xml:space="preserve">                                 I. Viņķele</w:t>
      </w:r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04">
        <w:rPr>
          <w:rFonts w:ascii="Times New Roman" w:hAnsi="Times New Roman" w:cs="Times New Roman"/>
          <w:sz w:val="28"/>
          <w:szCs w:val="28"/>
        </w:rPr>
        <w:t>Vīza: Valsts sekretāre</w:t>
      </w:r>
      <w:r w:rsidRPr="00FE0904">
        <w:rPr>
          <w:rFonts w:ascii="Times New Roman" w:hAnsi="Times New Roman" w:cs="Times New Roman"/>
          <w:sz w:val="28"/>
          <w:szCs w:val="28"/>
        </w:rPr>
        <w:tab/>
      </w:r>
      <w:r w:rsidRPr="00FE0904">
        <w:rPr>
          <w:rFonts w:ascii="Times New Roman" w:hAnsi="Times New Roman" w:cs="Times New Roman"/>
          <w:sz w:val="28"/>
          <w:szCs w:val="28"/>
        </w:rPr>
        <w:tab/>
      </w:r>
      <w:r w:rsidRPr="00FE0904">
        <w:rPr>
          <w:rFonts w:ascii="Times New Roman" w:hAnsi="Times New Roman" w:cs="Times New Roman"/>
          <w:sz w:val="28"/>
          <w:szCs w:val="28"/>
        </w:rPr>
        <w:tab/>
      </w:r>
      <w:r w:rsidRPr="00FE0904">
        <w:rPr>
          <w:rFonts w:ascii="Times New Roman" w:hAnsi="Times New Roman" w:cs="Times New Roman"/>
          <w:sz w:val="28"/>
          <w:szCs w:val="28"/>
        </w:rPr>
        <w:tab/>
      </w:r>
      <w:r w:rsidRPr="00FE0904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FE0904">
        <w:rPr>
          <w:rFonts w:ascii="Times New Roman" w:hAnsi="Times New Roman" w:cs="Times New Roman"/>
          <w:sz w:val="28"/>
          <w:szCs w:val="28"/>
        </w:rPr>
        <w:t>Mūrmane</w:t>
      </w:r>
      <w:proofErr w:type="spellEnd"/>
      <w:r w:rsidRPr="00FE09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E0904">
        <w:rPr>
          <w:rFonts w:ascii="Times New Roman" w:hAnsi="Times New Roman" w:cs="Times New Roman"/>
          <w:sz w:val="28"/>
          <w:szCs w:val="28"/>
        </w:rPr>
        <w:t>Umbraško</w:t>
      </w:r>
      <w:proofErr w:type="spellEnd"/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04" w:rsidRPr="00FE0904" w:rsidRDefault="00FE0904" w:rsidP="00FE090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04">
        <w:rPr>
          <w:rFonts w:ascii="Times New Roman" w:hAnsi="Times New Roman" w:cs="Times New Roman"/>
          <w:sz w:val="24"/>
          <w:szCs w:val="24"/>
        </w:rPr>
        <w:t>Eglīte 67876091</w:t>
      </w:r>
    </w:p>
    <w:p w:rsidR="00AF644A" w:rsidRDefault="008D5EAA" w:rsidP="00FE0904">
      <w:hyperlink r:id="rId8" w:history="1">
        <w:r w:rsidR="00FE0904" w:rsidRPr="00FE0904">
          <w:rPr>
            <w:rFonts w:ascii="Times New Roman" w:hAnsi="Times New Roman" w:cs="Times New Roman"/>
            <w:sz w:val="24"/>
            <w:szCs w:val="24"/>
            <w:u w:val="single"/>
          </w:rPr>
          <w:t>Leonora.Eglite@vm.gov.lv</w:t>
        </w:r>
      </w:hyperlink>
    </w:p>
    <w:sectPr w:rsidR="00AF644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D03" w:rsidRDefault="00051D03" w:rsidP="00051D03">
      <w:pPr>
        <w:spacing w:after="0" w:line="240" w:lineRule="auto"/>
      </w:pPr>
      <w:r>
        <w:separator/>
      </w:r>
    </w:p>
  </w:endnote>
  <w:endnote w:type="continuationSeparator" w:id="0">
    <w:p w:rsidR="00051D03" w:rsidRDefault="00051D03" w:rsidP="0005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03" w:rsidRPr="00BC16FF" w:rsidRDefault="00BC16FF">
    <w:pPr>
      <w:pStyle w:val="Footer"/>
      <w:rPr>
        <w:rFonts w:ascii="Times New Roman" w:hAnsi="Times New Roman" w:cs="Times New Roman"/>
        <w:sz w:val="24"/>
        <w:szCs w:val="24"/>
        <w:lang w:val="en-GB"/>
      </w:rPr>
    </w:pPr>
    <w:r w:rsidRPr="00BC16FF">
      <w:rPr>
        <w:rFonts w:ascii="Times New Roman" w:hAnsi="Times New Roman" w:cs="Times New Roman"/>
        <w:sz w:val="24"/>
        <w:szCs w:val="24"/>
        <w:lang w:val="en-GB"/>
      </w:rPr>
      <w:t>VManot_281119_not60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D03" w:rsidRDefault="00051D03" w:rsidP="00051D03">
      <w:pPr>
        <w:spacing w:after="0" w:line="240" w:lineRule="auto"/>
      </w:pPr>
      <w:r>
        <w:separator/>
      </w:r>
    </w:p>
  </w:footnote>
  <w:footnote w:type="continuationSeparator" w:id="0">
    <w:p w:rsidR="00051D03" w:rsidRDefault="00051D03" w:rsidP="0005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6E54"/>
    <w:multiLevelType w:val="hybridMultilevel"/>
    <w:tmpl w:val="D3E471FE"/>
    <w:lvl w:ilvl="0" w:tplc="E1007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61C0"/>
    <w:multiLevelType w:val="hybridMultilevel"/>
    <w:tmpl w:val="72C8FBD8"/>
    <w:lvl w:ilvl="0" w:tplc="ABA451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04"/>
    <w:rsid w:val="00051D03"/>
    <w:rsid w:val="000A692F"/>
    <w:rsid w:val="002A12EA"/>
    <w:rsid w:val="002D737E"/>
    <w:rsid w:val="005B1E43"/>
    <w:rsid w:val="00660399"/>
    <w:rsid w:val="007C5A36"/>
    <w:rsid w:val="00862C5F"/>
    <w:rsid w:val="008D5EAA"/>
    <w:rsid w:val="009679C9"/>
    <w:rsid w:val="00A42E12"/>
    <w:rsid w:val="00AF644A"/>
    <w:rsid w:val="00BC16FF"/>
    <w:rsid w:val="00C12B2D"/>
    <w:rsid w:val="00CC0A4E"/>
    <w:rsid w:val="00D41487"/>
    <w:rsid w:val="00DD1571"/>
    <w:rsid w:val="00F031A1"/>
    <w:rsid w:val="00F41EB1"/>
    <w:rsid w:val="00F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D569"/>
  <w15:chartTrackingRefBased/>
  <w15:docId w15:val="{FB1C313E-68C5-4C96-8469-5BF3E35F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04"/>
  </w:style>
  <w:style w:type="paragraph" w:styleId="Footer">
    <w:name w:val="footer"/>
    <w:basedOn w:val="Normal"/>
    <w:link w:val="FooterChar"/>
    <w:uiPriority w:val="99"/>
    <w:unhideWhenUsed/>
    <w:rsid w:val="00FE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04"/>
  </w:style>
  <w:style w:type="paragraph" w:styleId="NoSpacing">
    <w:name w:val="No Spacing"/>
    <w:uiPriority w:val="1"/>
    <w:qFormat/>
    <w:rsid w:val="00FE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aliases w:val="-E Fußnotentext,Char Char Char Char Char Char Char Char Char Char Char Char,Footnote,Fußnote,Fußnotentext Ursprung,Vēres teksts Char Char Char Char Char,footnote text,ft,ft Rakstz.,ft Rakstz. Rakstz.,single space"/>
    <w:basedOn w:val="Normal"/>
    <w:link w:val="FootnoteTextChar"/>
    <w:uiPriority w:val="99"/>
    <w:unhideWhenUsed/>
    <w:qFormat/>
    <w:rsid w:val="00FE09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-E Fußnotentext Char,Char Char Char Char Char Char Char Char Char Char Char Char Char,Footnote Char,Fußnote Char,Fußnotentext Ursprung Char,Vēres teksts Char Char Char Char Char Char,footnote text Char,ft Char,ft Rakstz. Char"/>
    <w:basedOn w:val="DefaultParagraphFont"/>
    <w:link w:val="FootnoteText"/>
    <w:uiPriority w:val="99"/>
    <w:rsid w:val="00FE0904"/>
    <w:rPr>
      <w:sz w:val="20"/>
      <w:szCs w:val="20"/>
    </w:rPr>
  </w:style>
  <w:style w:type="character" w:styleId="FootnoteReference">
    <w:name w:val="footnote reference"/>
    <w:aliases w:val="BVI fnr,EN Footnote Reference,Footnote Reference Number,Footnote Reference Superscript,Footnote Reference text,Footnote reference number,Footnote sign,Footnote symboFußnotenzeichen,Footnote symbol,Ref,Times 10 Point,fr,ftref,note TESI"/>
    <w:basedOn w:val="DefaultParagraphFont"/>
    <w:uiPriority w:val="99"/>
    <w:unhideWhenUsed/>
    <w:qFormat/>
    <w:rsid w:val="00FE090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904"/>
  </w:style>
  <w:style w:type="character" w:styleId="CommentReference">
    <w:name w:val="annotation reference"/>
    <w:basedOn w:val="DefaultParagraphFont"/>
    <w:uiPriority w:val="99"/>
    <w:semiHidden/>
    <w:unhideWhenUsed/>
    <w:rsid w:val="00FE0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9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0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basedOn w:val="Normal"/>
    <w:link w:val="ListParagraphChar"/>
    <w:uiPriority w:val="34"/>
    <w:qFormat/>
    <w:rsid w:val="00FE09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904"/>
    <w:rPr>
      <w:color w:val="605E5C"/>
      <w:shd w:val="clear" w:color="auto" w:fill="E1DFDD"/>
    </w:rPr>
  </w:style>
  <w:style w:type="paragraph" w:customStyle="1" w:styleId="labojumupamats">
    <w:name w:val="labojumu_pamats"/>
    <w:basedOn w:val="Normal"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0904"/>
  </w:style>
  <w:style w:type="paragraph" w:customStyle="1" w:styleId="tvhtml">
    <w:name w:val="tv_html"/>
    <w:basedOn w:val="Normal"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FE090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0904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rsid w:val="00FE09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E090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msonormal">
    <w:name w:val="x_msonormal"/>
    <w:basedOn w:val="Normal"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msolistparagraph">
    <w:name w:val="x_msolistparagraph"/>
    <w:basedOn w:val="Normal"/>
    <w:rsid w:val="00FE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unhideWhenUsed/>
    <w:rsid w:val="00FE090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E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Bullet 1 Char,Bullet Points Char,Dot pt Char,F5 List Paragraph Char,IFCL - List Paragraph Char,Indicator Text Char,List Paragraph Char Char Char Char,List Paragraph1 Char,List Paragraph12 Char,Strip Char"/>
    <w:link w:val="ListParagraph"/>
    <w:uiPriority w:val="34"/>
    <w:qFormat/>
    <w:locked/>
    <w:rsid w:val="00FE0904"/>
  </w:style>
  <w:style w:type="paragraph" w:styleId="Title">
    <w:name w:val="Title"/>
    <w:basedOn w:val="Normal"/>
    <w:next w:val="Normal"/>
    <w:link w:val="TitleChar"/>
    <w:uiPriority w:val="10"/>
    <w:qFormat/>
    <w:rsid w:val="00FE09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0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0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ora.Eglite@v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leglite</dc:creator>
  <cp:keywords/>
  <dc:description/>
  <cp:lastModifiedBy>Oskars Šneiders</cp:lastModifiedBy>
  <cp:revision>2</cp:revision>
  <dcterms:created xsi:type="dcterms:W3CDTF">2020-01-03T07:51:00Z</dcterms:created>
  <dcterms:modified xsi:type="dcterms:W3CDTF">2020-01-03T07:51:00Z</dcterms:modified>
</cp:coreProperties>
</file>