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F89DC" w14:textId="2C1BA7EE" w:rsidR="005209D0" w:rsidRDefault="00B405EB" w:rsidP="00FA06B4">
      <w:pPr>
        <w:pStyle w:val="Heading3"/>
        <w:shd w:val="clear" w:color="auto" w:fill="FFFFFF"/>
        <w:jc w:val="center"/>
        <w:rPr>
          <w:sz w:val="26"/>
          <w:szCs w:val="26"/>
        </w:rPr>
      </w:pPr>
      <w:r w:rsidRPr="00965212">
        <w:rPr>
          <w:sz w:val="26"/>
          <w:szCs w:val="26"/>
        </w:rPr>
        <w:t>Projekta vērtēšanas pārbaudes lapa</w:t>
      </w:r>
      <w:r w:rsidR="009D5670" w:rsidRPr="00965212">
        <w:rPr>
          <w:sz w:val="26"/>
          <w:szCs w:val="26"/>
        </w:rPr>
        <w:t xml:space="preserve"> </w:t>
      </w:r>
      <w:r w:rsidR="00FA06B4" w:rsidRPr="00965212">
        <w:rPr>
          <w:sz w:val="26"/>
          <w:szCs w:val="26"/>
        </w:rPr>
        <w:t xml:space="preserve">Eiropas Savienības Atveseļošanas un noturības mehānisma plāna </w:t>
      </w:r>
      <w:r w:rsidR="009A5CBC" w:rsidRPr="009A5CBC">
        <w:rPr>
          <w:sz w:val="26"/>
          <w:szCs w:val="26"/>
        </w:rPr>
        <w:t xml:space="preserve">4.2.1.1.i. investīcijas “Atbalsts cilvēkresursu attīstības sistēmas ieviešanai” </w:t>
      </w:r>
      <w:r w:rsidR="00634FA2" w:rsidRPr="00965212">
        <w:rPr>
          <w:sz w:val="26"/>
          <w:szCs w:val="26"/>
        </w:rPr>
        <w:t>projektam</w:t>
      </w:r>
    </w:p>
    <w:p w14:paraId="2249EE12" w14:textId="6A366D3D" w:rsidR="00FA1868" w:rsidRPr="00FA1868" w:rsidRDefault="00FA1868" w:rsidP="00FA1868">
      <w:pPr>
        <w:pStyle w:val="Heading3"/>
        <w:shd w:val="clear" w:color="auto" w:fill="FFFFFF"/>
        <w:jc w:val="center"/>
        <w:rPr>
          <w:i/>
          <w:iCs/>
          <w:sz w:val="26"/>
          <w:szCs w:val="26"/>
        </w:rPr>
      </w:pPr>
      <w:r w:rsidRPr="00A270F0">
        <w:rPr>
          <w:i/>
          <w:iCs/>
          <w:sz w:val="26"/>
          <w:szCs w:val="26"/>
        </w:rPr>
        <w:t>(projektu kritēriju piemērošanas metodika)</w:t>
      </w:r>
    </w:p>
    <w:p w14:paraId="7C0EFF2B" w14:textId="71072477" w:rsidR="00887D88" w:rsidRPr="00FA1868" w:rsidRDefault="000952CF" w:rsidP="00FA1868">
      <w:pPr>
        <w:rPr>
          <w:rFonts w:cs="Times New Roman"/>
          <w:szCs w:val="24"/>
        </w:rPr>
      </w:pPr>
      <w:r w:rsidRPr="00821832">
        <w:rPr>
          <w:rFonts w:cs="Times New Roman"/>
          <w:szCs w:val="24"/>
        </w:rPr>
        <w:t>Projekta vērtēšanas pārbaudes lapa izstrādāta, pamatojoties</w:t>
      </w:r>
      <w:r w:rsidR="00FA1868">
        <w:rPr>
          <w:rFonts w:cs="Times New Roman"/>
          <w:szCs w:val="24"/>
        </w:rPr>
        <w:t xml:space="preserve"> </w:t>
      </w:r>
      <w:r w:rsidR="0027103A">
        <w:rPr>
          <w:rFonts w:cs="Times New Roman"/>
          <w:szCs w:val="24"/>
        </w:rPr>
        <w:t xml:space="preserve">uz </w:t>
      </w:r>
      <w:r w:rsidR="0027103A" w:rsidRPr="0027103A">
        <w:rPr>
          <w:rFonts w:cs="Times New Roman"/>
          <w:szCs w:val="24"/>
        </w:rPr>
        <w:t>Ministru kabineta 2024.gada 9.janvāra sēdes protokola Nr.</w:t>
      </w:r>
      <w:r w:rsidR="00D713F7" w:rsidRPr="00D713F7">
        <w:rPr>
          <w:rFonts w:cs="Times New Roman"/>
          <w:szCs w:val="24"/>
        </w:rPr>
        <w:t>47</w:t>
      </w:r>
      <w:r w:rsidR="0027103A" w:rsidRPr="00D713F7">
        <w:rPr>
          <w:rFonts w:cs="Times New Roman"/>
          <w:szCs w:val="24"/>
        </w:rPr>
        <w:t>/</w:t>
      </w:r>
      <w:r w:rsidR="00D713F7" w:rsidRPr="00D713F7">
        <w:rPr>
          <w:rFonts w:cs="Times New Roman"/>
          <w:szCs w:val="24"/>
        </w:rPr>
        <w:t>38.</w:t>
      </w:r>
      <w:r w:rsidR="0027103A" w:rsidRPr="00D713F7">
        <w:rPr>
          <w:rFonts w:cs="Times New Roman"/>
          <w:szCs w:val="24"/>
        </w:rPr>
        <w:t>§</w:t>
      </w:r>
      <w:r w:rsidR="0027103A" w:rsidRPr="0027103A">
        <w:rPr>
          <w:rFonts w:cs="Times New Roman"/>
          <w:szCs w:val="24"/>
        </w:rPr>
        <w:t xml:space="preserve"> Informatīvo ziņojumu “Par Eiropas Savienības Atveseļošanas un noturības mehānisma plāna 4.komponentes “Veselība” 4.2. reformu un investīciju virziena “Cilvēkresursu nodrošinājums un prasmju pilnveide” 4.2.1.r. reformas “Cilvēkresursu nodrošinājums un prasmju pilnveide” un 4.2.1.1.i. investīcijas “Atbalsts cilvēkresursu attīstības sistēmas ieviešanai” īstenošanu” (turpmāk – 09.01.2024. informatīvais ziņojums ) un Ministru kabineta 2024.gada 5.novembra sēdes protokola Nr.1/77§ Informatīvajam ziņojumam “Par Eiropas Savienības Atveseļošanas un noturības mehānisma plāna 4.komponentes “Veselība” 4.2. reformu un investīciju virziena “Cilvēkresursu nodrošinājums un prasmju pilnveide” 4.2.1.1.i. investīcijas “Atbalsts cilvēkresursu attīstības sistēmas ieviešanai” projektu atlases īstenošanu” (turpmāk – 05.11.2024. informatīvais ziņojums )</w:t>
      </w:r>
    </w:p>
    <w:p w14:paraId="3094F7D6" w14:textId="5DF4A502" w:rsidR="00B405EB" w:rsidRPr="00A270F0" w:rsidRDefault="00B405EB" w:rsidP="00D23368">
      <w:pPr>
        <w:ind w:firstLine="0"/>
        <w:rPr>
          <w:rFonts w:cs="Times New Roman"/>
          <w:szCs w:val="24"/>
        </w:rPr>
      </w:pPr>
    </w:p>
    <w:tbl>
      <w:tblPr>
        <w:tblStyle w:val="TableGrid"/>
        <w:tblpPr w:leftFromText="180" w:rightFromText="180" w:vertAnchor="text" w:tblpX="-10" w:tblpY="1"/>
        <w:tblOverlap w:val="never"/>
        <w:tblW w:w="14596" w:type="dxa"/>
        <w:tblLayout w:type="fixed"/>
        <w:tblLook w:val="04A0" w:firstRow="1" w:lastRow="0" w:firstColumn="1" w:lastColumn="0" w:noHBand="0" w:noVBand="1"/>
      </w:tblPr>
      <w:tblGrid>
        <w:gridCol w:w="704"/>
        <w:gridCol w:w="2845"/>
        <w:gridCol w:w="5954"/>
        <w:gridCol w:w="5093"/>
      </w:tblGrid>
      <w:tr w:rsidR="00FA06B4" w:rsidRPr="00A270F0" w14:paraId="67A651E5" w14:textId="77777777" w:rsidTr="00887D88">
        <w:tc>
          <w:tcPr>
            <w:tcW w:w="704" w:type="dxa"/>
            <w:shd w:val="clear" w:color="auto" w:fill="BFBFBF" w:themeFill="background1" w:themeFillShade="BF"/>
            <w:vAlign w:val="center"/>
          </w:tcPr>
          <w:p w14:paraId="74CEA6D7" w14:textId="023BE44C" w:rsidR="00B405EB" w:rsidRPr="00A270F0" w:rsidRDefault="00B405EB" w:rsidP="00887D88">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2845" w:type="dxa"/>
            <w:shd w:val="clear" w:color="auto" w:fill="BFBFBF" w:themeFill="background1" w:themeFillShade="BF"/>
            <w:vAlign w:val="center"/>
          </w:tcPr>
          <w:p w14:paraId="36E383C3" w14:textId="4F99584B" w:rsidR="00B405EB" w:rsidRPr="00C610F9" w:rsidRDefault="00B405EB" w:rsidP="00887D88">
            <w:pPr>
              <w:ind w:firstLine="0"/>
              <w:jc w:val="center"/>
              <w:rPr>
                <w:rFonts w:cs="Times New Roman"/>
                <w:szCs w:val="24"/>
                <w:lang w:val="en-GB"/>
              </w:rPr>
            </w:pPr>
            <w:r w:rsidRPr="00A270F0">
              <w:rPr>
                <w:rFonts w:cs="Times New Roman"/>
                <w:szCs w:val="24"/>
              </w:rPr>
              <w:t>Kritērijs</w:t>
            </w:r>
          </w:p>
        </w:tc>
        <w:tc>
          <w:tcPr>
            <w:tcW w:w="5954" w:type="dxa"/>
            <w:shd w:val="clear" w:color="auto" w:fill="BFBFBF" w:themeFill="background1" w:themeFillShade="BF"/>
            <w:vAlign w:val="center"/>
          </w:tcPr>
          <w:p w14:paraId="5142B1C5" w14:textId="52F763DA" w:rsidR="00B405EB" w:rsidRPr="00A270F0" w:rsidRDefault="00B405EB" w:rsidP="00887D88">
            <w:pPr>
              <w:ind w:firstLine="0"/>
              <w:jc w:val="center"/>
              <w:rPr>
                <w:rFonts w:cs="Times New Roman"/>
                <w:szCs w:val="24"/>
              </w:rPr>
            </w:pPr>
            <w:r w:rsidRPr="00A270F0">
              <w:rPr>
                <w:rFonts w:cs="Times New Roman"/>
                <w:szCs w:val="24"/>
              </w:rPr>
              <w:t>Skaidrojums atbilstības noteikšanai</w:t>
            </w:r>
          </w:p>
        </w:tc>
        <w:tc>
          <w:tcPr>
            <w:tcW w:w="5093" w:type="dxa"/>
            <w:shd w:val="clear" w:color="auto" w:fill="BFBFBF" w:themeFill="background1" w:themeFillShade="BF"/>
            <w:vAlign w:val="center"/>
          </w:tcPr>
          <w:p w14:paraId="3466F42B" w14:textId="77777777" w:rsidR="00B405EB" w:rsidRPr="00A270F0" w:rsidRDefault="00B405EB" w:rsidP="00887D88">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887D88">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887D88">
        <w:trPr>
          <w:trHeight w:val="425"/>
        </w:trPr>
        <w:tc>
          <w:tcPr>
            <w:tcW w:w="14596" w:type="dxa"/>
            <w:gridSpan w:val="4"/>
            <w:shd w:val="clear" w:color="auto" w:fill="D9D9D9" w:themeFill="background1" w:themeFillShade="D9"/>
          </w:tcPr>
          <w:p w14:paraId="7A0A4D08" w14:textId="623031F8" w:rsidR="00894A79" w:rsidRPr="00A270F0" w:rsidRDefault="00894A79" w:rsidP="00887D88">
            <w:pPr>
              <w:spacing w:line="276" w:lineRule="auto"/>
              <w:ind w:firstLine="0"/>
              <w:rPr>
                <w:rFonts w:cs="Times New Roman"/>
                <w:szCs w:val="24"/>
              </w:rPr>
            </w:pPr>
            <w:r w:rsidRPr="00A270F0">
              <w:rPr>
                <w:rFonts w:cs="Times New Roman"/>
                <w:szCs w:val="24"/>
              </w:rPr>
              <w:t xml:space="preserve">Kritēriji atbilstoši </w:t>
            </w:r>
            <w:r w:rsidR="0027103A">
              <w:rPr>
                <w:rFonts w:cs="Times New Roman"/>
                <w:szCs w:val="24"/>
              </w:rPr>
              <w:t>09.01.2024. i</w:t>
            </w:r>
            <w:r w:rsidR="00701D3F">
              <w:rPr>
                <w:rFonts w:cs="Times New Roman"/>
                <w:szCs w:val="24"/>
              </w:rPr>
              <w:t>nformatīvā ziņojuma</w:t>
            </w:r>
            <w:r w:rsidRPr="00A270F0">
              <w:rPr>
                <w:rFonts w:cs="Times New Roman"/>
                <w:szCs w:val="24"/>
              </w:rPr>
              <w:t xml:space="preserve"> </w:t>
            </w:r>
            <w:r w:rsidR="003252C9">
              <w:rPr>
                <w:rFonts w:cs="Times New Roman"/>
                <w:szCs w:val="24"/>
              </w:rPr>
              <w:t>7</w:t>
            </w:r>
            <w:r w:rsidR="00821832">
              <w:rPr>
                <w:rFonts w:cs="Times New Roman"/>
                <w:szCs w:val="24"/>
              </w:rPr>
              <w:t>.</w:t>
            </w:r>
            <w:r w:rsidR="009A5CBC">
              <w:rPr>
                <w:rFonts w:cs="Times New Roman"/>
                <w:szCs w:val="24"/>
              </w:rPr>
              <w:t>5</w:t>
            </w:r>
            <w:r w:rsidR="00821832">
              <w:rPr>
                <w:rFonts w:cs="Times New Roman"/>
                <w:szCs w:val="24"/>
              </w:rPr>
              <w:t>.</w:t>
            </w:r>
            <w:r w:rsidRPr="00A270F0">
              <w:rPr>
                <w:rFonts w:cs="Times New Roman"/>
                <w:szCs w:val="24"/>
              </w:rPr>
              <w:t>punktam</w:t>
            </w:r>
          </w:p>
        </w:tc>
      </w:tr>
      <w:tr w:rsidR="00FA06B4" w:rsidRPr="00A270F0" w14:paraId="62B76E00" w14:textId="77777777" w:rsidTr="00FA1868">
        <w:trPr>
          <w:trHeight w:val="1975"/>
        </w:trPr>
        <w:tc>
          <w:tcPr>
            <w:tcW w:w="704" w:type="dxa"/>
          </w:tcPr>
          <w:p w14:paraId="72A0B39A" w14:textId="741BFD27" w:rsidR="00B405EB" w:rsidRPr="00A270F0" w:rsidRDefault="00B405EB" w:rsidP="00887D88">
            <w:pPr>
              <w:ind w:firstLine="0"/>
              <w:rPr>
                <w:rFonts w:cs="Times New Roman"/>
                <w:szCs w:val="24"/>
              </w:rPr>
            </w:pPr>
            <w:r w:rsidRPr="006939F6">
              <w:rPr>
                <w:rFonts w:cs="Times New Roman"/>
                <w:szCs w:val="24"/>
              </w:rPr>
              <w:t>1.</w:t>
            </w:r>
          </w:p>
        </w:tc>
        <w:tc>
          <w:tcPr>
            <w:tcW w:w="2845" w:type="dxa"/>
          </w:tcPr>
          <w:p w14:paraId="1A170CFD" w14:textId="14877165" w:rsidR="00793CF3" w:rsidRPr="009A5CBC" w:rsidRDefault="003252C9" w:rsidP="009A5CBC">
            <w:pPr>
              <w:ind w:firstLine="0"/>
              <w:rPr>
                <w:rFonts w:eastAsia="Times New Roman" w:cs="Times New Roman"/>
                <w:iCs/>
                <w:szCs w:val="24"/>
              </w:rPr>
            </w:pPr>
            <w:r>
              <w:rPr>
                <w:rFonts w:eastAsia="Times New Roman" w:cs="Times New Roman"/>
                <w:iCs/>
                <w:szCs w:val="24"/>
              </w:rPr>
              <w:t>P</w:t>
            </w:r>
            <w:r w:rsidRPr="003252C9">
              <w:rPr>
                <w:rFonts w:eastAsia="Times New Roman" w:cs="Times New Roman"/>
                <w:iCs/>
                <w:szCs w:val="24"/>
              </w:rPr>
              <w:t xml:space="preserve">rojekts </w:t>
            </w:r>
            <w:r w:rsidR="009A5CBC">
              <w:t xml:space="preserve"> </w:t>
            </w:r>
            <w:r w:rsidR="009A5CBC" w:rsidRPr="009A5CBC">
              <w:rPr>
                <w:rFonts w:eastAsia="Times New Roman" w:cs="Times New Roman"/>
                <w:iCs/>
                <w:szCs w:val="24"/>
              </w:rPr>
              <w:t xml:space="preserve">atbilst investīcijas mērķim atbilstoši </w:t>
            </w:r>
            <w:r w:rsidR="0027103A" w:rsidRPr="0027103A">
              <w:rPr>
                <w:rFonts w:eastAsia="Times New Roman" w:cs="Times New Roman"/>
                <w:iCs/>
                <w:szCs w:val="24"/>
              </w:rPr>
              <w:t xml:space="preserve">09.01.2024. informatīvā </w:t>
            </w:r>
            <w:r w:rsidR="00FA69DA">
              <w:rPr>
                <w:rFonts w:eastAsia="Times New Roman" w:cs="Times New Roman"/>
                <w:iCs/>
                <w:szCs w:val="24"/>
              </w:rPr>
              <w:t xml:space="preserve"> </w:t>
            </w:r>
            <w:r w:rsidR="009A5CBC" w:rsidRPr="009A5CBC">
              <w:rPr>
                <w:rFonts w:eastAsia="Times New Roman" w:cs="Times New Roman"/>
                <w:iCs/>
                <w:szCs w:val="24"/>
              </w:rPr>
              <w:t>ziņojuma 2.1.2.punktam</w:t>
            </w:r>
            <w:r w:rsidR="009A5CBC">
              <w:rPr>
                <w:rFonts w:eastAsia="Times New Roman" w:cs="Times New Roman"/>
                <w:iCs/>
                <w:szCs w:val="24"/>
              </w:rPr>
              <w:t xml:space="preserve">: </w:t>
            </w:r>
            <w:r w:rsidR="00793CF3" w:rsidRPr="00793CF3">
              <w:t>attīstīt simulāciju pieeju veselības aprūpes izglītības sistēmā</w:t>
            </w:r>
            <w:r w:rsidR="00793CF3">
              <w:t>.</w:t>
            </w:r>
          </w:p>
        </w:tc>
        <w:tc>
          <w:tcPr>
            <w:tcW w:w="5954" w:type="dxa"/>
          </w:tcPr>
          <w:p w14:paraId="223440ED" w14:textId="24FE3FEC" w:rsidR="00793CF3" w:rsidRPr="009A5CBC" w:rsidRDefault="009D5670" w:rsidP="009A5CBC">
            <w:pPr>
              <w:ind w:firstLine="0"/>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w:t>
            </w:r>
            <w:r w:rsidR="00EE0EBB">
              <w:t xml:space="preserve"> </w:t>
            </w:r>
            <w:r w:rsidR="00EE0EBB" w:rsidRPr="00EE0EBB">
              <w:rPr>
                <w:rFonts w:cs="Times New Roman"/>
                <w:szCs w:val="24"/>
              </w:rPr>
              <w:t>projekta iesniegumā projekta mērķis atbilst investīcijas mērķim: attīstīt simulāciju pieeju veselības aprūpes izglītības sistēmā</w:t>
            </w:r>
            <w:r w:rsidR="00793CF3" w:rsidRPr="009A5CBC">
              <w:t>.</w:t>
            </w:r>
          </w:p>
          <w:p w14:paraId="2D0111FE" w14:textId="77777777" w:rsidR="009A733E" w:rsidRPr="00A270F0" w:rsidRDefault="009A733E" w:rsidP="00887D88">
            <w:pPr>
              <w:ind w:firstLine="0"/>
              <w:rPr>
                <w:rFonts w:cs="Times New Roman"/>
                <w:szCs w:val="24"/>
              </w:rPr>
            </w:pPr>
          </w:p>
          <w:p w14:paraId="4C22C6C9" w14:textId="4BEB1E70" w:rsidR="009D5670" w:rsidRPr="00A270F0" w:rsidRDefault="009D5670"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887D88">
            <w:pPr>
              <w:ind w:firstLine="0"/>
              <w:rPr>
                <w:rFonts w:cs="Times New Roman"/>
                <w:szCs w:val="24"/>
              </w:rPr>
            </w:pPr>
          </w:p>
          <w:p w14:paraId="457E323C" w14:textId="77777777" w:rsidR="009D5670" w:rsidRPr="00A270F0" w:rsidRDefault="009D5670"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887D88">
            <w:pPr>
              <w:ind w:firstLine="0"/>
              <w:rPr>
                <w:rFonts w:cs="Times New Roman"/>
                <w:szCs w:val="24"/>
              </w:rPr>
            </w:pPr>
          </w:p>
        </w:tc>
        <w:tc>
          <w:tcPr>
            <w:tcW w:w="5093" w:type="dxa"/>
          </w:tcPr>
          <w:p w14:paraId="76677E1D" w14:textId="59F60E20" w:rsidR="00F80192" w:rsidRPr="00A270F0" w:rsidRDefault="00F80192" w:rsidP="00FA1868">
            <w:pPr>
              <w:ind w:firstLine="0"/>
              <w:rPr>
                <w:rFonts w:cs="Times New Roman"/>
                <w:szCs w:val="24"/>
              </w:rPr>
            </w:pPr>
          </w:p>
        </w:tc>
      </w:tr>
      <w:tr w:rsidR="00FA06B4" w:rsidRPr="00A270F0" w14:paraId="6C37FD22" w14:textId="77777777" w:rsidTr="00887D88">
        <w:tc>
          <w:tcPr>
            <w:tcW w:w="704" w:type="dxa"/>
          </w:tcPr>
          <w:p w14:paraId="3203D4A3" w14:textId="51286977" w:rsidR="00B405EB" w:rsidRPr="00A270F0" w:rsidRDefault="00B405EB" w:rsidP="00887D88">
            <w:pPr>
              <w:ind w:firstLine="0"/>
              <w:rPr>
                <w:rFonts w:cs="Times New Roman"/>
                <w:szCs w:val="24"/>
              </w:rPr>
            </w:pPr>
            <w:r w:rsidRPr="006939F6">
              <w:rPr>
                <w:rFonts w:cs="Times New Roman"/>
                <w:szCs w:val="24"/>
              </w:rPr>
              <w:t>2.</w:t>
            </w:r>
          </w:p>
        </w:tc>
        <w:tc>
          <w:tcPr>
            <w:tcW w:w="2845" w:type="dxa"/>
          </w:tcPr>
          <w:p w14:paraId="3396CD69" w14:textId="77777777" w:rsidR="00404E8E" w:rsidRDefault="004B5095" w:rsidP="009A5CBC">
            <w:pPr>
              <w:spacing w:before="120"/>
              <w:ind w:firstLine="0"/>
              <w:contextualSpacing/>
              <w:rPr>
                <w:rFonts w:eastAsia="Times New Roman"/>
                <w:iCs/>
              </w:rPr>
            </w:pPr>
            <w:r>
              <w:rPr>
                <w:rFonts w:eastAsia="Times New Roman"/>
                <w:iCs/>
              </w:rPr>
              <w:t>P</w:t>
            </w:r>
            <w:r w:rsidRPr="004B5095">
              <w:rPr>
                <w:rFonts w:eastAsia="Times New Roman"/>
                <w:iCs/>
              </w:rPr>
              <w:t xml:space="preserve">rojekta darbības atbilst Atveseļošanas fonda plānā </w:t>
            </w:r>
            <w:r w:rsidRPr="004B5095">
              <w:rPr>
                <w:rFonts w:eastAsia="Times New Roman"/>
                <w:iCs/>
              </w:rPr>
              <w:lastRenderedPageBreak/>
              <w:t>noteiktajam</w:t>
            </w:r>
            <w:r w:rsidR="009A5CBC">
              <w:rPr>
                <w:rFonts w:eastAsia="Times New Roman"/>
                <w:iCs/>
              </w:rPr>
              <w:t xml:space="preserve">: </w:t>
            </w:r>
            <w:r w:rsidR="009A5CBC">
              <w:t xml:space="preserve"> </w:t>
            </w:r>
            <w:r w:rsidR="009A5CBC" w:rsidRPr="009A5CBC">
              <w:rPr>
                <w:rFonts w:eastAsia="Times New Roman"/>
                <w:iCs/>
              </w:rPr>
              <w:t>investīcijas ietvaros plānota simulāciju pieejas ieviešana</w:t>
            </w:r>
            <w:r w:rsidR="00404E8E">
              <w:rPr>
                <w:rFonts w:eastAsia="Times New Roman"/>
                <w:iCs/>
              </w:rPr>
              <w:t>:</w:t>
            </w:r>
          </w:p>
          <w:p w14:paraId="230D4465" w14:textId="2E6B3CF6" w:rsidR="00404E8E" w:rsidRDefault="00404E8E" w:rsidP="00404E8E">
            <w:pPr>
              <w:pStyle w:val="ListParagraph"/>
              <w:numPr>
                <w:ilvl w:val="0"/>
                <w:numId w:val="46"/>
              </w:numPr>
              <w:spacing w:before="120"/>
              <w:ind w:left="184" w:hanging="284"/>
              <w:contextualSpacing/>
              <w:rPr>
                <w:iCs/>
              </w:rPr>
            </w:pPr>
            <w:r w:rsidRPr="00404E8E">
              <w:rPr>
                <w:iCs/>
              </w:rPr>
              <w:t>RSU Medicīnas izglītības tehnoloģiju centrs (turpmāk – RSU MITC)</w:t>
            </w:r>
            <w:r w:rsidR="00F83C85">
              <w:rPr>
                <w:iCs/>
              </w:rPr>
              <w:t xml:space="preserve"> </w:t>
            </w:r>
            <w:r w:rsidR="009A5CBC" w:rsidRPr="00404E8E">
              <w:rPr>
                <w:iCs/>
              </w:rPr>
              <w:t>medicīnas izglītībā</w:t>
            </w:r>
            <w:r w:rsidR="0008472F" w:rsidRPr="00404E8E">
              <w:rPr>
                <w:iCs/>
              </w:rPr>
              <w:t xml:space="preserve">, </w:t>
            </w:r>
            <w:proofErr w:type="spellStart"/>
            <w:r w:rsidR="0008472F" w:rsidRPr="00404E8E">
              <w:rPr>
                <w:iCs/>
              </w:rPr>
              <w:t>pamatstudijās</w:t>
            </w:r>
            <w:proofErr w:type="spellEnd"/>
            <w:r w:rsidR="0008472F" w:rsidRPr="00404E8E">
              <w:rPr>
                <w:iCs/>
              </w:rPr>
              <w:t>, rezidentūrā</w:t>
            </w:r>
            <w:r w:rsidR="00C610F9">
              <w:rPr>
                <w:iCs/>
              </w:rPr>
              <w:t>;</w:t>
            </w:r>
            <w:r w:rsidR="0008472F" w:rsidRPr="00404E8E">
              <w:rPr>
                <w:iCs/>
              </w:rPr>
              <w:t xml:space="preserve"> </w:t>
            </w:r>
          </w:p>
          <w:p w14:paraId="58013480" w14:textId="4747C9F8" w:rsidR="00AE7F04" w:rsidRPr="00404E8E" w:rsidRDefault="00404E8E" w:rsidP="00404E8E">
            <w:pPr>
              <w:pStyle w:val="ListParagraph"/>
              <w:numPr>
                <w:ilvl w:val="0"/>
                <w:numId w:val="46"/>
              </w:numPr>
              <w:spacing w:before="120"/>
              <w:ind w:left="184" w:hanging="284"/>
              <w:contextualSpacing/>
              <w:rPr>
                <w:iCs/>
              </w:rPr>
            </w:pPr>
            <w:r w:rsidRPr="00404E8E">
              <w:rPr>
                <w:iCs/>
              </w:rPr>
              <w:t xml:space="preserve">reģionālā slimnīca vai klīniskā universitātes slimnīca </w:t>
            </w:r>
            <w:r w:rsidR="0008472F" w:rsidRPr="00404E8E">
              <w:rPr>
                <w:iCs/>
              </w:rPr>
              <w:t>tālākizglītībā ārstniecības personu mācību procesā.</w:t>
            </w:r>
          </w:p>
        </w:tc>
        <w:tc>
          <w:tcPr>
            <w:tcW w:w="5954" w:type="dxa"/>
          </w:tcPr>
          <w:p w14:paraId="7725DE01" w14:textId="77777777" w:rsidR="00C610F9" w:rsidRDefault="00D36E70" w:rsidP="00887D88">
            <w:pPr>
              <w:ind w:firstLine="0"/>
              <w:rPr>
                <w:rFonts w:eastAsia="Times New Roman"/>
                <w:lang w:eastAsia="lv-LV"/>
              </w:rPr>
            </w:pPr>
            <w:r w:rsidRPr="00A270F0">
              <w:lastRenderedPageBreak/>
              <w:t xml:space="preserve">Vērtējums </w:t>
            </w:r>
            <w:r w:rsidRPr="00D92B38">
              <w:rPr>
                <w:b/>
                <w:bCs/>
              </w:rPr>
              <w:t>“atbilst”</w:t>
            </w:r>
            <w:r w:rsidRPr="00A270F0">
              <w:t xml:space="preserve"> –</w:t>
            </w:r>
            <w:r w:rsidR="00BC5CBE" w:rsidRPr="00A270F0">
              <w:t xml:space="preserve"> projekta iesniegumā ir aprakstīts, k</w:t>
            </w:r>
            <w:r w:rsidR="001C4540">
              <w:t>ā</w:t>
            </w:r>
            <w:r w:rsidR="00BC5CBE" w:rsidRPr="00A270F0">
              <w:t xml:space="preserve"> projekta darbības</w:t>
            </w:r>
            <w:r w:rsidR="004B5095">
              <w:t xml:space="preserve"> </w:t>
            </w:r>
            <w:r w:rsidR="00344435">
              <w:rPr>
                <w:rFonts w:eastAsia="Times New Roman"/>
                <w:lang w:eastAsia="lv-LV"/>
              </w:rPr>
              <w:t>sekmēs</w:t>
            </w:r>
            <w:r w:rsidR="00C610F9">
              <w:rPr>
                <w:rFonts w:eastAsia="Times New Roman"/>
                <w:lang w:eastAsia="lv-LV"/>
              </w:rPr>
              <w:t>:</w:t>
            </w:r>
          </w:p>
          <w:p w14:paraId="5F023451" w14:textId="77777777" w:rsidR="00C610F9" w:rsidRDefault="00C610F9" w:rsidP="00C610F9">
            <w:pPr>
              <w:pStyle w:val="ListParagraph"/>
              <w:numPr>
                <w:ilvl w:val="0"/>
                <w:numId w:val="47"/>
              </w:numPr>
              <w:ind w:left="310" w:hanging="310"/>
            </w:pPr>
            <w:r>
              <w:lastRenderedPageBreak/>
              <w:t xml:space="preserve">RSU MITC </w:t>
            </w:r>
            <w:r w:rsidR="009A5CBC" w:rsidRPr="009A5CBC">
              <w:t>simulāciju pieejas ieviešan</w:t>
            </w:r>
            <w:r w:rsidR="0008472F">
              <w:t>u</w:t>
            </w:r>
            <w:r w:rsidR="009A5CBC" w:rsidRPr="009A5CBC">
              <w:t xml:space="preserve"> medicīnas izglītībā</w:t>
            </w:r>
            <w:r w:rsidR="0008472F">
              <w:t xml:space="preserve">, </w:t>
            </w:r>
            <w:proofErr w:type="spellStart"/>
            <w:r w:rsidR="0008472F" w:rsidRPr="0008472F">
              <w:t>pamatstudijās</w:t>
            </w:r>
            <w:proofErr w:type="spellEnd"/>
            <w:r w:rsidR="0008472F" w:rsidRPr="0008472F">
              <w:t>, rezidentūrā</w:t>
            </w:r>
            <w:r>
              <w:t>;</w:t>
            </w:r>
          </w:p>
          <w:p w14:paraId="22762BF1" w14:textId="546E8368" w:rsidR="009A5CBC" w:rsidRDefault="00C610F9" w:rsidP="00C610F9">
            <w:pPr>
              <w:pStyle w:val="ListParagraph"/>
              <w:numPr>
                <w:ilvl w:val="0"/>
                <w:numId w:val="47"/>
              </w:numPr>
              <w:ind w:left="310" w:hanging="310"/>
            </w:pPr>
            <w:r w:rsidRPr="00C610F9">
              <w:t xml:space="preserve">reģionālā slimnīca vai klīniskā universitātes slimnīca </w:t>
            </w:r>
            <w:r w:rsidR="0008472F" w:rsidRPr="0008472F">
              <w:t>tālākizglītībā ārstniecības personu mācību procesā</w:t>
            </w:r>
            <w:r w:rsidR="0008472F">
              <w:t>.</w:t>
            </w:r>
          </w:p>
          <w:p w14:paraId="1C734CED" w14:textId="77777777" w:rsidR="009A5CBC" w:rsidRDefault="009A5CBC" w:rsidP="00887D88">
            <w:pPr>
              <w:ind w:firstLine="0"/>
            </w:pPr>
          </w:p>
          <w:p w14:paraId="5FFEDF58" w14:textId="2A8070C7" w:rsidR="00CA1573" w:rsidRPr="009A5CBC" w:rsidRDefault="00CA1573" w:rsidP="00887D88">
            <w:pPr>
              <w:ind w:firstLine="0"/>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BD0421">
              <w:rPr>
                <w:rFonts w:cs="Times New Roman"/>
                <w:szCs w:val="24"/>
              </w:rPr>
              <w:t>.</w:t>
            </w:r>
          </w:p>
          <w:p w14:paraId="4FCB0C6F" w14:textId="77777777" w:rsidR="00CA1573" w:rsidRPr="00A270F0" w:rsidRDefault="00CA1573" w:rsidP="00887D88">
            <w:pPr>
              <w:ind w:firstLine="0"/>
              <w:rPr>
                <w:rFonts w:cs="Times New Roman"/>
                <w:szCs w:val="24"/>
              </w:rPr>
            </w:pPr>
          </w:p>
          <w:p w14:paraId="4147F0AF" w14:textId="0218BF02" w:rsidR="00CA1573" w:rsidRPr="00A270F0" w:rsidRDefault="00CA1573"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BD0421">
              <w:rPr>
                <w:color w:val="000000" w:themeColor="text1"/>
              </w:rPr>
              <w:t>.</w:t>
            </w:r>
          </w:p>
        </w:tc>
        <w:tc>
          <w:tcPr>
            <w:tcW w:w="5093" w:type="dxa"/>
          </w:tcPr>
          <w:p w14:paraId="7FE94FC6" w14:textId="69A60645" w:rsidR="00B405EB" w:rsidRPr="00355E20" w:rsidRDefault="00B405EB" w:rsidP="005377F0">
            <w:pPr>
              <w:ind w:firstLine="0"/>
              <w:rPr>
                <w:rFonts w:cs="Times New Roman"/>
                <w:i/>
                <w:iCs/>
                <w:szCs w:val="24"/>
              </w:rPr>
            </w:pPr>
          </w:p>
        </w:tc>
      </w:tr>
      <w:tr w:rsidR="00F9008D" w:rsidRPr="00A270F0" w14:paraId="6ACEDDC1" w14:textId="77777777" w:rsidTr="00887D88">
        <w:tc>
          <w:tcPr>
            <w:tcW w:w="14596" w:type="dxa"/>
            <w:gridSpan w:val="4"/>
            <w:shd w:val="clear" w:color="auto" w:fill="D9D9D9" w:themeFill="background1" w:themeFillShade="D9"/>
          </w:tcPr>
          <w:p w14:paraId="3964CB0F" w14:textId="2F89A845" w:rsidR="00F9008D" w:rsidRPr="00A270F0" w:rsidRDefault="00EE0EBB" w:rsidP="00887D88">
            <w:pPr>
              <w:spacing w:line="360" w:lineRule="auto"/>
              <w:ind w:firstLine="0"/>
              <w:rPr>
                <w:rFonts w:cs="Times New Roman"/>
                <w:szCs w:val="24"/>
              </w:rPr>
            </w:pPr>
            <w:r w:rsidRPr="00EE0EBB">
              <w:rPr>
                <w:rFonts w:cs="Times New Roman"/>
                <w:szCs w:val="24"/>
              </w:rPr>
              <w:t>Atbilstība izslēgšanas nosacījumiem</w:t>
            </w:r>
          </w:p>
        </w:tc>
      </w:tr>
      <w:tr w:rsidR="00946AA5" w:rsidRPr="00A270F0" w14:paraId="642B06E3" w14:textId="77777777" w:rsidTr="00887D88">
        <w:tc>
          <w:tcPr>
            <w:tcW w:w="704" w:type="dxa"/>
          </w:tcPr>
          <w:p w14:paraId="783FA561" w14:textId="37D6AD9F" w:rsidR="00946AA5" w:rsidRDefault="00DA7B5C" w:rsidP="00887D88">
            <w:pPr>
              <w:ind w:firstLine="0"/>
              <w:rPr>
                <w:rFonts w:cs="Times New Roman"/>
                <w:szCs w:val="24"/>
              </w:rPr>
            </w:pPr>
            <w:r>
              <w:rPr>
                <w:rFonts w:cs="Times New Roman"/>
                <w:szCs w:val="24"/>
              </w:rPr>
              <w:t>3</w:t>
            </w:r>
            <w:r w:rsidR="00946AA5" w:rsidRPr="006939F6">
              <w:rPr>
                <w:rFonts w:cs="Times New Roman"/>
                <w:szCs w:val="24"/>
              </w:rPr>
              <w:t>.</w:t>
            </w:r>
          </w:p>
        </w:tc>
        <w:tc>
          <w:tcPr>
            <w:tcW w:w="2845" w:type="dxa"/>
          </w:tcPr>
          <w:p w14:paraId="2F6E0FAF" w14:textId="77777777" w:rsidR="00946AA5" w:rsidRDefault="00EE0EBB" w:rsidP="00DA7B5C">
            <w:pPr>
              <w:ind w:firstLine="0"/>
              <w:rPr>
                <w:szCs w:val="24"/>
              </w:rPr>
            </w:pPr>
            <w:r>
              <w:rPr>
                <w:szCs w:val="24"/>
              </w:rPr>
              <w:t>F</w:t>
            </w:r>
            <w:r w:rsidRPr="00EE0EBB">
              <w:rPr>
                <w:szCs w:val="24"/>
              </w:rPr>
              <w:t xml:space="preserve">inansējuma saņēmējs neatbilst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w:t>
            </w:r>
            <w:r w:rsidRPr="00EE0EBB">
              <w:rPr>
                <w:szCs w:val="24"/>
              </w:rPr>
              <w:lastRenderedPageBreak/>
              <w:t>283/2014 un Lēmumu Nr. 541/2014/ES un atceļ Regulu (ES, Euratom) Nr. 966/2012, 136. pantā ("Izslēgšanas kritēriji un lēmumi par izslēgšanu") noteiktajiem izslēgšanas kritērijiem</w:t>
            </w:r>
            <w:r w:rsidR="00B07C45">
              <w:rPr>
                <w:szCs w:val="24"/>
              </w:rPr>
              <w:t>.</w:t>
            </w:r>
          </w:p>
          <w:p w14:paraId="3CB86CE1" w14:textId="743A2E7D" w:rsidR="00B07C45" w:rsidRPr="00946AA5" w:rsidRDefault="00B07C45" w:rsidP="00DA7B5C">
            <w:pPr>
              <w:ind w:firstLine="0"/>
            </w:pPr>
          </w:p>
        </w:tc>
        <w:tc>
          <w:tcPr>
            <w:tcW w:w="5954" w:type="dxa"/>
          </w:tcPr>
          <w:p w14:paraId="7AA5EF5D" w14:textId="6F6A6F62" w:rsidR="00946AA5" w:rsidRDefault="00EE0EBB" w:rsidP="00946AA5">
            <w:pPr>
              <w:ind w:firstLine="0"/>
              <w:rPr>
                <w:rFonts w:cs="Times New Roman"/>
                <w:szCs w:val="24"/>
              </w:rPr>
            </w:pPr>
            <w:r w:rsidRPr="00EE0EBB">
              <w:rPr>
                <w:rFonts w:cs="Times New Roman"/>
                <w:szCs w:val="24"/>
              </w:rPr>
              <w:lastRenderedPageBreak/>
              <w:t>Projekta vērtēšanas komisija informāciju kritērija vērtēšanai pieprasa no CFLA</w:t>
            </w:r>
            <w:r w:rsidR="00DA7B5C" w:rsidRPr="00DA7B5C">
              <w:rPr>
                <w:rFonts w:cs="Times New Roman"/>
                <w:szCs w:val="24"/>
              </w:rPr>
              <w:t>.</w:t>
            </w:r>
          </w:p>
          <w:p w14:paraId="6AF88136" w14:textId="77777777" w:rsidR="00EE0EBB" w:rsidRDefault="00EE0EBB" w:rsidP="00946AA5">
            <w:pPr>
              <w:ind w:firstLine="0"/>
              <w:rPr>
                <w:rFonts w:cs="Times New Roman"/>
                <w:szCs w:val="24"/>
              </w:rPr>
            </w:pPr>
          </w:p>
          <w:p w14:paraId="434FB401" w14:textId="1D0F3DDC" w:rsidR="00EE0EBB" w:rsidRPr="00EE0EBB" w:rsidRDefault="00EE0EBB" w:rsidP="00EE0EBB">
            <w:pPr>
              <w:ind w:firstLine="0"/>
              <w:rPr>
                <w:rFonts w:cs="Times New Roman"/>
                <w:b/>
                <w:bCs/>
                <w:szCs w:val="24"/>
              </w:rPr>
            </w:pPr>
            <w:r w:rsidRPr="00A270F0">
              <w:rPr>
                <w:rFonts w:cs="Times New Roman"/>
                <w:szCs w:val="24"/>
              </w:rPr>
              <w:t xml:space="preserve">Vērtējums </w:t>
            </w:r>
            <w:r w:rsidRPr="00A270F0">
              <w:rPr>
                <w:rFonts w:cs="Times New Roman"/>
                <w:b/>
                <w:bCs/>
                <w:szCs w:val="24"/>
              </w:rPr>
              <w:t xml:space="preserve">“atbilst” - </w:t>
            </w:r>
            <w:r w:rsidRPr="00A270F0">
              <w:rPr>
                <w:rFonts w:cs="Times New Roman"/>
                <w:szCs w:val="24"/>
                <w:shd w:val="clear" w:color="auto" w:fill="FFFFFF"/>
              </w:rPr>
              <w:t>finansējuma saņēmējs nav vienā no kritērijā minētajām izslēgšanas situācijām.</w:t>
            </w:r>
          </w:p>
          <w:p w14:paraId="3EFE9019" w14:textId="77777777" w:rsidR="00946AA5" w:rsidRPr="00A270F0" w:rsidRDefault="00946AA5" w:rsidP="00946AA5">
            <w:pPr>
              <w:ind w:firstLine="0"/>
              <w:rPr>
                <w:rFonts w:cs="Times New Roman"/>
                <w:szCs w:val="24"/>
              </w:rPr>
            </w:pPr>
          </w:p>
          <w:p w14:paraId="4ADCBA4C" w14:textId="74D7A6A6" w:rsidR="00946AA5" w:rsidRPr="00A270F0" w:rsidRDefault="00946AA5" w:rsidP="00946AA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D621F5" w:rsidRPr="00A270F0">
              <w:rPr>
                <w:rFonts w:cs="Times New Roman"/>
                <w:szCs w:val="24"/>
                <w:shd w:val="clear" w:color="auto" w:fill="FFFFFF"/>
              </w:rPr>
              <w:t xml:space="preserve"> finansējuma saņēmēj</w:t>
            </w:r>
            <w:r w:rsidR="00D621F5">
              <w:rPr>
                <w:rFonts w:cs="Times New Roman"/>
                <w:szCs w:val="24"/>
                <w:shd w:val="clear" w:color="auto" w:fill="FFFFFF"/>
              </w:rPr>
              <w:t>am konstatēta</w:t>
            </w:r>
            <w:r w:rsidR="00D621F5" w:rsidRPr="00A270F0">
              <w:rPr>
                <w:rFonts w:cs="Times New Roman"/>
                <w:szCs w:val="24"/>
                <w:shd w:val="clear" w:color="auto" w:fill="FFFFFF"/>
              </w:rPr>
              <w:t xml:space="preserve"> </w:t>
            </w:r>
            <w:r w:rsidR="00D621F5">
              <w:rPr>
                <w:rFonts w:cs="Times New Roman"/>
                <w:szCs w:val="24"/>
                <w:shd w:val="clear" w:color="auto" w:fill="FFFFFF"/>
              </w:rPr>
              <w:t>kāda</w:t>
            </w:r>
            <w:r w:rsidR="00D621F5" w:rsidRPr="00A270F0">
              <w:rPr>
                <w:rFonts w:cs="Times New Roman"/>
                <w:szCs w:val="24"/>
                <w:shd w:val="clear" w:color="auto" w:fill="FFFFFF"/>
              </w:rPr>
              <w:t xml:space="preserve"> no kritērijā minētajām izslēgšanas situācijām.</w:t>
            </w:r>
          </w:p>
          <w:p w14:paraId="10E3C4A9" w14:textId="77777777" w:rsidR="00946AA5" w:rsidRPr="00A270F0" w:rsidRDefault="00946AA5" w:rsidP="00946AA5">
            <w:pPr>
              <w:ind w:firstLine="0"/>
              <w:rPr>
                <w:rFonts w:cs="Times New Roman"/>
                <w:szCs w:val="24"/>
              </w:rPr>
            </w:pPr>
          </w:p>
          <w:p w14:paraId="0CFC5313" w14:textId="0BF05FCC" w:rsidR="00946AA5" w:rsidRPr="00A270F0" w:rsidRDefault="00946AA5" w:rsidP="00946AA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w:t>
            </w:r>
            <w:r w:rsidR="00D621F5">
              <w:rPr>
                <w:rFonts w:cs="Times New Roman"/>
                <w:szCs w:val="24"/>
              </w:rPr>
              <w:t>nav pilnīga informācija par</w:t>
            </w:r>
            <w:r w:rsidR="00D621F5" w:rsidRPr="00A270F0">
              <w:rPr>
                <w:rFonts w:cs="Times New Roman"/>
                <w:szCs w:val="24"/>
                <w:shd w:val="clear" w:color="auto" w:fill="FFFFFF"/>
              </w:rPr>
              <w:t xml:space="preserve"> finansējuma saņēmēj</w:t>
            </w:r>
            <w:r w:rsidR="00D621F5">
              <w:rPr>
                <w:rFonts w:cs="Times New Roman"/>
                <w:szCs w:val="24"/>
                <w:shd w:val="clear" w:color="auto" w:fill="FFFFFF"/>
              </w:rPr>
              <w:t>a atbilstību/neatbilstību</w:t>
            </w:r>
            <w:r w:rsidR="00D621F5" w:rsidRPr="00A270F0">
              <w:rPr>
                <w:rFonts w:cs="Times New Roman"/>
                <w:szCs w:val="24"/>
                <w:shd w:val="clear" w:color="auto" w:fill="FFFFFF"/>
              </w:rPr>
              <w:t xml:space="preserve"> minētajām izslēgšanas situācijām</w:t>
            </w:r>
            <w:r w:rsidR="00D621F5" w:rsidRPr="00A270F0" w:rsidDel="00D621F5">
              <w:rPr>
                <w:rFonts w:cs="Times New Roman"/>
                <w:szCs w:val="24"/>
              </w:rPr>
              <w:t xml:space="preserve"> </w:t>
            </w:r>
            <w:r w:rsidRPr="00A270F0">
              <w:rPr>
                <w:color w:val="000000" w:themeColor="text1"/>
              </w:rPr>
              <w:t>izvirza atbilstošu nosacījumu papildināt/ precizēt projektu</w:t>
            </w:r>
            <w:r w:rsidR="00D621F5">
              <w:rPr>
                <w:color w:val="000000" w:themeColor="text1"/>
              </w:rPr>
              <w:t xml:space="preserve"> vai pieprasīt papildu informāciju</w:t>
            </w:r>
            <w:r w:rsidRPr="00A270F0">
              <w:rPr>
                <w:color w:val="000000" w:themeColor="text1"/>
              </w:rPr>
              <w:t>.</w:t>
            </w:r>
          </w:p>
          <w:p w14:paraId="0A35CA49" w14:textId="77777777" w:rsidR="00946AA5" w:rsidRPr="00A270F0" w:rsidRDefault="00946AA5" w:rsidP="00887D88">
            <w:pPr>
              <w:ind w:firstLine="0"/>
              <w:rPr>
                <w:color w:val="000000" w:themeColor="text1"/>
                <w:szCs w:val="24"/>
              </w:rPr>
            </w:pPr>
          </w:p>
        </w:tc>
        <w:tc>
          <w:tcPr>
            <w:tcW w:w="5093" w:type="dxa"/>
          </w:tcPr>
          <w:p w14:paraId="4C9DFE21" w14:textId="77777777" w:rsidR="00946AA5" w:rsidRPr="00D36437" w:rsidRDefault="00946AA5" w:rsidP="00F24EDA">
            <w:pPr>
              <w:ind w:firstLine="0"/>
              <w:rPr>
                <w:rFonts w:cs="Times New Roman"/>
                <w:szCs w:val="24"/>
                <w:highlight w:val="yellow"/>
              </w:rPr>
            </w:pPr>
          </w:p>
        </w:tc>
      </w:tr>
      <w:tr w:rsidR="00EE0EBB" w:rsidRPr="00A270F0" w14:paraId="35F16E5E" w14:textId="77777777" w:rsidTr="00887D88">
        <w:tc>
          <w:tcPr>
            <w:tcW w:w="704" w:type="dxa"/>
          </w:tcPr>
          <w:p w14:paraId="70372550" w14:textId="2FCD6E79" w:rsidR="00EE0EBB" w:rsidRDefault="00EE0EBB" w:rsidP="00887D88">
            <w:pPr>
              <w:ind w:firstLine="0"/>
              <w:rPr>
                <w:rFonts w:cs="Times New Roman"/>
                <w:szCs w:val="24"/>
              </w:rPr>
            </w:pPr>
            <w:r>
              <w:rPr>
                <w:rFonts w:cs="Times New Roman"/>
                <w:szCs w:val="24"/>
              </w:rPr>
              <w:t>4.</w:t>
            </w:r>
          </w:p>
        </w:tc>
        <w:tc>
          <w:tcPr>
            <w:tcW w:w="2845" w:type="dxa"/>
          </w:tcPr>
          <w:p w14:paraId="0E9F5731" w14:textId="31260A43" w:rsidR="00EE0EBB" w:rsidRDefault="00375DD0" w:rsidP="00DA7B5C">
            <w:pPr>
              <w:ind w:firstLine="0"/>
              <w:rPr>
                <w:szCs w:val="24"/>
              </w:rPr>
            </w:pPr>
            <w:r>
              <w:rPr>
                <w:szCs w:val="24"/>
              </w:rPr>
              <w:t>S</w:t>
            </w:r>
            <w:r w:rsidRPr="00375DD0">
              <w:rPr>
                <w:szCs w:val="24"/>
              </w:rPr>
              <w:t xml:space="preserve">askaņā ar Valsts ieņēmumu dienesta administrēto nodokļu (nodevu) parādnieku datubāzē pieejamo informāciju finansējuma saņēmējam nav nodokļu vai nodevu parādu, kas kopsummā pārsniedz 150 </w:t>
            </w:r>
            <w:r w:rsidRPr="00C610F9">
              <w:rPr>
                <w:i/>
                <w:iCs/>
                <w:szCs w:val="24"/>
              </w:rPr>
              <w:t>euro</w:t>
            </w:r>
            <w:r w:rsidRPr="00375DD0">
              <w:rPr>
                <w:szCs w:val="24"/>
              </w:rPr>
              <w:t>, izņemot nodokļu maksājumus, kuru maksāšanas termiņš saskaņā ar likuma Par nodokļiem un nodevām 24.panta pirmo, 1.3 un 1.7 daļu ir pagarināts, sadalīts termiņos, atlikts vai atkārtoti sadalīts termiņos.</w:t>
            </w:r>
          </w:p>
        </w:tc>
        <w:tc>
          <w:tcPr>
            <w:tcW w:w="5954" w:type="dxa"/>
          </w:tcPr>
          <w:p w14:paraId="59EF4F17" w14:textId="77777777" w:rsidR="00375DD0" w:rsidRPr="005A0DB1" w:rsidRDefault="00375DD0" w:rsidP="00375DD0">
            <w:pPr>
              <w:ind w:firstLine="0"/>
            </w:pPr>
            <w:r w:rsidRPr="005A0DB1">
              <w:t>Kritērija vērtēšanā izmanto Valsts ieņēmumu dienesta administrēto nodokļu un nodevu parādnieku datu bāzi (</w:t>
            </w:r>
            <w:hyperlink r:id="rId11" w:history="1">
              <w:r w:rsidRPr="00372F27">
                <w:rPr>
                  <w:rStyle w:val="Hyperlink"/>
                </w:rPr>
                <w:t>http://www6.vid.gov.lv/NPAR</w:t>
              </w:r>
            </w:hyperlink>
            <w:r w:rsidRPr="005A0DB1">
              <w:t>).</w:t>
            </w:r>
          </w:p>
          <w:p w14:paraId="4CBA09C2" w14:textId="77777777" w:rsidR="00375DD0" w:rsidRPr="005A0DB1" w:rsidRDefault="00375DD0" w:rsidP="00375DD0">
            <w:pPr>
              <w:ind w:firstLine="0"/>
              <w:rPr>
                <w:rFonts w:cs="Times New Roman"/>
                <w:szCs w:val="24"/>
              </w:rPr>
            </w:pPr>
          </w:p>
          <w:p w14:paraId="1815409B" w14:textId="6F5CCF84" w:rsidR="00375DD0" w:rsidRPr="005A0DB1" w:rsidRDefault="00375DD0" w:rsidP="00375DD0">
            <w:pPr>
              <w:ind w:firstLine="0"/>
              <w:rPr>
                <w:szCs w:val="24"/>
              </w:rPr>
            </w:pPr>
            <w:r w:rsidRPr="005A0DB1">
              <w:rPr>
                <w:rFonts w:cs="Times New Roman"/>
                <w:szCs w:val="24"/>
              </w:rPr>
              <w:t xml:space="preserve">Vērtējums </w:t>
            </w:r>
            <w:r w:rsidRPr="005A0DB1">
              <w:rPr>
                <w:rFonts w:cs="Times New Roman"/>
                <w:b/>
                <w:bCs/>
                <w:szCs w:val="24"/>
              </w:rPr>
              <w:t xml:space="preserve">“atbilst” - </w:t>
            </w:r>
            <w:r w:rsidRPr="005A0DB1">
              <w:rPr>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finansējuma saņēmējam  nav VID administrēto nodokļu parādu, tajā skaitā valsts sociālās apdrošināšanas obligāto iemaksu parādu (turpmāk – nodokļu parādi), kas kopsummā pārsniedz 150 </w:t>
            </w:r>
            <w:r w:rsidRPr="005A0DB1">
              <w:rPr>
                <w:i/>
                <w:iCs/>
                <w:szCs w:val="24"/>
              </w:rPr>
              <w:t>euro</w:t>
            </w:r>
            <w:r w:rsidRPr="005A0DB1">
              <w:rPr>
                <w:szCs w:val="24"/>
              </w:rPr>
              <w:t>.</w:t>
            </w:r>
          </w:p>
          <w:p w14:paraId="025C27B8" w14:textId="77777777" w:rsidR="00375DD0" w:rsidRPr="00C610F9" w:rsidRDefault="00375DD0" w:rsidP="00375DD0">
            <w:pPr>
              <w:ind w:firstLine="0"/>
              <w:rPr>
                <w:rFonts w:cs="Times New Roman"/>
                <w:i/>
                <w:iCs/>
                <w:szCs w:val="24"/>
                <w:shd w:val="clear" w:color="auto" w:fill="FFFFFF"/>
              </w:rPr>
            </w:pPr>
            <w:r w:rsidRPr="00C610F9">
              <w:rPr>
                <w:i/>
                <w:iCs/>
                <w:szCs w:val="24"/>
              </w:rPr>
              <w:t>Ja atkārtotas pārbaudes rezultātā konstatē nodokļu parādu, tiek pieņemts lēmums par projekta iesnieguma noraidīšanu, to pamatojot ar neatbilstību šim kritērijam, pat gadījumā, ja sākotnējā novērtēšanā projekta iesniegums šajā kritērijā novērtēts ar “atbilst”.</w:t>
            </w:r>
          </w:p>
          <w:p w14:paraId="246C742B" w14:textId="77777777" w:rsidR="00375DD0" w:rsidRPr="005A0DB1" w:rsidRDefault="00375DD0" w:rsidP="00375DD0">
            <w:pPr>
              <w:ind w:firstLine="0"/>
              <w:rPr>
                <w:rFonts w:cs="Times New Roman"/>
                <w:szCs w:val="24"/>
                <w:shd w:val="clear" w:color="auto" w:fill="FFFFFF"/>
              </w:rPr>
            </w:pPr>
          </w:p>
          <w:p w14:paraId="6FB1638C" w14:textId="0F82D9E5" w:rsidR="00375DD0" w:rsidRPr="005A0DB1" w:rsidRDefault="00375DD0" w:rsidP="00375DD0">
            <w:pPr>
              <w:ind w:firstLine="0"/>
              <w:rPr>
                <w:rFonts w:cs="Times New Roman"/>
                <w:szCs w:val="24"/>
              </w:rPr>
            </w:pPr>
            <w:r w:rsidRPr="005A0DB1">
              <w:rPr>
                <w:rFonts w:cs="Times New Roman"/>
                <w:szCs w:val="24"/>
              </w:rPr>
              <w:t xml:space="preserve">Vērtējums </w:t>
            </w:r>
            <w:r w:rsidRPr="005A0DB1">
              <w:rPr>
                <w:rFonts w:cs="Times New Roman"/>
                <w:b/>
                <w:bCs/>
                <w:szCs w:val="24"/>
              </w:rPr>
              <w:t>“novēršami trūkumi”</w:t>
            </w:r>
            <w:r w:rsidRPr="005A0DB1">
              <w:rPr>
                <w:rFonts w:cs="Times New Roman"/>
                <w:szCs w:val="24"/>
              </w:rPr>
              <w:t xml:space="preserve"> – </w:t>
            </w:r>
            <w:r w:rsidRPr="005A0DB1">
              <w:t xml:space="preserve"> </w:t>
            </w:r>
            <w:r w:rsidRPr="005A0DB1">
              <w:rPr>
                <w:rFonts w:cs="Times New Roman"/>
                <w:szCs w:val="24"/>
              </w:rPr>
              <w:tab/>
              <w:t>saskaņā ar VID parādnieku datu bāzē pieejamo informāciju projekta iesnieguma iesniegšanas dienā (t.i., informāciju, kas publicēta divas darba dienas pēc projekta iesnieguma iesniegšanas CFLA) finansējuma saņēmējam:</w:t>
            </w:r>
          </w:p>
          <w:p w14:paraId="0344DF1C" w14:textId="77777777" w:rsidR="00375DD0" w:rsidRPr="005A0DB1" w:rsidRDefault="00375DD0" w:rsidP="00375DD0">
            <w:pPr>
              <w:pStyle w:val="ListParagraph"/>
              <w:numPr>
                <w:ilvl w:val="0"/>
                <w:numId w:val="42"/>
              </w:numPr>
            </w:pPr>
            <w:r w:rsidRPr="005A0DB1">
              <w:lastRenderedPageBreak/>
              <w:t xml:space="preserve">ir nodokļu parādi, kas kopsummā pārsniedz 150 </w:t>
            </w:r>
            <w:r w:rsidRPr="00C610F9">
              <w:rPr>
                <w:i/>
                <w:iCs/>
              </w:rPr>
              <w:t>euro</w:t>
            </w:r>
            <w:r w:rsidRPr="005A0DB1">
              <w:t xml:space="preserve"> -  uzdot</w:t>
            </w:r>
            <w:r>
              <w:t xml:space="preserve"> finansējuma saņēmējam</w:t>
            </w:r>
            <w:r w:rsidRPr="005A0DB1">
              <w:t xml:space="preserve"> veikt visu nodokļu parādu nomaksu, nodrošinot, ka projekta iesnieguma precizējumu iesniegšanas dienā nav nodokļu parādu, kas kopsummā pārsniedz 150 </w:t>
            </w:r>
            <w:r w:rsidRPr="005A0DB1">
              <w:rPr>
                <w:i/>
                <w:iCs/>
              </w:rPr>
              <w:t>euro;</w:t>
            </w:r>
          </w:p>
          <w:p w14:paraId="042FE25C" w14:textId="77777777" w:rsidR="00375DD0" w:rsidRPr="005A0DB1" w:rsidRDefault="00375DD0" w:rsidP="00375DD0">
            <w:pPr>
              <w:pStyle w:val="ListParagraph"/>
              <w:numPr>
                <w:ilvl w:val="0"/>
                <w:numId w:val="42"/>
              </w:numPr>
            </w:pPr>
            <w:r w:rsidRPr="005A0DB1">
              <w:t xml:space="preserve">nav nodokļu parādu, kas kopsummā pārsniedz 150 </w:t>
            </w:r>
            <w:r w:rsidRPr="00C610F9">
              <w:rPr>
                <w:i/>
                <w:iCs/>
              </w:rPr>
              <w:t>euro</w:t>
            </w:r>
            <w:r w:rsidRPr="005A0DB1">
              <w:t xml:space="preserve">, bet vienlaikus ir piezīme, ka precīzu informāciju par nodokļu nomaksas stāvokli VID nevar sniegt, jo nodokļu maksātājs nav iesniedzis visas deklarācijas, kuras šo stāvokli uz pārbaudes datumu var ietekmēt </w:t>
            </w:r>
            <w:r>
              <w:t>–</w:t>
            </w:r>
            <w:r w:rsidRPr="005A0DB1">
              <w:t xml:space="preserve"> </w:t>
            </w:r>
            <w:r>
              <w:t xml:space="preserve">uzdot finansējuma saņēmējam </w:t>
            </w:r>
            <w:r w:rsidRPr="005A0DB1">
              <w:t>iesniegt VID visas nodokļu deklarācijas, kas bija jāiesniedz līdz pārbaudes datumam, papildus iesniedzot aktualizētu izziņu par faktisko nodokļu nomaksas stāvokli pārbaudes datumā.</w:t>
            </w:r>
          </w:p>
          <w:p w14:paraId="233E6342" w14:textId="77777777" w:rsidR="00EE0EBB" w:rsidRDefault="00EE0EBB" w:rsidP="00946AA5">
            <w:pPr>
              <w:ind w:firstLine="0"/>
              <w:rPr>
                <w:rFonts w:cs="Times New Roman"/>
                <w:szCs w:val="24"/>
              </w:rPr>
            </w:pPr>
          </w:p>
          <w:p w14:paraId="4A7495F8" w14:textId="5A0C666A" w:rsidR="00375DD0" w:rsidRDefault="00375DD0" w:rsidP="00946AA5">
            <w:pPr>
              <w:ind w:firstLine="0"/>
              <w:rPr>
                <w:rFonts w:cs="Times New Roman"/>
                <w:szCs w:val="24"/>
                <w:shd w:val="clear" w:color="auto" w:fill="FFFFFF"/>
              </w:rPr>
            </w:pPr>
            <w:r w:rsidRPr="005A0DB1">
              <w:rPr>
                <w:rFonts w:cs="Times New Roman"/>
                <w:szCs w:val="24"/>
              </w:rPr>
              <w:t xml:space="preserve">Vērtējums </w:t>
            </w:r>
            <w:r w:rsidRPr="005A0DB1">
              <w:rPr>
                <w:rFonts w:cs="Times New Roman"/>
                <w:b/>
                <w:bCs/>
                <w:szCs w:val="24"/>
              </w:rPr>
              <w:t xml:space="preserve">“neatbilst” </w:t>
            </w:r>
            <w:r w:rsidRPr="005A0DB1">
              <w:rPr>
                <w:rFonts w:cs="Times New Roman"/>
                <w:szCs w:val="24"/>
              </w:rPr>
              <w:t xml:space="preserve">– </w:t>
            </w:r>
            <w:r w:rsidRPr="005A0DB1">
              <w:t xml:space="preserve">  </w:t>
            </w:r>
            <w:r w:rsidRPr="005A0DB1">
              <w:rPr>
                <w:rFonts w:cs="Times New Roman"/>
                <w:szCs w:val="24"/>
                <w:shd w:val="clear" w:color="auto" w:fill="FFFFFF"/>
              </w:rPr>
              <w:t xml:space="preserve">ja saskaņā ar VID parādnieku datu bāzē pieejamo informāciju atkārtoti precizētā projekta iesnieguma iesniegšanas dienā (t.i., informāciju, kas publicēta divas darba dienas pēc atkārtoti precizētā projekta iesnieguma iesniegšanas), ir konstatējams, ka finansējuma saņēmējs nav veicis nodokļu parādu nomaksu un finansējuma saņēmējam ir nodokļu parādi, kas kopsummā pārsniedz 150 </w:t>
            </w:r>
            <w:r w:rsidRPr="00C610F9">
              <w:rPr>
                <w:rFonts w:cs="Times New Roman"/>
                <w:i/>
                <w:iCs/>
                <w:szCs w:val="24"/>
                <w:shd w:val="clear" w:color="auto" w:fill="FFFFFF"/>
              </w:rPr>
              <w:t>euro</w:t>
            </w:r>
            <w:r w:rsidRPr="005A0DB1">
              <w:rPr>
                <w:rFonts w:cs="Times New Roman"/>
                <w:szCs w:val="24"/>
                <w:shd w:val="clear" w:color="auto" w:fill="FFFFFF"/>
              </w:rPr>
              <w:t>.</w:t>
            </w:r>
          </w:p>
          <w:p w14:paraId="11E0A049" w14:textId="698CD33C" w:rsidR="006F22F3" w:rsidRPr="00A270F0" w:rsidRDefault="006F22F3" w:rsidP="00946AA5">
            <w:pPr>
              <w:ind w:firstLine="0"/>
              <w:rPr>
                <w:rFonts w:cs="Times New Roman"/>
                <w:szCs w:val="24"/>
              </w:rPr>
            </w:pPr>
          </w:p>
        </w:tc>
        <w:tc>
          <w:tcPr>
            <w:tcW w:w="5093" w:type="dxa"/>
          </w:tcPr>
          <w:p w14:paraId="7171CDCF" w14:textId="77777777" w:rsidR="00EE0EBB" w:rsidRPr="00D36437" w:rsidRDefault="00EE0EBB" w:rsidP="00F24EDA">
            <w:pPr>
              <w:ind w:firstLine="0"/>
              <w:rPr>
                <w:rFonts w:cs="Times New Roman"/>
                <w:szCs w:val="24"/>
                <w:highlight w:val="yellow"/>
              </w:rPr>
            </w:pPr>
          </w:p>
        </w:tc>
      </w:tr>
      <w:tr w:rsidR="00EE0EBB" w:rsidRPr="00A270F0" w14:paraId="5A8E0B04" w14:textId="77777777" w:rsidTr="00884560">
        <w:tc>
          <w:tcPr>
            <w:tcW w:w="14596" w:type="dxa"/>
            <w:gridSpan w:val="4"/>
            <w:shd w:val="clear" w:color="auto" w:fill="D9D9D9" w:themeFill="background1" w:themeFillShade="D9"/>
          </w:tcPr>
          <w:p w14:paraId="7BBE9CB0" w14:textId="189C4406" w:rsidR="00EE0EBB" w:rsidRPr="00A270F0" w:rsidRDefault="00EE0EBB" w:rsidP="00EE0EBB">
            <w:pPr>
              <w:spacing w:line="360" w:lineRule="auto"/>
              <w:ind w:firstLine="0"/>
              <w:rPr>
                <w:rFonts w:cs="Times New Roman"/>
                <w:szCs w:val="24"/>
              </w:rPr>
            </w:pPr>
            <w:r w:rsidRPr="00A270F0">
              <w:rPr>
                <w:rFonts w:cs="Times New Roman"/>
                <w:szCs w:val="24"/>
              </w:rPr>
              <w:t xml:space="preserve">Atbilstība </w:t>
            </w:r>
            <w:r w:rsidR="0027103A" w:rsidRPr="0027103A">
              <w:rPr>
                <w:rFonts w:cs="Times New Roman"/>
                <w:szCs w:val="24"/>
              </w:rPr>
              <w:t>09.01.2024. informatīv</w:t>
            </w:r>
            <w:r w:rsidR="0027103A">
              <w:rPr>
                <w:rFonts w:cs="Times New Roman"/>
                <w:szCs w:val="24"/>
              </w:rPr>
              <w:t>ajam</w:t>
            </w:r>
            <w:r w:rsidR="0067661E">
              <w:rPr>
                <w:rFonts w:cs="Times New Roman"/>
                <w:szCs w:val="24"/>
              </w:rPr>
              <w:t xml:space="preserve"> ziņojumam</w:t>
            </w:r>
            <w:r w:rsidR="0027103A" w:rsidRPr="0027103A">
              <w:rPr>
                <w:rFonts w:cs="Times New Roman"/>
                <w:szCs w:val="24"/>
              </w:rPr>
              <w:t xml:space="preserve"> </w:t>
            </w:r>
            <w:r w:rsidR="0067661E">
              <w:rPr>
                <w:rFonts w:cs="Times New Roman"/>
                <w:szCs w:val="24"/>
              </w:rPr>
              <w:t>un 05.11.2024. informatīvajam</w:t>
            </w:r>
            <w:r>
              <w:rPr>
                <w:rFonts w:cs="Times New Roman"/>
                <w:szCs w:val="24"/>
              </w:rPr>
              <w:t xml:space="preserve"> ziņojumam</w:t>
            </w:r>
          </w:p>
        </w:tc>
      </w:tr>
      <w:tr w:rsidR="00F9008D" w:rsidRPr="00A270F0" w14:paraId="26F4DC70" w14:textId="77777777" w:rsidTr="00887D88">
        <w:tc>
          <w:tcPr>
            <w:tcW w:w="704" w:type="dxa"/>
          </w:tcPr>
          <w:p w14:paraId="1A71EDE3" w14:textId="3F09BC78" w:rsidR="00F9008D" w:rsidRPr="00A270F0" w:rsidRDefault="00F9008D" w:rsidP="00887D88">
            <w:pPr>
              <w:ind w:firstLine="0"/>
              <w:rPr>
                <w:rFonts w:cs="Times New Roman"/>
                <w:szCs w:val="24"/>
              </w:rPr>
            </w:pPr>
            <w:r w:rsidRPr="006939F6">
              <w:rPr>
                <w:rFonts w:cs="Times New Roman"/>
                <w:szCs w:val="24"/>
              </w:rPr>
              <w:t>5.</w:t>
            </w:r>
          </w:p>
        </w:tc>
        <w:tc>
          <w:tcPr>
            <w:tcW w:w="2845" w:type="dxa"/>
          </w:tcPr>
          <w:p w14:paraId="49C6FC6B" w14:textId="013863C8" w:rsidR="004257F0" w:rsidRPr="004257F0" w:rsidRDefault="00F9008D" w:rsidP="004257F0">
            <w:pPr>
              <w:ind w:firstLine="0"/>
              <w:rPr>
                <w:szCs w:val="24"/>
              </w:rPr>
            </w:pPr>
            <w:r w:rsidRPr="00A270F0">
              <w:rPr>
                <w:szCs w:val="24"/>
              </w:rPr>
              <w:t>Projekts ir vērsts uz</w:t>
            </w:r>
            <w:r w:rsidR="004257F0">
              <w:rPr>
                <w:szCs w:val="24"/>
              </w:rPr>
              <w:t xml:space="preserve"> </w:t>
            </w:r>
            <w:r w:rsidRPr="004257F0">
              <w:t xml:space="preserve"> </w:t>
            </w:r>
            <w:r w:rsidR="00375DD0">
              <w:t xml:space="preserve">nacionālā </w:t>
            </w:r>
            <w:r w:rsidR="00946AA5" w:rsidRPr="004257F0">
              <w:t>rādītāj</w:t>
            </w:r>
            <w:r w:rsidR="00DA7B5C">
              <w:t>a</w:t>
            </w:r>
            <w:r w:rsidR="00946AA5" w:rsidRPr="004257F0">
              <w:t xml:space="preserve"> sasniegšanu</w:t>
            </w:r>
            <w:r w:rsidR="00375DD0">
              <w:t xml:space="preserve">: </w:t>
            </w:r>
            <w:r w:rsidR="00375DD0" w:rsidRPr="00375DD0">
              <w:t xml:space="preserve">“Iestāžu skaits, ar uzlabotu </w:t>
            </w:r>
            <w:r w:rsidR="00375DD0" w:rsidRPr="00375DD0">
              <w:lastRenderedPageBreak/>
              <w:t>infrastruktūru simulāciju pieejas ieviešanai medicīnas izglītībā”, kurš sasniedzams ne vēlāk kā līdz 2026.gada 3</w:t>
            </w:r>
            <w:r w:rsidR="00C610F9">
              <w:t>0</w:t>
            </w:r>
            <w:r w:rsidR="00375DD0" w:rsidRPr="00375DD0">
              <w:t>.</w:t>
            </w:r>
            <w:r w:rsidR="00C610F9">
              <w:t>jūnijam.</w:t>
            </w:r>
          </w:p>
          <w:p w14:paraId="1FBFEA1E" w14:textId="238BEB1A" w:rsidR="00F9008D" w:rsidRPr="004257F0" w:rsidRDefault="004257F0" w:rsidP="004257F0">
            <w:pPr>
              <w:ind w:firstLine="0"/>
              <w:rPr>
                <w:rFonts w:cs="Times New Roman"/>
                <w:shd w:val="clear" w:color="auto" w:fill="FFFFFF"/>
              </w:rPr>
            </w:pPr>
            <w:r w:rsidRPr="004257F0">
              <w:t xml:space="preserve"> </w:t>
            </w:r>
          </w:p>
        </w:tc>
        <w:tc>
          <w:tcPr>
            <w:tcW w:w="5954" w:type="dxa"/>
          </w:tcPr>
          <w:p w14:paraId="78AE93C2" w14:textId="5690ACB4" w:rsidR="00E436D9" w:rsidRPr="00E71345" w:rsidRDefault="00F9008D" w:rsidP="00E71345">
            <w:pPr>
              <w:ind w:firstLine="0"/>
              <w:rPr>
                <w:color w:val="000000" w:themeColor="text1"/>
                <w:szCs w:val="24"/>
              </w:rPr>
            </w:pPr>
            <w:r w:rsidRPr="00A270F0">
              <w:rPr>
                <w:color w:val="000000" w:themeColor="text1"/>
                <w:szCs w:val="24"/>
              </w:rPr>
              <w:lastRenderedPageBreak/>
              <w:t xml:space="preserve">Vērtējums </w:t>
            </w:r>
            <w:r w:rsidRPr="00A270F0">
              <w:rPr>
                <w:b/>
                <w:bCs/>
                <w:color w:val="000000" w:themeColor="text1"/>
                <w:szCs w:val="24"/>
              </w:rPr>
              <w:t>“atbilst”</w:t>
            </w:r>
            <w:r w:rsidRPr="00A270F0">
              <w:rPr>
                <w:color w:val="000000" w:themeColor="text1"/>
                <w:szCs w:val="24"/>
              </w:rPr>
              <w:t xml:space="preserve"> – projekta iesniegumā norādīts </w:t>
            </w:r>
            <w:r w:rsidR="001207B5">
              <w:rPr>
                <w:color w:val="000000" w:themeColor="text1"/>
                <w:szCs w:val="24"/>
              </w:rPr>
              <w:t xml:space="preserve">rādītājs: </w:t>
            </w:r>
            <w:r w:rsidR="004F383F" w:rsidRPr="004F383F">
              <w:rPr>
                <w:iCs/>
              </w:rPr>
              <w:t>“Iestāžu skaits, ar uzlabotu infrastruktūru simulāciju pieejas ieviešanai medicīnas izglītībā”, kur</w:t>
            </w:r>
            <w:r w:rsidR="00E71345">
              <w:rPr>
                <w:iCs/>
              </w:rPr>
              <w:t>am</w:t>
            </w:r>
            <w:r w:rsidR="004F383F" w:rsidRPr="004F383F">
              <w:rPr>
                <w:iCs/>
              </w:rPr>
              <w:t xml:space="preserve"> sasnie</w:t>
            </w:r>
            <w:r w:rsidR="00E71345">
              <w:rPr>
                <w:iCs/>
              </w:rPr>
              <w:t>gšanas termiņš ir norādīts</w:t>
            </w:r>
            <w:r w:rsidR="004F383F" w:rsidRPr="004F383F">
              <w:rPr>
                <w:iCs/>
              </w:rPr>
              <w:t xml:space="preserve"> ne vēlāk kā līdz 2026.gada 3</w:t>
            </w:r>
            <w:r w:rsidR="00F77483">
              <w:rPr>
                <w:iCs/>
              </w:rPr>
              <w:t>0</w:t>
            </w:r>
            <w:r w:rsidR="004F383F" w:rsidRPr="004F383F">
              <w:rPr>
                <w:iCs/>
              </w:rPr>
              <w:t>.</w:t>
            </w:r>
            <w:r w:rsidR="00F77483">
              <w:rPr>
                <w:iCs/>
              </w:rPr>
              <w:t>jūnijam</w:t>
            </w:r>
            <w:r w:rsidR="004F383F" w:rsidRPr="004F383F">
              <w:rPr>
                <w:iCs/>
              </w:rPr>
              <w:t>.</w:t>
            </w:r>
          </w:p>
          <w:p w14:paraId="0BAAC9BB" w14:textId="77777777" w:rsidR="00E71345" w:rsidRPr="001207B5" w:rsidRDefault="00E71345" w:rsidP="001207B5">
            <w:pPr>
              <w:spacing w:before="120"/>
              <w:ind w:firstLine="0"/>
              <w:rPr>
                <w:iCs/>
              </w:rPr>
            </w:pPr>
          </w:p>
          <w:p w14:paraId="4066B3B1"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F0870CE" w14:textId="77777777" w:rsidR="00F9008D" w:rsidRPr="00A270F0" w:rsidRDefault="00F9008D" w:rsidP="00887D88">
            <w:pPr>
              <w:ind w:firstLine="0"/>
              <w:rPr>
                <w:rFonts w:cs="Times New Roman"/>
                <w:szCs w:val="24"/>
              </w:rPr>
            </w:pPr>
          </w:p>
          <w:p w14:paraId="41DC7111" w14:textId="77777777"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26B63D1" w14:textId="77777777" w:rsidR="00F9008D" w:rsidRDefault="00F9008D" w:rsidP="00887D88">
            <w:pPr>
              <w:ind w:firstLine="0"/>
              <w:rPr>
                <w:rFonts w:cs="Times New Roman"/>
                <w:color w:val="000000" w:themeColor="text1"/>
                <w:szCs w:val="24"/>
              </w:rPr>
            </w:pPr>
          </w:p>
          <w:p w14:paraId="208553C5" w14:textId="377AAC54" w:rsidR="00F9008D" w:rsidRPr="000F2112" w:rsidRDefault="00F9008D" w:rsidP="00887D88">
            <w:pPr>
              <w:ind w:firstLine="0"/>
              <w:rPr>
                <w:color w:val="000000" w:themeColor="text1"/>
              </w:rPr>
            </w:pPr>
          </w:p>
        </w:tc>
        <w:tc>
          <w:tcPr>
            <w:tcW w:w="5093" w:type="dxa"/>
          </w:tcPr>
          <w:p w14:paraId="35EB825C" w14:textId="014BFC24" w:rsidR="00F9008D" w:rsidRPr="00D36437" w:rsidRDefault="00F9008D" w:rsidP="00F24EDA">
            <w:pPr>
              <w:ind w:firstLine="0"/>
              <w:rPr>
                <w:rFonts w:cs="Times New Roman"/>
                <w:szCs w:val="24"/>
                <w:highlight w:val="yellow"/>
              </w:rPr>
            </w:pPr>
          </w:p>
        </w:tc>
      </w:tr>
      <w:tr w:rsidR="00F9008D" w:rsidRPr="00A270F0" w14:paraId="0127DBA7" w14:textId="77777777" w:rsidTr="00887D88">
        <w:tc>
          <w:tcPr>
            <w:tcW w:w="704" w:type="dxa"/>
          </w:tcPr>
          <w:p w14:paraId="397082CA" w14:textId="3E626AA4" w:rsidR="00F9008D" w:rsidRDefault="00D35B05" w:rsidP="00887D88">
            <w:pPr>
              <w:ind w:firstLine="0"/>
              <w:rPr>
                <w:rFonts w:cs="Times New Roman"/>
                <w:szCs w:val="24"/>
              </w:rPr>
            </w:pPr>
            <w:r w:rsidRPr="006939F6">
              <w:rPr>
                <w:rFonts w:cs="Times New Roman"/>
                <w:szCs w:val="24"/>
              </w:rPr>
              <w:t>6.</w:t>
            </w:r>
          </w:p>
        </w:tc>
        <w:tc>
          <w:tcPr>
            <w:tcW w:w="2845" w:type="dxa"/>
          </w:tcPr>
          <w:p w14:paraId="1ED438DE" w14:textId="36947294" w:rsidR="00E71345" w:rsidRDefault="00F9008D" w:rsidP="00887D88">
            <w:pPr>
              <w:ind w:firstLine="0"/>
              <w:rPr>
                <w:szCs w:val="24"/>
              </w:rPr>
            </w:pPr>
            <w:r>
              <w:rPr>
                <w:szCs w:val="24"/>
              </w:rPr>
              <w:t xml:space="preserve">Projektā plānotais </w:t>
            </w:r>
            <w:r w:rsidRPr="00163CFD">
              <w:rPr>
                <w:szCs w:val="24"/>
              </w:rPr>
              <w:t>kopējais attiecināmais finansējums</w:t>
            </w:r>
            <w:r>
              <w:rPr>
                <w:szCs w:val="24"/>
              </w:rPr>
              <w:t xml:space="preserve"> </w:t>
            </w:r>
            <w:r w:rsidRPr="00163CFD">
              <w:rPr>
                <w:szCs w:val="24"/>
              </w:rPr>
              <w:t>ir</w:t>
            </w:r>
            <w:r>
              <w:rPr>
                <w:szCs w:val="24"/>
              </w:rPr>
              <w:t xml:space="preserve"> </w:t>
            </w:r>
            <w:r w:rsidR="00E71345">
              <w:t xml:space="preserve"> saskaņā ar  </w:t>
            </w:r>
            <w:r w:rsidR="0027103A">
              <w:rPr>
                <w:szCs w:val="24"/>
              </w:rPr>
              <w:t>05.11.2024. i</w:t>
            </w:r>
            <w:r w:rsidR="00E71345">
              <w:rPr>
                <w:szCs w:val="24"/>
              </w:rPr>
              <w:t xml:space="preserve">nformatīvā ziņojuma </w:t>
            </w:r>
            <w:r w:rsidR="0027103A">
              <w:rPr>
                <w:szCs w:val="24"/>
              </w:rPr>
              <w:t>2</w:t>
            </w:r>
            <w:r w:rsidR="00E71345">
              <w:rPr>
                <w:szCs w:val="24"/>
              </w:rPr>
              <w:t>.2. punktu, t.i.:</w:t>
            </w:r>
            <w:r w:rsidRPr="00163CFD">
              <w:rPr>
                <w:szCs w:val="24"/>
              </w:rPr>
              <w:t xml:space="preserve"> </w:t>
            </w:r>
          </w:p>
          <w:p w14:paraId="65884626" w14:textId="4672289A" w:rsidR="00A91712" w:rsidRPr="00A91712" w:rsidRDefault="00A91712" w:rsidP="009969DA">
            <w:pPr>
              <w:pStyle w:val="ListParagraph"/>
              <w:numPr>
                <w:ilvl w:val="0"/>
                <w:numId w:val="43"/>
              </w:numPr>
              <w:ind w:left="184" w:hanging="184"/>
            </w:pPr>
            <w:r>
              <w:t>reģionālā slimnīca</w:t>
            </w:r>
          </w:p>
          <w:p w14:paraId="39B5AE31" w14:textId="2E6AFEA2" w:rsidR="00F9008D" w:rsidRPr="00E3377D" w:rsidRDefault="00A91712" w:rsidP="009969DA">
            <w:pPr>
              <w:ind w:left="184" w:firstLine="0"/>
              <w:rPr>
                <w:szCs w:val="24"/>
              </w:rPr>
            </w:pPr>
            <w:r>
              <w:rPr>
                <w:szCs w:val="24"/>
              </w:rPr>
              <w:t>193 600</w:t>
            </w:r>
            <w:r w:rsidR="00F9008D" w:rsidRPr="00163CFD">
              <w:rPr>
                <w:szCs w:val="24"/>
              </w:rPr>
              <w:t xml:space="preserve">,00 </w:t>
            </w:r>
            <w:r w:rsidR="00F9008D" w:rsidRPr="00307461">
              <w:rPr>
                <w:i/>
                <w:iCs/>
                <w:szCs w:val="24"/>
              </w:rPr>
              <w:t>euro</w:t>
            </w:r>
            <w:r w:rsidR="00F9008D" w:rsidRPr="00163CFD">
              <w:rPr>
                <w:szCs w:val="24"/>
              </w:rPr>
              <w:t xml:space="preserve">, tai skaitā Atveseļošanas fonda finansējums ir </w:t>
            </w:r>
            <w:r>
              <w:rPr>
                <w:szCs w:val="24"/>
              </w:rPr>
              <w:t>160 000</w:t>
            </w:r>
            <w:r w:rsidR="00F9008D" w:rsidRPr="00163CFD">
              <w:rPr>
                <w:szCs w:val="24"/>
              </w:rPr>
              <w:t xml:space="preserve">,00 </w:t>
            </w:r>
            <w:r w:rsidR="00F9008D" w:rsidRPr="00307461">
              <w:rPr>
                <w:i/>
                <w:iCs/>
                <w:szCs w:val="24"/>
              </w:rPr>
              <w:t>euro</w:t>
            </w:r>
            <w:r w:rsidR="00F9008D" w:rsidRPr="00163CFD">
              <w:rPr>
                <w:szCs w:val="24"/>
              </w:rPr>
              <w:t xml:space="preserve"> un nacionālais finansējums (valsts budžets līdzfinansējums) </w:t>
            </w:r>
            <w:r w:rsidR="006608D6">
              <w:rPr>
                <w:szCs w:val="24"/>
              </w:rPr>
              <w:t xml:space="preserve">PVN segšanai </w:t>
            </w:r>
            <w:r w:rsidR="00F9008D" w:rsidRPr="00163CFD">
              <w:rPr>
                <w:szCs w:val="24"/>
              </w:rPr>
              <w:t xml:space="preserve">ne vairāk kā </w:t>
            </w:r>
            <w:r>
              <w:rPr>
                <w:szCs w:val="24"/>
              </w:rPr>
              <w:t>33 600</w:t>
            </w:r>
            <w:r w:rsidR="00F9008D" w:rsidRPr="00163CFD">
              <w:rPr>
                <w:szCs w:val="24"/>
              </w:rPr>
              <w:t>,00 </w:t>
            </w:r>
            <w:r w:rsidR="00F9008D" w:rsidRPr="00307461">
              <w:rPr>
                <w:i/>
                <w:iCs/>
                <w:szCs w:val="24"/>
              </w:rPr>
              <w:t>euro</w:t>
            </w:r>
            <w:r w:rsidR="00E3377D">
              <w:rPr>
                <w:szCs w:val="24"/>
              </w:rPr>
              <w:t xml:space="preserve"> un</w:t>
            </w:r>
            <w:r w:rsidR="00E3377D">
              <w:t xml:space="preserve"> </w:t>
            </w:r>
            <w:r w:rsidR="00E3377D" w:rsidRPr="00E3377D">
              <w:rPr>
                <w:szCs w:val="24"/>
              </w:rPr>
              <w:t>privātā finansējuma apjoms ir atbilstoš</w:t>
            </w:r>
            <w:r w:rsidR="00080272">
              <w:rPr>
                <w:szCs w:val="24"/>
              </w:rPr>
              <w:t>s</w:t>
            </w:r>
            <w:r w:rsidR="00E3377D" w:rsidRPr="00E3377D">
              <w:rPr>
                <w:szCs w:val="24"/>
              </w:rPr>
              <w:t xml:space="preserve"> infrastruktūras izmantošanas proporcijai, ko aprēķina saskaņā ar </w:t>
            </w:r>
            <w:r w:rsidR="0067661E">
              <w:rPr>
                <w:szCs w:val="24"/>
              </w:rPr>
              <w:t xml:space="preserve">09.01.2024. </w:t>
            </w:r>
            <w:r w:rsidR="00080272">
              <w:rPr>
                <w:szCs w:val="24"/>
              </w:rPr>
              <w:t xml:space="preserve">Informatīvā ziņojuma </w:t>
            </w:r>
            <w:r w:rsidR="00E3377D" w:rsidRPr="00E3377D">
              <w:rPr>
                <w:szCs w:val="24"/>
              </w:rPr>
              <w:t xml:space="preserve"> </w:t>
            </w:r>
            <w:r w:rsidR="00080272">
              <w:rPr>
                <w:szCs w:val="24"/>
              </w:rPr>
              <w:t>7.25.</w:t>
            </w:r>
            <w:r w:rsidR="00E3377D" w:rsidRPr="00E3377D">
              <w:rPr>
                <w:szCs w:val="24"/>
              </w:rPr>
              <w:t xml:space="preserve"> punktu</w:t>
            </w:r>
            <w:r w:rsidR="00B07C45">
              <w:rPr>
                <w:szCs w:val="24"/>
              </w:rPr>
              <w:t>;</w:t>
            </w:r>
          </w:p>
          <w:p w14:paraId="2287D961" w14:textId="16C8E951" w:rsidR="00A91712" w:rsidRDefault="009969DA" w:rsidP="009969DA">
            <w:pPr>
              <w:pStyle w:val="ListParagraph"/>
              <w:numPr>
                <w:ilvl w:val="0"/>
                <w:numId w:val="43"/>
              </w:numPr>
              <w:ind w:left="184" w:hanging="184"/>
            </w:pPr>
            <w:r>
              <w:lastRenderedPageBreak/>
              <w:t>klīniskā universitātes slimnīca 596 933</w:t>
            </w:r>
            <w:r w:rsidRPr="009969DA">
              <w:t>,</w:t>
            </w:r>
            <w:r>
              <w:t xml:space="preserve">00 </w:t>
            </w:r>
            <w:r w:rsidRPr="00080272">
              <w:rPr>
                <w:i/>
                <w:iCs/>
              </w:rPr>
              <w:t>euro</w:t>
            </w:r>
            <w:r w:rsidRPr="009969DA">
              <w:t xml:space="preserve">, tai skaitā Atveseļošanas fonda finansējums ir </w:t>
            </w:r>
            <w:r>
              <w:t>493 333,00</w:t>
            </w:r>
            <w:r w:rsidRPr="009969DA">
              <w:t xml:space="preserve"> </w:t>
            </w:r>
            <w:r w:rsidRPr="00080272">
              <w:rPr>
                <w:i/>
                <w:iCs/>
              </w:rPr>
              <w:t>euro</w:t>
            </w:r>
            <w:r w:rsidRPr="009969DA">
              <w:t xml:space="preserve"> un nacionālais finansējums (valsts budžets līdzfinansējums) PVN segšanai ne vairāk kā </w:t>
            </w:r>
            <w:r>
              <w:t>103 600</w:t>
            </w:r>
            <w:r w:rsidRPr="009969DA">
              <w:t xml:space="preserve">,00 </w:t>
            </w:r>
            <w:r w:rsidRPr="00080272">
              <w:rPr>
                <w:i/>
                <w:iCs/>
              </w:rPr>
              <w:t>euro</w:t>
            </w:r>
            <w:r w:rsidR="00080272">
              <w:t xml:space="preserve">  </w:t>
            </w:r>
            <w:r w:rsidR="00080272" w:rsidRPr="00080272">
              <w:t>un privātā finansējuma apjoms ir atbilstošs infrastruktūras izmantošanas proporcijai, ko aprēķina saskaņā ar Informatīvā ziņojuma  7.25. punktu</w:t>
            </w:r>
            <w:r w:rsidR="00B07C45">
              <w:t>;</w:t>
            </w:r>
          </w:p>
          <w:p w14:paraId="1E9BC584" w14:textId="57E71F9F" w:rsidR="009969DA" w:rsidRDefault="004458B7" w:rsidP="009969DA">
            <w:pPr>
              <w:pStyle w:val="ListParagraph"/>
              <w:numPr>
                <w:ilvl w:val="0"/>
                <w:numId w:val="43"/>
              </w:numPr>
              <w:ind w:left="184" w:hanging="184"/>
            </w:pPr>
            <w:r>
              <w:t xml:space="preserve">RSU </w:t>
            </w:r>
            <w:r w:rsidRPr="004458B7">
              <w:t>MITC</w:t>
            </w:r>
            <w:r w:rsidR="009969DA">
              <w:t xml:space="preserve"> 484 000</w:t>
            </w:r>
            <w:r w:rsidR="009969DA" w:rsidRPr="009969DA">
              <w:t xml:space="preserve">,00 </w:t>
            </w:r>
            <w:r w:rsidR="009969DA" w:rsidRPr="00C610F9">
              <w:rPr>
                <w:i/>
                <w:iCs/>
              </w:rPr>
              <w:t>euro</w:t>
            </w:r>
            <w:r w:rsidR="009969DA" w:rsidRPr="009969DA">
              <w:t xml:space="preserve">, tai skaitā Atveseļošanas fonda finansējums ir </w:t>
            </w:r>
            <w:r w:rsidR="009969DA">
              <w:t>400 000</w:t>
            </w:r>
            <w:r w:rsidR="009969DA" w:rsidRPr="009969DA">
              <w:t xml:space="preserve">,00 </w:t>
            </w:r>
            <w:r w:rsidR="009969DA" w:rsidRPr="00C610F9">
              <w:rPr>
                <w:i/>
                <w:iCs/>
              </w:rPr>
              <w:t>euro</w:t>
            </w:r>
            <w:r w:rsidR="009969DA" w:rsidRPr="009969DA">
              <w:t xml:space="preserve"> un nacionālais finansējums (valsts budžets līdzfinansējums) PVN segšanai ne vairāk kā </w:t>
            </w:r>
            <w:r w:rsidR="009969DA">
              <w:t>84 000</w:t>
            </w:r>
            <w:r w:rsidR="009969DA" w:rsidRPr="009969DA">
              <w:t xml:space="preserve">,00 </w:t>
            </w:r>
            <w:r w:rsidR="009969DA" w:rsidRPr="00C610F9">
              <w:rPr>
                <w:i/>
                <w:iCs/>
              </w:rPr>
              <w:t>euro</w:t>
            </w:r>
            <w:r w:rsidR="00B07C45">
              <w:t>.</w:t>
            </w:r>
          </w:p>
          <w:p w14:paraId="10593DB7" w14:textId="77777777" w:rsidR="00E3377D" w:rsidRPr="009969DA" w:rsidRDefault="00E3377D" w:rsidP="00E3377D">
            <w:pPr>
              <w:ind w:firstLine="0"/>
            </w:pPr>
          </w:p>
          <w:p w14:paraId="2C565CE5" w14:textId="58F52621" w:rsidR="009969DA" w:rsidRPr="00A91712" w:rsidRDefault="009969DA" w:rsidP="009969DA">
            <w:pPr>
              <w:pStyle w:val="ListParagraph"/>
              <w:ind w:left="184"/>
            </w:pPr>
          </w:p>
        </w:tc>
        <w:tc>
          <w:tcPr>
            <w:tcW w:w="5954" w:type="dxa"/>
          </w:tcPr>
          <w:p w14:paraId="49D84ECD" w14:textId="7FA33F04"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w:t>
            </w:r>
            <w:r>
              <w:rPr>
                <w:rFonts w:cs="Times New Roman"/>
                <w:szCs w:val="24"/>
              </w:rPr>
              <w:t>kopējais attiecināmais finansējums ir norādīts</w:t>
            </w:r>
            <w:r w:rsidRPr="00A270F0">
              <w:rPr>
                <w:rFonts w:cs="Times New Roman"/>
                <w:szCs w:val="24"/>
              </w:rPr>
              <w:t xml:space="preserve"> saskaņā ar </w:t>
            </w:r>
            <w:r w:rsidR="004E7311">
              <w:t xml:space="preserve"> </w:t>
            </w:r>
            <w:r w:rsidR="0027103A" w:rsidRPr="0027103A">
              <w:rPr>
                <w:rFonts w:cs="Times New Roman"/>
                <w:szCs w:val="24"/>
              </w:rPr>
              <w:t>05.11.2024. informatīvā ziņojuma 2.2.</w:t>
            </w:r>
            <w:r w:rsidR="0027103A">
              <w:rPr>
                <w:rFonts w:cs="Times New Roman"/>
                <w:szCs w:val="24"/>
              </w:rPr>
              <w:t xml:space="preserve"> punktu</w:t>
            </w:r>
            <w:r w:rsidR="0067661E">
              <w:rPr>
                <w:rFonts w:cs="Times New Roman"/>
                <w:szCs w:val="24"/>
              </w:rPr>
              <w:t xml:space="preserve"> un privātais finansējuma apjoms ir atbilstoši aprēķināts.</w:t>
            </w:r>
          </w:p>
          <w:p w14:paraId="0A53DD60" w14:textId="77777777" w:rsidR="00F9008D" w:rsidRPr="00A270F0" w:rsidRDefault="00F9008D" w:rsidP="00887D88">
            <w:pPr>
              <w:ind w:firstLine="0"/>
              <w:rPr>
                <w:rFonts w:cs="Times New Roman"/>
                <w:szCs w:val="24"/>
              </w:rPr>
            </w:pPr>
          </w:p>
          <w:p w14:paraId="4E60699E"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3C09FA6" w14:textId="77777777" w:rsidR="00F9008D" w:rsidRPr="00A270F0" w:rsidRDefault="00F9008D" w:rsidP="00887D88">
            <w:pPr>
              <w:ind w:firstLine="0"/>
              <w:rPr>
                <w:rFonts w:cs="Times New Roman"/>
                <w:szCs w:val="24"/>
              </w:rPr>
            </w:pPr>
          </w:p>
          <w:p w14:paraId="229A9F3F" w14:textId="77777777" w:rsidR="00F9008D"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8368B0C" w14:textId="0D76D373" w:rsidR="00F9008D" w:rsidRPr="00A270F0" w:rsidRDefault="00F9008D" w:rsidP="00887D88">
            <w:pPr>
              <w:ind w:firstLine="0"/>
              <w:rPr>
                <w:rFonts w:cs="Times New Roman"/>
                <w:szCs w:val="24"/>
              </w:rPr>
            </w:pPr>
          </w:p>
        </w:tc>
        <w:tc>
          <w:tcPr>
            <w:tcW w:w="5093" w:type="dxa"/>
          </w:tcPr>
          <w:p w14:paraId="2F80F446" w14:textId="2F7DB9E3" w:rsidR="00FC0B9C" w:rsidRPr="00FC0B9C" w:rsidRDefault="00FC0B9C" w:rsidP="00887D88">
            <w:pPr>
              <w:ind w:firstLine="0"/>
              <w:rPr>
                <w:rFonts w:cs="Times New Roman"/>
                <w:szCs w:val="24"/>
              </w:rPr>
            </w:pPr>
          </w:p>
        </w:tc>
      </w:tr>
      <w:tr w:rsidR="00F9008D" w:rsidRPr="00A270F0" w14:paraId="371FC41F" w14:textId="77777777" w:rsidTr="00887D88">
        <w:tc>
          <w:tcPr>
            <w:tcW w:w="704" w:type="dxa"/>
          </w:tcPr>
          <w:p w14:paraId="5F5BDE08" w14:textId="1DA65BC9" w:rsidR="00F9008D" w:rsidRPr="00A270F0" w:rsidRDefault="00D35B05" w:rsidP="00887D88">
            <w:pPr>
              <w:ind w:firstLine="0"/>
              <w:rPr>
                <w:rFonts w:cs="Times New Roman"/>
                <w:szCs w:val="24"/>
              </w:rPr>
            </w:pPr>
            <w:r w:rsidRPr="006939F6">
              <w:rPr>
                <w:rFonts w:cs="Times New Roman"/>
                <w:szCs w:val="24"/>
              </w:rPr>
              <w:t>7.</w:t>
            </w:r>
          </w:p>
          <w:p w14:paraId="41DA48B2" w14:textId="73DF7A18" w:rsidR="00F9008D" w:rsidRPr="00A270F0" w:rsidRDefault="00F9008D" w:rsidP="00887D88">
            <w:pPr>
              <w:ind w:firstLine="0"/>
              <w:rPr>
                <w:rFonts w:cs="Times New Roman"/>
                <w:szCs w:val="24"/>
              </w:rPr>
            </w:pPr>
          </w:p>
        </w:tc>
        <w:tc>
          <w:tcPr>
            <w:tcW w:w="2845" w:type="dxa"/>
          </w:tcPr>
          <w:p w14:paraId="2ADEB4AE" w14:textId="2E1161DA" w:rsidR="00F9008D" w:rsidRPr="00A270F0" w:rsidRDefault="00F9008D" w:rsidP="00887D88">
            <w:pPr>
              <w:ind w:firstLine="0"/>
              <w:rPr>
                <w:szCs w:val="24"/>
              </w:rPr>
            </w:pPr>
            <w:r w:rsidRPr="00A270F0">
              <w:rPr>
                <w:szCs w:val="24"/>
              </w:rPr>
              <w:t>Projektā plānotas</w:t>
            </w:r>
            <w:r>
              <w:rPr>
                <w:szCs w:val="24"/>
              </w:rPr>
              <w:t xml:space="preserve"> </w:t>
            </w:r>
            <w:r w:rsidR="0027103A">
              <w:rPr>
                <w:szCs w:val="24"/>
              </w:rPr>
              <w:t>09.01.2024. i</w:t>
            </w:r>
            <w:r>
              <w:rPr>
                <w:szCs w:val="24"/>
              </w:rPr>
              <w:t>nformatīvā ziņojuma 6.</w:t>
            </w:r>
            <w:r w:rsidR="004E7311">
              <w:rPr>
                <w:szCs w:val="24"/>
              </w:rPr>
              <w:t>2</w:t>
            </w:r>
            <w:r>
              <w:rPr>
                <w:szCs w:val="24"/>
              </w:rPr>
              <w:t xml:space="preserve">. punktā </w:t>
            </w:r>
            <w:r>
              <w:rPr>
                <w:szCs w:val="24"/>
              </w:rPr>
              <w:lastRenderedPageBreak/>
              <w:t>minētās atbalstāmās darbības</w:t>
            </w:r>
            <w:r w:rsidRPr="00A270F0">
              <w:rPr>
                <w:szCs w:val="24"/>
              </w:rPr>
              <w:t>:</w:t>
            </w:r>
          </w:p>
          <w:p w14:paraId="4BCF2ED5" w14:textId="31418427" w:rsidR="00E333B0" w:rsidRPr="00E333B0" w:rsidRDefault="004E7311" w:rsidP="00E333B0">
            <w:pPr>
              <w:pStyle w:val="ListParagraph"/>
              <w:numPr>
                <w:ilvl w:val="0"/>
                <w:numId w:val="3"/>
              </w:numPr>
              <w:rPr>
                <w:iCs/>
              </w:rPr>
            </w:pPr>
            <w:bookmarkStart w:id="0" w:name="_Hlk169167600"/>
            <w:bookmarkStart w:id="1" w:name="_Hlk156571995"/>
            <w:r>
              <w:rPr>
                <w:iCs/>
              </w:rPr>
              <w:t>b</w:t>
            </w:r>
            <w:r w:rsidRPr="004E7311">
              <w:rPr>
                <w:iCs/>
              </w:rPr>
              <w:t>ūvdarbi simulācijas pieejas ieviešanai</w:t>
            </w:r>
            <w:bookmarkEnd w:id="0"/>
            <w:r w:rsidR="00E333B0" w:rsidRPr="00E333B0">
              <w:rPr>
                <w:iCs/>
              </w:rPr>
              <w:t>;</w:t>
            </w:r>
          </w:p>
          <w:p w14:paraId="66447C7D" w14:textId="2DCC1A31" w:rsidR="00E333B0" w:rsidRPr="00E333B0" w:rsidRDefault="004E7311" w:rsidP="00E333B0">
            <w:pPr>
              <w:pStyle w:val="ListParagraph"/>
              <w:numPr>
                <w:ilvl w:val="0"/>
                <w:numId w:val="3"/>
              </w:numPr>
              <w:rPr>
                <w:iCs/>
              </w:rPr>
            </w:pPr>
            <w:bookmarkStart w:id="2" w:name="_Hlk169167613"/>
            <w:r>
              <w:rPr>
                <w:iCs/>
              </w:rPr>
              <w:t>s</w:t>
            </w:r>
            <w:r w:rsidRPr="004E7311">
              <w:rPr>
                <w:iCs/>
              </w:rPr>
              <w:t>imulāciju tehnoloģiju iegāde, piegāde un montāža</w:t>
            </w:r>
            <w:bookmarkEnd w:id="2"/>
            <w:r>
              <w:rPr>
                <w:iCs/>
              </w:rPr>
              <w:t>.</w:t>
            </w:r>
          </w:p>
          <w:bookmarkEnd w:id="1"/>
          <w:p w14:paraId="6E239FD1" w14:textId="0139D572" w:rsidR="00F9008D" w:rsidRPr="00A270F0" w:rsidRDefault="00F9008D" w:rsidP="00887D88">
            <w:pPr>
              <w:ind w:firstLine="0"/>
            </w:pPr>
            <w:r w:rsidRPr="00977EA2">
              <w:t>Projekta darbības plānots īstenot saskaņā ar Sabiedrības veselības pamatnostādnēs 2021.-2027.gadam noteikto</w:t>
            </w:r>
            <w:r w:rsidR="00E333B0" w:rsidRPr="00977EA2">
              <w:t>, kā arī  ar DG REFORM projekta rezultātiem.</w:t>
            </w:r>
          </w:p>
        </w:tc>
        <w:tc>
          <w:tcPr>
            <w:tcW w:w="5954" w:type="dxa"/>
          </w:tcPr>
          <w:p w14:paraId="53C1BCF1" w14:textId="7D9BE171"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w:t>
            </w:r>
            <w:r w:rsidR="00217A09">
              <w:rPr>
                <w:rFonts w:cs="Times New Roman"/>
                <w:szCs w:val="24"/>
              </w:rPr>
              <w:t xml:space="preserve"> </w:t>
            </w:r>
            <w:r w:rsidRPr="00A270F0">
              <w:rPr>
                <w:rFonts w:cs="Times New Roman"/>
                <w:szCs w:val="24"/>
              </w:rPr>
              <w:t>plānot</w:t>
            </w:r>
            <w:r w:rsidR="00217A09">
              <w:rPr>
                <w:rFonts w:cs="Times New Roman"/>
                <w:szCs w:val="24"/>
              </w:rPr>
              <w:t>ā</w:t>
            </w:r>
            <w:r w:rsidRPr="00A270F0">
              <w:rPr>
                <w:rFonts w:cs="Times New Roman"/>
                <w:szCs w:val="24"/>
              </w:rPr>
              <w:t>s  darbības</w:t>
            </w:r>
            <w:r w:rsidR="00217A09">
              <w:rPr>
                <w:rFonts w:cs="Times New Roman"/>
                <w:szCs w:val="24"/>
              </w:rPr>
              <w:t xml:space="preserve"> </w:t>
            </w:r>
            <w:r w:rsidRPr="00A270F0">
              <w:rPr>
                <w:rFonts w:cs="Times New Roman"/>
                <w:szCs w:val="24"/>
              </w:rPr>
              <w:t>ir</w:t>
            </w:r>
            <w:r w:rsidR="00217A09">
              <w:rPr>
                <w:rFonts w:cs="Times New Roman"/>
                <w:szCs w:val="24"/>
              </w:rPr>
              <w:t xml:space="preserve"> </w:t>
            </w:r>
            <w:r w:rsidRPr="00A270F0">
              <w:rPr>
                <w:rFonts w:cs="Times New Roman"/>
                <w:szCs w:val="24"/>
              </w:rPr>
              <w:t xml:space="preserve">saskaņā ar </w:t>
            </w:r>
            <w:r w:rsidR="0027103A" w:rsidRPr="0027103A">
              <w:rPr>
                <w:rFonts w:cs="Times New Roman"/>
                <w:szCs w:val="24"/>
              </w:rPr>
              <w:t>09.01.2024. informatīvā</w:t>
            </w:r>
            <w:r>
              <w:rPr>
                <w:rFonts w:cs="Times New Roman"/>
                <w:szCs w:val="24"/>
              </w:rPr>
              <w:t xml:space="preserve"> ziņojuma 6.</w:t>
            </w:r>
            <w:r w:rsidR="004E7311">
              <w:rPr>
                <w:rFonts w:cs="Times New Roman"/>
                <w:szCs w:val="24"/>
              </w:rPr>
              <w:t>2</w:t>
            </w:r>
            <w:r w:rsidRPr="00A270F0">
              <w:rPr>
                <w:rFonts w:cs="Times New Roman"/>
                <w:szCs w:val="24"/>
              </w:rPr>
              <w:t>.</w:t>
            </w:r>
            <w:r>
              <w:rPr>
                <w:rFonts w:cs="Times New Roman"/>
                <w:szCs w:val="24"/>
              </w:rPr>
              <w:t xml:space="preserve"> </w:t>
            </w:r>
            <w:r w:rsidRPr="00A270F0">
              <w:rPr>
                <w:rFonts w:cs="Times New Roman"/>
                <w:szCs w:val="24"/>
              </w:rPr>
              <w:t>punktu</w:t>
            </w:r>
            <w:r>
              <w:rPr>
                <w:rFonts w:cs="Times New Roman"/>
                <w:szCs w:val="24"/>
              </w:rPr>
              <w:t xml:space="preserve"> </w:t>
            </w:r>
            <w:r w:rsidRPr="00977EA2">
              <w:rPr>
                <w:rFonts w:cs="Times New Roman"/>
                <w:szCs w:val="24"/>
              </w:rPr>
              <w:t xml:space="preserve">un minēts, ka tās </w:t>
            </w:r>
            <w:r w:rsidRPr="00977EA2">
              <w:t xml:space="preserve"> tiks īstenotas saskaņā ar </w:t>
            </w:r>
            <w:r w:rsidRPr="00977EA2">
              <w:lastRenderedPageBreak/>
              <w:t>Sabiedrības veselības pamatnostādnēs 2021.-2027.gadam noteikto</w:t>
            </w:r>
            <w:r w:rsidR="00E333B0" w:rsidRPr="00977EA2">
              <w:t xml:space="preserve"> kā arī  ar DG REFORM projekta rezultātiem.</w:t>
            </w:r>
          </w:p>
          <w:p w14:paraId="4A7A4C75" w14:textId="77777777" w:rsidR="00F9008D" w:rsidRPr="00A270F0" w:rsidRDefault="00F9008D" w:rsidP="00887D88">
            <w:pPr>
              <w:ind w:firstLine="0"/>
              <w:rPr>
                <w:rFonts w:cs="Times New Roman"/>
                <w:szCs w:val="24"/>
              </w:rPr>
            </w:pPr>
          </w:p>
          <w:p w14:paraId="50D3F55A"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E785728" w14:textId="77777777" w:rsidR="00F9008D" w:rsidRPr="00A270F0" w:rsidRDefault="00F9008D" w:rsidP="00887D88">
            <w:pPr>
              <w:ind w:firstLine="0"/>
              <w:rPr>
                <w:rFonts w:cs="Times New Roman"/>
                <w:szCs w:val="24"/>
              </w:rPr>
            </w:pPr>
          </w:p>
          <w:p w14:paraId="67B6F5E2" w14:textId="19B4951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7103BABC" w14:textId="7A4F19F2" w:rsidR="00A060DE" w:rsidRPr="004C29BA" w:rsidRDefault="00A060DE" w:rsidP="00F24EDA">
            <w:pPr>
              <w:ind w:firstLine="0"/>
            </w:pPr>
          </w:p>
        </w:tc>
      </w:tr>
      <w:tr w:rsidR="00F9008D" w:rsidRPr="00A270F0" w14:paraId="02449A1E" w14:textId="77777777" w:rsidTr="00887D88">
        <w:tc>
          <w:tcPr>
            <w:tcW w:w="704" w:type="dxa"/>
          </w:tcPr>
          <w:p w14:paraId="38468E90" w14:textId="39EBA002" w:rsidR="00F9008D" w:rsidRPr="00A270F0" w:rsidRDefault="00D35B05" w:rsidP="00887D88">
            <w:pPr>
              <w:ind w:firstLine="0"/>
              <w:rPr>
                <w:rFonts w:cs="Times New Roman"/>
                <w:szCs w:val="24"/>
              </w:rPr>
            </w:pPr>
            <w:r w:rsidRPr="006939F6">
              <w:rPr>
                <w:rFonts w:cs="Times New Roman"/>
                <w:szCs w:val="24"/>
              </w:rPr>
              <w:t>8.</w:t>
            </w:r>
          </w:p>
        </w:tc>
        <w:tc>
          <w:tcPr>
            <w:tcW w:w="2845" w:type="dxa"/>
          </w:tcPr>
          <w:p w14:paraId="3393E290" w14:textId="0584997B" w:rsidR="00F9008D" w:rsidRPr="00A270F0" w:rsidRDefault="00F9008D" w:rsidP="00887D88">
            <w:pPr>
              <w:ind w:firstLine="0"/>
              <w:rPr>
                <w:szCs w:val="24"/>
              </w:rPr>
            </w:pPr>
            <w:r w:rsidRPr="00A270F0">
              <w:rPr>
                <w:szCs w:val="24"/>
              </w:rPr>
              <w:t>Projektā</w:t>
            </w:r>
            <w:r>
              <w:rPr>
                <w:szCs w:val="24"/>
              </w:rPr>
              <w:t xml:space="preserve"> </w:t>
            </w:r>
            <w:r w:rsidRPr="00A270F0">
              <w:rPr>
                <w:szCs w:val="24"/>
              </w:rPr>
              <w:t xml:space="preserve">plānotas </w:t>
            </w:r>
            <w:r w:rsidR="0027103A" w:rsidRPr="0027103A">
              <w:rPr>
                <w:szCs w:val="24"/>
              </w:rPr>
              <w:t xml:space="preserve">09.01.2024. informatīvā </w:t>
            </w:r>
            <w:r>
              <w:rPr>
                <w:szCs w:val="24"/>
              </w:rPr>
              <w:t xml:space="preserve"> ziņojuma </w:t>
            </w:r>
            <w:r w:rsidR="00E333B0">
              <w:rPr>
                <w:szCs w:val="24"/>
              </w:rPr>
              <w:t>6.</w:t>
            </w:r>
            <w:r w:rsidR="004E7311">
              <w:rPr>
                <w:szCs w:val="24"/>
              </w:rPr>
              <w:t>4</w:t>
            </w:r>
            <w:r w:rsidR="00E333B0">
              <w:rPr>
                <w:szCs w:val="24"/>
              </w:rPr>
              <w:t xml:space="preserve">. </w:t>
            </w:r>
            <w:r>
              <w:rPr>
                <w:szCs w:val="24"/>
              </w:rPr>
              <w:t>punkt</w:t>
            </w:r>
            <w:r w:rsidR="004E7311">
              <w:rPr>
                <w:szCs w:val="24"/>
              </w:rPr>
              <w:t>ā</w:t>
            </w:r>
            <w:r>
              <w:rPr>
                <w:szCs w:val="24"/>
              </w:rPr>
              <w:t xml:space="preserve"> minētās  attiecināmās izmaksas</w:t>
            </w:r>
            <w:r w:rsidRPr="00A270F0">
              <w:rPr>
                <w:szCs w:val="24"/>
              </w:rPr>
              <w:t>:</w:t>
            </w:r>
          </w:p>
          <w:p w14:paraId="762D4424" w14:textId="397796F2" w:rsidR="00E333B0" w:rsidRPr="00E333B0" w:rsidRDefault="00217A09" w:rsidP="00E333B0">
            <w:pPr>
              <w:pStyle w:val="ListParagraph"/>
              <w:numPr>
                <w:ilvl w:val="0"/>
                <w:numId w:val="3"/>
              </w:numPr>
              <w:rPr>
                <w:iCs/>
              </w:rPr>
            </w:pPr>
            <w:r>
              <w:rPr>
                <w:iCs/>
              </w:rPr>
              <w:t>m</w:t>
            </w:r>
            <w:r w:rsidRPr="00217A09">
              <w:rPr>
                <w:iCs/>
              </w:rPr>
              <w:t xml:space="preserve">edicīnisko </w:t>
            </w:r>
            <w:proofErr w:type="spellStart"/>
            <w:r w:rsidRPr="00217A09">
              <w:rPr>
                <w:iCs/>
              </w:rPr>
              <w:t>simulatoru</w:t>
            </w:r>
            <w:proofErr w:type="spellEnd"/>
            <w:r w:rsidRPr="00217A09">
              <w:rPr>
                <w:iCs/>
              </w:rPr>
              <w:t xml:space="preserve"> un aprīkojuma iegādes izmaksas</w:t>
            </w:r>
            <w:r w:rsidR="00E333B0" w:rsidRPr="00E333B0">
              <w:rPr>
                <w:iCs/>
              </w:rPr>
              <w:t>;</w:t>
            </w:r>
          </w:p>
          <w:p w14:paraId="419C0739" w14:textId="39F15C7D" w:rsidR="00E333B0" w:rsidRPr="00E333B0" w:rsidRDefault="00217A09" w:rsidP="00E333B0">
            <w:pPr>
              <w:pStyle w:val="ListParagraph"/>
              <w:numPr>
                <w:ilvl w:val="0"/>
                <w:numId w:val="3"/>
              </w:numPr>
              <w:rPr>
                <w:iCs/>
              </w:rPr>
            </w:pPr>
            <w:r>
              <w:rPr>
                <w:iCs/>
              </w:rPr>
              <w:t>t</w:t>
            </w:r>
            <w:r w:rsidRPr="00217A09">
              <w:rPr>
                <w:iCs/>
              </w:rPr>
              <w:t xml:space="preserve">ehnoloģiju un programmatūras sistēmas izmaksas, t.sk. IT infrastruktūras izmaksas augstas precizitātes </w:t>
            </w:r>
            <w:proofErr w:type="spellStart"/>
            <w:r w:rsidRPr="00217A09">
              <w:rPr>
                <w:iCs/>
              </w:rPr>
              <w:t>simulatoram</w:t>
            </w:r>
            <w:proofErr w:type="spellEnd"/>
            <w:r w:rsidRPr="00217A09">
              <w:rPr>
                <w:iCs/>
              </w:rPr>
              <w:t xml:space="preserve">, IT </w:t>
            </w:r>
            <w:r w:rsidRPr="00217A09">
              <w:rPr>
                <w:iCs/>
              </w:rPr>
              <w:lastRenderedPageBreak/>
              <w:t>infrastruktūras izmaksas medicīnas simulācijai (VR), Augstas kvalitātes audio un video sistēmas izmaksas</w:t>
            </w:r>
            <w:r w:rsidR="00E333B0" w:rsidRPr="00E333B0">
              <w:rPr>
                <w:iCs/>
              </w:rPr>
              <w:t>;</w:t>
            </w:r>
          </w:p>
          <w:p w14:paraId="19CDF026" w14:textId="2DC17EBB" w:rsidR="00E333B0" w:rsidRPr="00E333B0" w:rsidRDefault="00217A09" w:rsidP="00E333B0">
            <w:pPr>
              <w:pStyle w:val="ListParagraph"/>
              <w:numPr>
                <w:ilvl w:val="0"/>
                <w:numId w:val="3"/>
              </w:numPr>
              <w:rPr>
                <w:iCs/>
              </w:rPr>
            </w:pPr>
            <w:r w:rsidRPr="00217A09">
              <w:rPr>
                <w:iCs/>
              </w:rPr>
              <w:t xml:space="preserve">būvniecības ieceres dokumentācijas un arhitektoniski mākslinieciskās izpētes izstrādes, būvprojekta minimālā sastāvā un būvprojekta izstrādes izmaksas, projekta ekspertīžu izmaksas, autoruzraudzības un būvuzraudzības izmaksas un būvniecības jomu regulējošajos normatīvajos aktos noteiktās attiecīgo </w:t>
            </w:r>
            <w:proofErr w:type="spellStart"/>
            <w:r w:rsidRPr="00217A09">
              <w:rPr>
                <w:iCs/>
              </w:rPr>
              <w:t>būvspeciālistu</w:t>
            </w:r>
            <w:proofErr w:type="spellEnd"/>
            <w:r w:rsidRPr="00217A09">
              <w:rPr>
                <w:iCs/>
              </w:rPr>
              <w:t xml:space="preserve"> obligātās apdrošināšanas izmaksas</w:t>
            </w:r>
            <w:r w:rsidR="00E333B0" w:rsidRPr="00E333B0">
              <w:rPr>
                <w:iCs/>
              </w:rPr>
              <w:t xml:space="preserve">; </w:t>
            </w:r>
          </w:p>
          <w:p w14:paraId="4951A027" w14:textId="1A8A3A6C" w:rsidR="00F9008D" w:rsidRDefault="00217A09" w:rsidP="00E333B0">
            <w:pPr>
              <w:pStyle w:val="ListParagraph"/>
              <w:numPr>
                <w:ilvl w:val="0"/>
                <w:numId w:val="3"/>
              </w:numPr>
              <w:rPr>
                <w:iCs/>
              </w:rPr>
            </w:pPr>
            <w:r w:rsidRPr="00217A09">
              <w:rPr>
                <w:iCs/>
              </w:rPr>
              <w:t xml:space="preserve">būvdarbu izmaksas, tai skaitā izmaksas, kas saistītas ar </w:t>
            </w:r>
            <w:r w:rsidRPr="00217A09">
              <w:rPr>
                <w:iCs/>
              </w:rPr>
              <w:lastRenderedPageBreak/>
              <w:t>objektu nodošanu ekspluatācijā</w:t>
            </w:r>
            <w:r w:rsidR="00B07C45">
              <w:rPr>
                <w:iCs/>
              </w:rPr>
              <w:t>.</w:t>
            </w:r>
          </w:p>
          <w:p w14:paraId="05D7ED27" w14:textId="4C67B88D" w:rsidR="00E333B0" w:rsidRPr="00217A09" w:rsidRDefault="00E333B0" w:rsidP="00217A09">
            <w:pPr>
              <w:ind w:left="360" w:firstLine="0"/>
              <w:rPr>
                <w:iCs/>
              </w:rPr>
            </w:pPr>
          </w:p>
        </w:tc>
        <w:tc>
          <w:tcPr>
            <w:tcW w:w="5954" w:type="dxa"/>
          </w:tcPr>
          <w:p w14:paraId="5F11D54A" w14:textId="509EB3D6"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plānot</w:t>
            </w:r>
            <w:r w:rsidR="00217A09">
              <w:rPr>
                <w:rFonts w:cs="Times New Roman"/>
                <w:szCs w:val="24"/>
              </w:rPr>
              <w:t>ā</w:t>
            </w:r>
            <w:r w:rsidRPr="00A270F0">
              <w:rPr>
                <w:rFonts w:cs="Times New Roman"/>
                <w:szCs w:val="24"/>
              </w:rPr>
              <w:t xml:space="preserve">s </w:t>
            </w:r>
            <w:r>
              <w:rPr>
                <w:rFonts w:cs="Times New Roman"/>
                <w:szCs w:val="24"/>
              </w:rPr>
              <w:t>attiecināmās</w:t>
            </w:r>
            <w:r w:rsidRPr="00A270F0">
              <w:rPr>
                <w:rFonts w:cs="Times New Roman"/>
                <w:szCs w:val="24"/>
              </w:rPr>
              <w:t xml:space="preserve"> izmaksas</w:t>
            </w:r>
            <w:r>
              <w:rPr>
                <w:rFonts w:cs="Times New Roman"/>
                <w:szCs w:val="24"/>
              </w:rPr>
              <w:t xml:space="preserve"> </w:t>
            </w:r>
            <w:r w:rsidRPr="00A270F0">
              <w:rPr>
                <w:rFonts w:cs="Times New Roman"/>
                <w:szCs w:val="24"/>
              </w:rPr>
              <w:t xml:space="preserve">ir </w:t>
            </w:r>
            <w:r>
              <w:rPr>
                <w:rFonts w:cs="Times New Roman"/>
                <w:szCs w:val="24"/>
              </w:rPr>
              <w:t>s</w:t>
            </w:r>
            <w:r w:rsidRPr="00A270F0">
              <w:rPr>
                <w:rFonts w:cs="Times New Roman"/>
                <w:szCs w:val="24"/>
              </w:rPr>
              <w:t xml:space="preserve">askaņā ar </w:t>
            </w:r>
            <w:r w:rsidR="0027103A" w:rsidRPr="0027103A">
              <w:rPr>
                <w:szCs w:val="24"/>
              </w:rPr>
              <w:t xml:space="preserve">09.01.2024. informatīvā </w:t>
            </w:r>
            <w:r>
              <w:rPr>
                <w:szCs w:val="24"/>
              </w:rPr>
              <w:t xml:space="preserve"> ziņojuma </w:t>
            </w:r>
            <w:r w:rsidR="00E333B0">
              <w:rPr>
                <w:szCs w:val="24"/>
              </w:rPr>
              <w:t>6.</w:t>
            </w:r>
            <w:r w:rsidR="00217A09">
              <w:rPr>
                <w:szCs w:val="24"/>
              </w:rPr>
              <w:t>4</w:t>
            </w:r>
            <w:r w:rsidR="00E333B0">
              <w:rPr>
                <w:szCs w:val="24"/>
              </w:rPr>
              <w:t>.</w:t>
            </w:r>
            <w:r w:rsidR="00080272">
              <w:rPr>
                <w:szCs w:val="24"/>
              </w:rPr>
              <w:t xml:space="preserve"> </w:t>
            </w:r>
            <w:r>
              <w:rPr>
                <w:szCs w:val="24"/>
              </w:rPr>
              <w:t>punkt</w:t>
            </w:r>
            <w:r w:rsidR="00217A09">
              <w:rPr>
                <w:szCs w:val="24"/>
              </w:rPr>
              <w:t>u</w:t>
            </w:r>
            <w:r w:rsidRPr="00A270F0">
              <w:rPr>
                <w:rFonts w:cs="Times New Roman"/>
                <w:szCs w:val="24"/>
              </w:rPr>
              <w:t>.</w:t>
            </w:r>
          </w:p>
          <w:p w14:paraId="4A306594" w14:textId="77777777" w:rsidR="00F9008D" w:rsidRPr="00A270F0" w:rsidRDefault="00F9008D" w:rsidP="00887D88">
            <w:pPr>
              <w:ind w:firstLine="0"/>
              <w:rPr>
                <w:rFonts w:cs="Times New Roman"/>
                <w:szCs w:val="24"/>
              </w:rPr>
            </w:pPr>
          </w:p>
          <w:p w14:paraId="3DB5B59C"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F9008D" w:rsidRPr="00A270F0" w:rsidRDefault="00F9008D" w:rsidP="00887D88">
            <w:pPr>
              <w:ind w:firstLine="0"/>
              <w:rPr>
                <w:rFonts w:cs="Times New Roman"/>
                <w:szCs w:val="24"/>
              </w:rPr>
            </w:pPr>
          </w:p>
          <w:p w14:paraId="47B1A58B" w14:textId="7A7161F1"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05289E11" w14:textId="2FD1D854" w:rsidR="00F9008D" w:rsidRPr="00E50725" w:rsidRDefault="00F9008D" w:rsidP="00E50725">
            <w:pPr>
              <w:ind w:firstLine="0"/>
            </w:pPr>
          </w:p>
        </w:tc>
      </w:tr>
      <w:tr w:rsidR="00FA69DA" w:rsidRPr="00A270F0" w14:paraId="1351D26B" w14:textId="77777777" w:rsidTr="00887D88">
        <w:tc>
          <w:tcPr>
            <w:tcW w:w="704" w:type="dxa"/>
          </w:tcPr>
          <w:p w14:paraId="3E2C7909" w14:textId="2DA02FE4" w:rsidR="00FA69DA" w:rsidRPr="006939F6" w:rsidRDefault="00FA69DA" w:rsidP="00887D88">
            <w:pPr>
              <w:ind w:firstLine="0"/>
              <w:rPr>
                <w:rFonts w:cs="Times New Roman"/>
                <w:szCs w:val="24"/>
              </w:rPr>
            </w:pPr>
            <w:r>
              <w:rPr>
                <w:rFonts w:cs="Times New Roman"/>
                <w:szCs w:val="24"/>
              </w:rPr>
              <w:lastRenderedPageBreak/>
              <w:t xml:space="preserve">9. </w:t>
            </w:r>
          </w:p>
        </w:tc>
        <w:tc>
          <w:tcPr>
            <w:tcW w:w="2845" w:type="dxa"/>
          </w:tcPr>
          <w:p w14:paraId="4B2C2D5A" w14:textId="01A42A4C" w:rsidR="00FA69DA" w:rsidRPr="00A270F0" w:rsidRDefault="00FA69DA" w:rsidP="00887D88">
            <w:pPr>
              <w:ind w:firstLine="0"/>
              <w:rPr>
                <w:szCs w:val="24"/>
              </w:rPr>
            </w:pPr>
            <w:r>
              <w:rPr>
                <w:szCs w:val="24"/>
              </w:rPr>
              <w:t>F</w:t>
            </w:r>
            <w:r w:rsidRPr="00FA69DA">
              <w:rPr>
                <w:szCs w:val="24"/>
              </w:rPr>
              <w:t xml:space="preserve">inansējuma saņēmējs nodrošina, ka projekta īstenošanas laikā nekustamie īpašumi, kuri nepieciešami projekta īstenošanai, ir finansējuma saņēmēja īpašumā, patapinājumā, valdījumā vai ilgtermiņa nomā vismaz 10 gadus no projekta iesnieguma iesniegšanas brīža, un tiesībām uz konkrēto objektu vai īpašumu, izņemot patapinājumu, jābūt nostiprinātām zemesgrāmatā. </w:t>
            </w:r>
          </w:p>
        </w:tc>
        <w:tc>
          <w:tcPr>
            <w:tcW w:w="5954" w:type="dxa"/>
          </w:tcPr>
          <w:p w14:paraId="4D30F6C6" w14:textId="76937FB3" w:rsidR="00FA69DA" w:rsidRPr="00A270F0" w:rsidRDefault="00FA69DA" w:rsidP="00FA69DA">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nodrošinās</w:t>
            </w:r>
            <w:r>
              <w:rPr>
                <w:rFonts w:cs="Times New Roman"/>
                <w:szCs w:val="24"/>
              </w:rPr>
              <w:t xml:space="preserve">, </w:t>
            </w:r>
            <w:r w:rsidRPr="00FA69DA">
              <w:rPr>
                <w:rFonts w:cs="Times New Roman"/>
                <w:szCs w:val="24"/>
              </w:rPr>
              <w:t xml:space="preserve">ka projekta īstenošanas laikā nekustamie īpašumi, kuri nepieciešami projekta īstenošanai, ir finansējuma saņēmēja īpašumā, patapinājumā, valdījumā vai ilgtermiņa nomā vismaz 10 gadus no projekta iesnieguma iesniegšanas brīža, un tiesībām uz konkrēto objektu vai īpašumu, izņemot patapinājumu, jābūt nostiprinātām zemesgrāmatā. </w:t>
            </w:r>
          </w:p>
          <w:p w14:paraId="6A77E38B" w14:textId="77777777" w:rsidR="00FA69DA" w:rsidRPr="00A270F0" w:rsidRDefault="00FA69DA" w:rsidP="00FA69DA">
            <w:pPr>
              <w:ind w:firstLine="0"/>
              <w:rPr>
                <w:rFonts w:cs="Times New Roman"/>
                <w:szCs w:val="24"/>
              </w:rPr>
            </w:pPr>
          </w:p>
          <w:p w14:paraId="14612EA1" w14:textId="77777777" w:rsidR="00FA69DA" w:rsidRPr="00A270F0" w:rsidRDefault="00FA69DA" w:rsidP="00FA69DA">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F4695E0" w14:textId="77777777" w:rsidR="00FA69DA" w:rsidRPr="00A270F0" w:rsidRDefault="00FA69DA" w:rsidP="00FA69DA">
            <w:pPr>
              <w:ind w:firstLine="0"/>
              <w:rPr>
                <w:rFonts w:cs="Times New Roman"/>
                <w:szCs w:val="24"/>
              </w:rPr>
            </w:pPr>
          </w:p>
          <w:p w14:paraId="01F0A5D8" w14:textId="77777777" w:rsidR="00FA69DA" w:rsidRDefault="00FA69DA" w:rsidP="00FA69DA">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78D4C2CA" w14:textId="77777777" w:rsidR="00FA69DA" w:rsidRPr="00A270F0" w:rsidRDefault="00FA69DA" w:rsidP="00887D88">
            <w:pPr>
              <w:ind w:firstLine="0"/>
              <w:rPr>
                <w:rFonts w:cs="Times New Roman"/>
                <w:szCs w:val="24"/>
              </w:rPr>
            </w:pPr>
          </w:p>
        </w:tc>
        <w:tc>
          <w:tcPr>
            <w:tcW w:w="5093" w:type="dxa"/>
          </w:tcPr>
          <w:p w14:paraId="1541AB35" w14:textId="77777777" w:rsidR="00FA69DA" w:rsidRPr="00E50725" w:rsidRDefault="00FA69DA" w:rsidP="00E50725">
            <w:pPr>
              <w:ind w:firstLine="0"/>
            </w:pPr>
          </w:p>
        </w:tc>
      </w:tr>
      <w:tr w:rsidR="00C91C3A" w:rsidRPr="00A270F0" w14:paraId="2D5ECAA0" w14:textId="77777777" w:rsidTr="00887D88">
        <w:tc>
          <w:tcPr>
            <w:tcW w:w="704" w:type="dxa"/>
          </w:tcPr>
          <w:p w14:paraId="09E51B33" w14:textId="44E33FAE" w:rsidR="00C91C3A" w:rsidRDefault="00FA69DA" w:rsidP="00C91C3A">
            <w:pPr>
              <w:ind w:firstLine="0"/>
              <w:rPr>
                <w:rFonts w:cs="Times New Roman"/>
                <w:szCs w:val="24"/>
              </w:rPr>
            </w:pPr>
            <w:r>
              <w:rPr>
                <w:rFonts w:cs="Times New Roman"/>
                <w:szCs w:val="24"/>
                <w:shd w:val="clear" w:color="auto" w:fill="FFFFFF"/>
              </w:rPr>
              <w:t>10.</w:t>
            </w:r>
          </w:p>
        </w:tc>
        <w:tc>
          <w:tcPr>
            <w:tcW w:w="2845" w:type="dxa"/>
          </w:tcPr>
          <w:p w14:paraId="40A1932A" w14:textId="359BCAF5" w:rsidR="00C91C3A" w:rsidRDefault="00C91C3A" w:rsidP="00C91C3A">
            <w:pPr>
              <w:ind w:firstLine="0"/>
              <w:rPr>
                <w:rFonts w:cs="Times New Roman"/>
                <w:szCs w:val="24"/>
                <w:shd w:val="clear" w:color="auto" w:fill="FFFFFF"/>
              </w:rPr>
            </w:pPr>
            <w:r w:rsidRPr="00A270F0">
              <w:rPr>
                <w:rFonts w:cs="Times New Roman"/>
                <w:szCs w:val="24"/>
                <w:shd w:val="clear" w:color="auto" w:fill="FFFFFF"/>
              </w:rPr>
              <w:t>Finansējuma saņēmējs nodrošina, ka iepirkumu</w:t>
            </w:r>
            <w:r>
              <w:rPr>
                <w:rFonts w:cs="Times New Roman"/>
                <w:szCs w:val="24"/>
                <w:shd w:val="clear" w:color="auto" w:fill="FFFFFF"/>
              </w:rPr>
              <w:t>s</w:t>
            </w:r>
            <w:r w:rsidRPr="00A270F0">
              <w:rPr>
                <w:rFonts w:cs="Times New Roman"/>
                <w:szCs w:val="24"/>
                <w:shd w:val="clear" w:color="auto" w:fill="FFFFFF"/>
              </w:rPr>
              <w:t>, kas nepieciešam</w:t>
            </w:r>
            <w:r>
              <w:rPr>
                <w:rFonts w:cs="Times New Roman"/>
                <w:szCs w:val="24"/>
                <w:shd w:val="clear" w:color="auto" w:fill="FFFFFF"/>
              </w:rPr>
              <w:t>i</w:t>
            </w:r>
            <w:r w:rsidRPr="00A270F0">
              <w:rPr>
                <w:rFonts w:cs="Times New Roman"/>
                <w:szCs w:val="24"/>
                <w:shd w:val="clear" w:color="auto" w:fill="FFFFFF"/>
              </w:rPr>
              <w:t xml:space="preserve"> </w:t>
            </w:r>
            <w:r>
              <w:rPr>
                <w:rFonts w:cs="Times New Roman"/>
                <w:szCs w:val="24"/>
                <w:shd w:val="clear" w:color="auto" w:fill="FFFFFF"/>
              </w:rPr>
              <w:t>reformas un investīcijas</w:t>
            </w:r>
            <w:r w:rsidRPr="00A270F0">
              <w:rPr>
                <w:rFonts w:cs="Times New Roman"/>
                <w:szCs w:val="24"/>
                <w:shd w:val="clear" w:color="auto" w:fill="FFFFFF"/>
              </w:rPr>
              <w:t xml:space="preserve"> īstenošanai, finansējuma saņēmējs veic</w:t>
            </w:r>
            <w:r>
              <w:rPr>
                <w:rFonts w:cs="Times New Roman"/>
                <w:szCs w:val="24"/>
                <w:shd w:val="clear" w:color="auto" w:fill="FFFFFF"/>
              </w:rPr>
              <w:t>:</w:t>
            </w:r>
          </w:p>
          <w:p w14:paraId="12EB66E1" w14:textId="4B730BAF" w:rsidR="00C91C3A" w:rsidRDefault="000A763A" w:rsidP="00C91C3A">
            <w:pPr>
              <w:pStyle w:val="ListParagraph"/>
              <w:numPr>
                <w:ilvl w:val="0"/>
                <w:numId w:val="22"/>
              </w:numPr>
              <w:rPr>
                <w:shd w:val="clear" w:color="auto" w:fill="FFFFFF"/>
              </w:rPr>
            </w:pPr>
            <w:r w:rsidRPr="000A763A">
              <w:rPr>
                <w:shd w:val="clear" w:color="auto" w:fill="FFFFFF"/>
              </w:rPr>
              <w:t>ja vien tas ir iespējams un attiecināms</w:t>
            </w:r>
            <w:r>
              <w:rPr>
                <w:shd w:val="clear" w:color="auto" w:fill="FFFFFF"/>
              </w:rPr>
              <w:t xml:space="preserve">, </w:t>
            </w:r>
            <w:r w:rsidR="00C91C3A" w:rsidRPr="00445C73">
              <w:rPr>
                <w:shd w:val="clear" w:color="auto" w:fill="FFFFFF"/>
              </w:rPr>
              <w:t>kā sociāli atbildīgu iepirkumu</w:t>
            </w:r>
            <w:r w:rsidR="00994E8E">
              <w:rPr>
                <w:rStyle w:val="FootnoteReference"/>
                <w:shd w:val="clear" w:color="auto" w:fill="FFFFFF"/>
              </w:rPr>
              <w:footnoteReference w:id="2"/>
            </w:r>
            <w:r w:rsidR="00C91C3A">
              <w:rPr>
                <w:shd w:val="clear" w:color="auto" w:fill="FFFFFF"/>
              </w:rPr>
              <w:t>;</w:t>
            </w:r>
          </w:p>
          <w:p w14:paraId="355116BF" w14:textId="2EF89EA8" w:rsidR="00C91C3A" w:rsidRPr="00C91C3A" w:rsidRDefault="00C91C3A" w:rsidP="00C91C3A">
            <w:pPr>
              <w:pStyle w:val="ListParagraph"/>
              <w:numPr>
                <w:ilvl w:val="0"/>
                <w:numId w:val="22"/>
              </w:numPr>
              <w:rPr>
                <w:shd w:val="clear" w:color="auto" w:fill="FFFFFF"/>
              </w:rPr>
            </w:pPr>
            <w:r w:rsidRPr="00C91C3A">
              <w:rPr>
                <w:shd w:val="clear" w:color="auto" w:fill="FFFFFF"/>
              </w:rPr>
              <w:t xml:space="preserve">pretendentu izraugoties atklātā, pārredzamā, </w:t>
            </w:r>
            <w:r w:rsidRPr="00C91C3A">
              <w:rPr>
                <w:shd w:val="clear" w:color="auto" w:fill="FFFFFF"/>
              </w:rPr>
              <w:lastRenderedPageBreak/>
              <w:t>nediskriminējošā un konkurenci nodrošinošā iepirkuma procedūrā.</w:t>
            </w:r>
          </w:p>
        </w:tc>
        <w:tc>
          <w:tcPr>
            <w:tcW w:w="5954" w:type="dxa"/>
          </w:tcPr>
          <w:p w14:paraId="25F6D683" w14:textId="1B7BBFB9" w:rsidR="00C91C3A" w:rsidRPr="00A270F0" w:rsidRDefault="00C91C3A" w:rsidP="00C91C3A">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nodrošinās</w:t>
            </w:r>
            <w:r w:rsidR="00DB48CD">
              <w:rPr>
                <w:rFonts w:cs="Times New Roman"/>
                <w:szCs w:val="24"/>
              </w:rPr>
              <w:t>, ka</w:t>
            </w:r>
            <w:r w:rsidRPr="00A270F0">
              <w:rPr>
                <w:rFonts w:cs="Times New Roman"/>
                <w:szCs w:val="24"/>
              </w:rPr>
              <w:t xml:space="preserve"> iepirkumu</w:t>
            </w:r>
            <w:r w:rsidR="00DB48CD">
              <w:rPr>
                <w:rFonts w:cs="Times New Roman"/>
                <w:szCs w:val="24"/>
              </w:rPr>
              <w:t>s</w:t>
            </w:r>
            <w:r w:rsidRPr="00A270F0">
              <w:rPr>
                <w:rFonts w:cs="Times New Roman"/>
                <w:szCs w:val="24"/>
              </w:rPr>
              <w:t>, kas nepieciešam</w:t>
            </w:r>
            <w:r w:rsidR="00DB48CD">
              <w:rPr>
                <w:rFonts w:cs="Times New Roman"/>
                <w:szCs w:val="24"/>
              </w:rPr>
              <w:t>i</w:t>
            </w:r>
            <w:r w:rsidRPr="00A270F0">
              <w:rPr>
                <w:rFonts w:cs="Times New Roman"/>
                <w:szCs w:val="24"/>
              </w:rPr>
              <w:t xml:space="preserve"> </w:t>
            </w:r>
            <w:r w:rsidR="00DB48CD">
              <w:rPr>
                <w:rFonts w:cs="Times New Roman"/>
                <w:szCs w:val="24"/>
              </w:rPr>
              <w:t>reformas un investīcijas</w:t>
            </w:r>
            <w:r w:rsidRPr="00A270F0">
              <w:rPr>
                <w:rFonts w:cs="Times New Roman"/>
                <w:szCs w:val="24"/>
              </w:rPr>
              <w:t xml:space="preserve"> īstenošanai, </w:t>
            </w:r>
            <w:r>
              <w:rPr>
                <w:rFonts w:cs="Times New Roman"/>
                <w:szCs w:val="24"/>
              </w:rPr>
              <w:t xml:space="preserve">iespēju robežās </w:t>
            </w:r>
            <w:r w:rsidR="00DB48CD" w:rsidRPr="00A270F0">
              <w:rPr>
                <w:rFonts w:cs="Times New Roman"/>
                <w:szCs w:val="24"/>
              </w:rPr>
              <w:t xml:space="preserve"> vei</w:t>
            </w:r>
            <w:r w:rsidR="00DB48CD">
              <w:rPr>
                <w:rFonts w:cs="Times New Roman"/>
                <w:szCs w:val="24"/>
              </w:rPr>
              <w:t>ks</w:t>
            </w:r>
            <w:r w:rsidR="00DB48CD" w:rsidRPr="00A270F0">
              <w:rPr>
                <w:rFonts w:cs="Times New Roman"/>
                <w:szCs w:val="24"/>
              </w:rPr>
              <w:t xml:space="preserve"> </w:t>
            </w:r>
            <w:r w:rsidRPr="00A270F0">
              <w:rPr>
                <w:rFonts w:cs="Times New Roman"/>
                <w:szCs w:val="24"/>
              </w:rPr>
              <w:t>kā sociāli atbildīgu iepirkumu</w:t>
            </w:r>
            <w:r w:rsidR="00DB48CD">
              <w:rPr>
                <w:rFonts w:cs="Times New Roman"/>
                <w:szCs w:val="24"/>
              </w:rPr>
              <w:t>s</w:t>
            </w:r>
            <w:r>
              <w:rPr>
                <w:rFonts w:cs="Times New Roman"/>
                <w:szCs w:val="24"/>
              </w:rPr>
              <w:t xml:space="preserve"> un </w:t>
            </w:r>
            <w:r>
              <w:rPr>
                <w:shd w:val="clear" w:color="auto" w:fill="FFFFFF"/>
              </w:rPr>
              <w:t xml:space="preserve"> pretendent</w:t>
            </w:r>
            <w:r w:rsidR="00DB48CD">
              <w:rPr>
                <w:shd w:val="clear" w:color="auto" w:fill="FFFFFF"/>
              </w:rPr>
              <w:t>i tiks</w:t>
            </w:r>
            <w:r>
              <w:rPr>
                <w:shd w:val="clear" w:color="auto" w:fill="FFFFFF"/>
              </w:rPr>
              <w:t xml:space="preserve"> izrau</w:t>
            </w:r>
            <w:r w:rsidR="00DB48CD">
              <w:rPr>
                <w:shd w:val="clear" w:color="auto" w:fill="FFFFFF"/>
              </w:rPr>
              <w:t>dzīti</w:t>
            </w:r>
            <w:r>
              <w:rPr>
                <w:shd w:val="clear" w:color="auto" w:fill="FFFFFF"/>
              </w:rPr>
              <w:t xml:space="preserve"> atklātā, pārredzamā, nediskriminējošā un konkurenci nodrošinošā iepirkuma procedūrā</w:t>
            </w:r>
            <w:r w:rsidR="00DB48CD">
              <w:rPr>
                <w:shd w:val="clear" w:color="auto" w:fill="FFFFFF"/>
              </w:rPr>
              <w:t>.</w:t>
            </w:r>
          </w:p>
          <w:p w14:paraId="09901E29" w14:textId="77777777" w:rsidR="00C91C3A" w:rsidRPr="00A270F0" w:rsidRDefault="00C91C3A" w:rsidP="00C91C3A">
            <w:pPr>
              <w:ind w:firstLine="0"/>
              <w:rPr>
                <w:rFonts w:cs="Times New Roman"/>
                <w:szCs w:val="24"/>
              </w:rPr>
            </w:pPr>
          </w:p>
          <w:p w14:paraId="78E1B1B4" w14:textId="77777777" w:rsidR="00C91C3A" w:rsidRPr="00A270F0" w:rsidRDefault="00C91C3A" w:rsidP="00C91C3A">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56B4A0B" w14:textId="77777777" w:rsidR="00C91C3A" w:rsidRPr="00A270F0" w:rsidRDefault="00C91C3A" w:rsidP="00C91C3A">
            <w:pPr>
              <w:ind w:firstLine="0"/>
              <w:rPr>
                <w:rFonts w:cs="Times New Roman"/>
                <w:szCs w:val="24"/>
              </w:rPr>
            </w:pPr>
          </w:p>
          <w:p w14:paraId="00044105" w14:textId="77777777" w:rsidR="00C91C3A" w:rsidRDefault="00C91C3A" w:rsidP="00C91C3A">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2E25F1A" w14:textId="77777777" w:rsidR="00C91C3A" w:rsidRPr="00A270F0" w:rsidRDefault="00C91C3A" w:rsidP="00C91C3A">
            <w:pPr>
              <w:ind w:firstLine="0"/>
              <w:rPr>
                <w:rFonts w:cs="Times New Roman"/>
                <w:szCs w:val="24"/>
              </w:rPr>
            </w:pPr>
          </w:p>
        </w:tc>
        <w:tc>
          <w:tcPr>
            <w:tcW w:w="5093" w:type="dxa"/>
          </w:tcPr>
          <w:p w14:paraId="41672763" w14:textId="71C99F9B" w:rsidR="00C91C3A" w:rsidRPr="00E50725" w:rsidRDefault="00C91C3A" w:rsidP="00C91C3A">
            <w:pPr>
              <w:ind w:firstLine="0"/>
            </w:pPr>
          </w:p>
        </w:tc>
      </w:tr>
      <w:tr w:rsidR="00C91C3A" w:rsidRPr="00A270F0" w14:paraId="4BDC2628" w14:textId="77777777" w:rsidTr="00887D88">
        <w:tc>
          <w:tcPr>
            <w:tcW w:w="704" w:type="dxa"/>
          </w:tcPr>
          <w:p w14:paraId="13B777F7" w14:textId="27E98E61" w:rsidR="00C91C3A" w:rsidRDefault="00C91C3A" w:rsidP="0079091A">
            <w:pPr>
              <w:ind w:firstLine="0"/>
              <w:rPr>
                <w:rFonts w:cs="Times New Roman"/>
                <w:szCs w:val="24"/>
                <w:shd w:val="clear" w:color="auto" w:fill="FFFFFF"/>
              </w:rPr>
            </w:pPr>
            <w:r w:rsidRPr="006939F6">
              <w:rPr>
                <w:rFonts w:cs="Times New Roman"/>
                <w:szCs w:val="24"/>
                <w:shd w:val="clear" w:color="auto" w:fill="FFFFFF"/>
              </w:rPr>
              <w:t>1</w:t>
            </w:r>
            <w:r w:rsidR="00FA69DA">
              <w:rPr>
                <w:rFonts w:cs="Times New Roman"/>
                <w:szCs w:val="24"/>
                <w:shd w:val="clear" w:color="auto" w:fill="FFFFFF"/>
              </w:rPr>
              <w:t>1</w:t>
            </w:r>
            <w:r w:rsidR="00D35B05" w:rsidRPr="006939F6">
              <w:rPr>
                <w:rFonts w:cs="Times New Roman"/>
                <w:szCs w:val="24"/>
                <w:shd w:val="clear" w:color="auto" w:fill="FFFFFF"/>
              </w:rPr>
              <w:t>.</w:t>
            </w:r>
          </w:p>
        </w:tc>
        <w:tc>
          <w:tcPr>
            <w:tcW w:w="2845" w:type="dxa"/>
          </w:tcPr>
          <w:p w14:paraId="0F13C352" w14:textId="5570BA29" w:rsidR="00A078C4" w:rsidRDefault="00C91C3A" w:rsidP="0079091A">
            <w:pPr>
              <w:ind w:firstLine="0"/>
              <w:rPr>
                <w:rFonts w:cs="Times New Roman"/>
                <w:szCs w:val="24"/>
                <w:shd w:val="clear" w:color="auto" w:fill="FFFFFF"/>
              </w:rPr>
            </w:pPr>
            <w:r>
              <w:rPr>
                <w:rFonts w:cs="Times New Roman"/>
                <w:szCs w:val="24"/>
                <w:shd w:val="clear" w:color="auto" w:fill="FFFFFF"/>
              </w:rPr>
              <w:t>Finansējuma saņēmējs</w:t>
            </w:r>
            <w:r w:rsidR="00A078C4">
              <w:rPr>
                <w:rFonts w:cs="Times New Roman"/>
                <w:szCs w:val="24"/>
                <w:shd w:val="clear" w:color="auto" w:fill="FFFFFF"/>
              </w:rPr>
              <w:t>:</w:t>
            </w:r>
            <w:r w:rsidR="000A763A">
              <w:rPr>
                <w:rFonts w:cs="Times New Roman"/>
                <w:szCs w:val="24"/>
                <w:shd w:val="clear" w:color="auto" w:fill="FFFFFF"/>
              </w:rPr>
              <w:t xml:space="preserve"> </w:t>
            </w:r>
          </w:p>
          <w:p w14:paraId="18D7E979" w14:textId="77777777" w:rsidR="00C91C3A" w:rsidRDefault="000A763A" w:rsidP="00A078C4">
            <w:pPr>
              <w:pStyle w:val="ListParagraph"/>
              <w:numPr>
                <w:ilvl w:val="0"/>
                <w:numId w:val="44"/>
              </w:numPr>
              <w:ind w:left="184" w:hanging="184"/>
              <w:rPr>
                <w:shd w:val="clear" w:color="auto" w:fill="FFFFFF"/>
              </w:rPr>
            </w:pPr>
            <w:r w:rsidRPr="00A078C4">
              <w:rPr>
                <w:shd w:val="clear" w:color="auto" w:fill="FFFFFF"/>
              </w:rPr>
              <w:t>reģionālā slimnīca vai klīniskā universitātes slimnīca</w:t>
            </w:r>
            <w:r w:rsidR="00A75BCA">
              <w:rPr>
                <w:shd w:val="clear" w:color="auto" w:fill="FFFFFF"/>
              </w:rPr>
              <w:t xml:space="preserve"> nodrošina </w:t>
            </w:r>
            <w:r w:rsidR="00E3377D" w:rsidRPr="00A078C4">
              <w:rPr>
                <w:shd w:val="clear" w:color="auto" w:fill="FFFFFF"/>
              </w:rPr>
              <w:t>dokumentācijas par saņemto komercdarbības atbalstu glabāšanu 10 gadus no pilnvarojuma termiņa beigām</w:t>
            </w:r>
            <w:r w:rsidR="00A75BCA">
              <w:rPr>
                <w:shd w:val="clear" w:color="auto" w:fill="FFFFFF"/>
              </w:rPr>
              <w:t>;</w:t>
            </w:r>
          </w:p>
          <w:p w14:paraId="00820864" w14:textId="79E4558C" w:rsidR="00A75BCA" w:rsidRPr="00A078C4" w:rsidRDefault="00A75BCA" w:rsidP="00A078C4">
            <w:pPr>
              <w:pStyle w:val="ListParagraph"/>
              <w:numPr>
                <w:ilvl w:val="0"/>
                <w:numId w:val="44"/>
              </w:numPr>
              <w:ind w:left="184" w:hanging="184"/>
              <w:rPr>
                <w:shd w:val="clear" w:color="auto" w:fill="FFFFFF"/>
              </w:rPr>
            </w:pPr>
            <w:r w:rsidRPr="00A75BCA">
              <w:rPr>
                <w:shd w:val="clear" w:color="auto" w:fill="FFFFFF"/>
              </w:rPr>
              <w:t>RSU MITC</w:t>
            </w:r>
            <w:r>
              <w:t xml:space="preserve"> </w:t>
            </w:r>
            <w:r w:rsidRPr="00A75BCA">
              <w:rPr>
                <w:shd w:val="clear" w:color="auto" w:fill="FFFFFF"/>
              </w:rPr>
              <w:t>nodrošina dokumentācijas par projekta īstenošanu glabāšanu</w:t>
            </w:r>
            <w:r>
              <w:rPr>
                <w:shd w:val="clear" w:color="auto" w:fill="FFFFFF"/>
              </w:rPr>
              <w:t xml:space="preserve"> </w:t>
            </w:r>
            <w:r w:rsidRPr="00A75BCA">
              <w:rPr>
                <w:shd w:val="clear" w:color="auto" w:fill="FFFFFF"/>
              </w:rPr>
              <w:t>vismaz līdz 2031.gada beigām</w:t>
            </w:r>
            <w:r>
              <w:rPr>
                <w:shd w:val="clear" w:color="auto" w:fill="FFFFFF"/>
              </w:rPr>
              <w:t>.</w:t>
            </w:r>
          </w:p>
        </w:tc>
        <w:tc>
          <w:tcPr>
            <w:tcW w:w="5954" w:type="dxa"/>
          </w:tcPr>
          <w:p w14:paraId="2B34E55A" w14:textId="7BE64CAA" w:rsidR="00C91C3A" w:rsidRPr="00A270F0" w:rsidRDefault="00C91C3A" w:rsidP="00C91C3A">
            <w:pPr>
              <w:ind w:firstLine="0"/>
              <w:rPr>
                <w:rFonts w:cs="Times New Roman"/>
                <w:szCs w:val="24"/>
              </w:rPr>
            </w:pPr>
            <w:r w:rsidRPr="00A270F0">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finansējuma saņēmējs</w:t>
            </w:r>
            <w:r w:rsidR="00E3377D">
              <w:rPr>
                <w:rFonts w:cs="Times New Roman"/>
                <w:szCs w:val="24"/>
                <w:shd w:val="clear" w:color="auto" w:fill="FFFFFF"/>
              </w:rPr>
              <w:t>,</w:t>
            </w:r>
            <w:r w:rsidRPr="00A270F0">
              <w:rPr>
                <w:rFonts w:cs="Times New Roman"/>
                <w:szCs w:val="24"/>
                <w:shd w:val="clear" w:color="auto" w:fill="FFFFFF"/>
              </w:rPr>
              <w:t xml:space="preserve"> </w:t>
            </w:r>
            <w:r w:rsidR="00A75BCA">
              <w:rPr>
                <w:rFonts w:cs="Times New Roman"/>
                <w:szCs w:val="24"/>
                <w:shd w:val="clear" w:color="auto" w:fill="FFFFFF"/>
              </w:rPr>
              <w:t>nodrošinās atbilstošu projekta dokumentācijas glabāšanu.</w:t>
            </w:r>
          </w:p>
          <w:p w14:paraId="39B96BA3" w14:textId="77777777" w:rsidR="00E3377D" w:rsidRDefault="00E3377D" w:rsidP="00C91C3A">
            <w:pPr>
              <w:ind w:firstLine="0"/>
              <w:rPr>
                <w:rFonts w:cs="Times New Roman"/>
                <w:szCs w:val="24"/>
              </w:rPr>
            </w:pPr>
          </w:p>
          <w:p w14:paraId="274F76E7" w14:textId="2FC1D29C" w:rsidR="00C91C3A" w:rsidRPr="00A270F0" w:rsidRDefault="00C91C3A" w:rsidP="00C91C3A">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E914127" w14:textId="77777777" w:rsidR="00C91C3A" w:rsidRPr="00A270F0" w:rsidRDefault="00C91C3A" w:rsidP="00C91C3A">
            <w:pPr>
              <w:ind w:firstLine="0"/>
              <w:rPr>
                <w:rFonts w:cs="Times New Roman"/>
                <w:szCs w:val="24"/>
              </w:rPr>
            </w:pPr>
          </w:p>
          <w:p w14:paraId="157D48B7" w14:textId="77777777" w:rsidR="00C91C3A" w:rsidRDefault="00C91C3A" w:rsidP="00C91C3A">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78886A6" w14:textId="77777777" w:rsidR="00C91C3A" w:rsidRPr="00A270F0" w:rsidRDefault="00C91C3A" w:rsidP="0079091A">
            <w:pPr>
              <w:ind w:firstLine="0"/>
            </w:pPr>
          </w:p>
        </w:tc>
        <w:tc>
          <w:tcPr>
            <w:tcW w:w="5093" w:type="dxa"/>
          </w:tcPr>
          <w:p w14:paraId="6BA2491F" w14:textId="77777777" w:rsidR="00C91C3A" w:rsidRPr="00E50725" w:rsidRDefault="00C91C3A" w:rsidP="0079091A">
            <w:pPr>
              <w:ind w:firstLine="0"/>
            </w:pPr>
          </w:p>
        </w:tc>
      </w:tr>
      <w:tr w:rsidR="00C91C3A" w:rsidRPr="00A270F0" w14:paraId="49C0A14D" w14:textId="77777777" w:rsidTr="00887D88">
        <w:tc>
          <w:tcPr>
            <w:tcW w:w="704" w:type="dxa"/>
          </w:tcPr>
          <w:p w14:paraId="0F1F0051" w14:textId="3A9B4933" w:rsidR="00C91C3A" w:rsidRDefault="00C91C3A" w:rsidP="00C91C3A">
            <w:pPr>
              <w:ind w:firstLine="0"/>
              <w:rPr>
                <w:rFonts w:cs="Times New Roman"/>
                <w:szCs w:val="24"/>
                <w:shd w:val="clear" w:color="auto" w:fill="FFFFFF"/>
              </w:rPr>
            </w:pPr>
            <w:r w:rsidRPr="006939F6">
              <w:rPr>
                <w:rFonts w:cs="Times New Roman"/>
                <w:szCs w:val="24"/>
                <w:shd w:val="clear" w:color="auto" w:fill="FFFFFF"/>
              </w:rPr>
              <w:t>1</w:t>
            </w:r>
            <w:r w:rsidR="00FA69DA">
              <w:rPr>
                <w:rFonts w:cs="Times New Roman"/>
                <w:szCs w:val="24"/>
                <w:shd w:val="clear" w:color="auto" w:fill="FFFFFF"/>
              </w:rPr>
              <w:t>2</w:t>
            </w:r>
            <w:r w:rsidR="00D35B05" w:rsidRPr="006939F6">
              <w:rPr>
                <w:rFonts w:cs="Times New Roman"/>
                <w:szCs w:val="24"/>
                <w:shd w:val="clear" w:color="auto" w:fill="FFFFFF"/>
              </w:rPr>
              <w:t>.</w:t>
            </w:r>
          </w:p>
        </w:tc>
        <w:tc>
          <w:tcPr>
            <w:tcW w:w="2845" w:type="dxa"/>
          </w:tcPr>
          <w:p w14:paraId="335BE6DD" w14:textId="5CF29380" w:rsidR="00C91C3A" w:rsidRDefault="00C91C3A" w:rsidP="00C91C3A">
            <w:pPr>
              <w:ind w:firstLine="0"/>
              <w:rPr>
                <w:rFonts w:cs="Times New Roman"/>
                <w:szCs w:val="24"/>
                <w:shd w:val="clear" w:color="auto" w:fill="FFFFFF"/>
              </w:rPr>
            </w:pPr>
            <w:r w:rsidRPr="00B310D4">
              <w:rPr>
                <w:shd w:val="clear" w:color="auto" w:fill="FFFFFF"/>
              </w:rPr>
              <w:t xml:space="preserve">Finansējuma saņēmējs nodrošina </w:t>
            </w:r>
            <w:r>
              <w:t xml:space="preserve"> </w:t>
            </w:r>
            <w:r w:rsidRPr="00C91C3A">
              <w:t xml:space="preserve">informācijas un publicitātes pasākumus saskaņā ar regulas Nr. 2021/241 34.pantu un Eiropas Komisijas un Latvijas Republikas Atveseļošanas un noturības mehānisma finansēšanas nolīguma 10.pantu, kā arī Eiropas Savienības fondu 2021.–2027. gada plānošanas perioda un Atveseļošanas fonda </w:t>
            </w:r>
            <w:r w:rsidRPr="00C91C3A">
              <w:lastRenderedPageBreak/>
              <w:t>komunikācijas un dizaina vadlīnijām.</w:t>
            </w:r>
          </w:p>
        </w:tc>
        <w:tc>
          <w:tcPr>
            <w:tcW w:w="5954" w:type="dxa"/>
          </w:tcPr>
          <w:p w14:paraId="5FFD02DB" w14:textId="753B8B67" w:rsidR="00C91C3A" w:rsidRDefault="00C91C3A" w:rsidP="00C91C3A">
            <w:pPr>
              <w:ind w:firstLine="0"/>
            </w:pPr>
            <w:r w:rsidRPr="00B310D4">
              <w:lastRenderedPageBreak/>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nodrošinās</w:t>
            </w:r>
            <w:r w:rsidR="00D35B05">
              <w:rPr>
                <w:rFonts w:cs="Times New Roman"/>
                <w:szCs w:val="24"/>
              </w:rPr>
              <w:t>, ka tiks ievēroti</w:t>
            </w:r>
            <w:r>
              <w:t xml:space="preserve"> </w:t>
            </w:r>
            <w:r w:rsidRPr="00C91C3A">
              <w:t>informācijas un publicitātes pasākum</w:t>
            </w:r>
            <w:r w:rsidR="00D35B05">
              <w:t>i</w:t>
            </w:r>
            <w:r w:rsidRPr="00C91C3A">
              <w:t xml:space="preserve"> saskaņā ar regulas Nr. 2021/241 34.pantu un Eiropas Komisijas un Latvijas Republikas Atveseļošanas un noturības mehānisma finansēšanas nolīguma 10.pantu, kā arī Eiropas Savienības fondu 2021.–2027. gada plānošanas perioda un Atveseļošanas fonda komunikācijas un dizaina vadlīnijām.</w:t>
            </w:r>
          </w:p>
          <w:p w14:paraId="529793C0" w14:textId="77777777" w:rsidR="00C91C3A" w:rsidRPr="00B310D4" w:rsidRDefault="00C91C3A" w:rsidP="00C91C3A">
            <w:pPr>
              <w:ind w:firstLine="0"/>
              <w:rPr>
                <w:rFonts w:cs="Times New Roman"/>
                <w:szCs w:val="24"/>
              </w:rPr>
            </w:pPr>
          </w:p>
          <w:p w14:paraId="0863730A" w14:textId="77777777" w:rsidR="00C91C3A" w:rsidRPr="00B310D4" w:rsidRDefault="00C91C3A" w:rsidP="00C91C3A">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6A40F430" w14:textId="77777777" w:rsidR="00C91C3A" w:rsidRPr="00B310D4" w:rsidRDefault="00C91C3A" w:rsidP="00C91C3A">
            <w:pPr>
              <w:ind w:firstLine="0"/>
              <w:rPr>
                <w:rFonts w:cs="Times New Roman"/>
                <w:szCs w:val="24"/>
              </w:rPr>
            </w:pPr>
          </w:p>
          <w:p w14:paraId="67B4720B" w14:textId="58E4C00F" w:rsidR="00C91C3A" w:rsidRPr="00A270F0" w:rsidRDefault="00C91C3A" w:rsidP="00C91C3A">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tc>
        <w:tc>
          <w:tcPr>
            <w:tcW w:w="5093" w:type="dxa"/>
          </w:tcPr>
          <w:p w14:paraId="1087EDF6" w14:textId="77777777" w:rsidR="00C91C3A" w:rsidRPr="00E50725" w:rsidRDefault="00C91C3A" w:rsidP="00C91C3A">
            <w:pPr>
              <w:ind w:firstLine="0"/>
            </w:pPr>
          </w:p>
        </w:tc>
      </w:tr>
      <w:tr w:rsidR="001B0F28" w:rsidRPr="00A270F0" w14:paraId="3F29B6F1" w14:textId="77777777" w:rsidTr="00887D88">
        <w:tc>
          <w:tcPr>
            <w:tcW w:w="704" w:type="dxa"/>
          </w:tcPr>
          <w:p w14:paraId="6107FC4E" w14:textId="658CFC61" w:rsidR="001B0F28" w:rsidRDefault="001B0F28" w:rsidP="001B0F28">
            <w:pPr>
              <w:ind w:firstLine="0"/>
              <w:rPr>
                <w:rFonts w:cs="Times New Roman"/>
                <w:szCs w:val="24"/>
                <w:shd w:val="clear" w:color="auto" w:fill="FFFFFF"/>
              </w:rPr>
            </w:pPr>
            <w:r>
              <w:rPr>
                <w:rFonts w:cs="Times New Roman"/>
                <w:szCs w:val="24"/>
                <w:shd w:val="clear" w:color="auto" w:fill="FFFFFF"/>
              </w:rPr>
              <w:t>1</w:t>
            </w:r>
            <w:r w:rsidR="00FA69DA">
              <w:rPr>
                <w:rFonts w:cs="Times New Roman"/>
                <w:szCs w:val="24"/>
                <w:shd w:val="clear" w:color="auto" w:fill="FFFFFF"/>
              </w:rPr>
              <w:t>3</w:t>
            </w:r>
            <w:r w:rsidR="00D35B05">
              <w:rPr>
                <w:rFonts w:cs="Times New Roman"/>
                <w:szCs w:val="24"/>
                <w:shd w:val="clear" w:color="auto" w:fill="FFFFFF"/>
              </w:rPr>
              <w:t>.</w:t>
            </w:r>
          </w:p>
        </w:tc>
        <w:tc>
          <w:tcPr>
            <w:tcW w:w="2845" w:type="dxa"/>
          </w:tcPr>
          <w:p w14:paraId="0A6717D4" w14:textId="7E2D999B" w:rsidR="001B0F28" w:rsidRPr="00B310D4" w:rsidRDefault="001B0F28" w:rsidP="001B0F28">
            <w:pPr>
              <w:ind w:firstLine="0"/>
              <w:rPr>
                <w:shd w:val="clear" w:color="auto" w:fill="FFFFFF"/>
              </w:rPr>
            </w:pPr>
            <w:r w:rsidRPr="000E263D">
              <w:rPr>
                <w:rFonts w:cs="Times New Roman"/>
                <w:szCs w:val="24"/>
              </w:rPr>
              <w:t xml:space="preserve">Atbilstoši </w:t>
            </w:r>
            <w:r w:rsidRPr="000E263D">
              <w:rPr>
                <w:rFonts w:cs="Times New Roman"/>
                <w:szCs w:val="24"/>
                <w:shd w:val="clear" w:color="auto" w:fill="FFFFFF"/>
              </w:rPr>
              <w:t>regulas Nr. 2021/241</w:t>
            </w:r>
            <w:r w:rsidRPr="000E263D">
              <w:rPr>
                <w:rFonts w:cs="Times New Roman"/>
                <w:szCs w:val="24"/>
              </w:rPr>
              <w:t xml:space="preserve"> 22. pantam </w:t>
            </w:r>
            <w:r>
              <w:t>f</w:t>
            </w:r>
            <w:r w:rsidRPr="00770178">
              <w:t>inansējuma saņēmējs nodrošina, ka visā projekta īstenošanas laikā tiks ievēroti normatīvajos aktos noteiktie interešu konflikta, korupcijas un krāpšanas novēršanas un dubultā finansējuma novēršanas nosacījumi.</w:t>
            </w:r>
          </w:p>
        </w:tc>
        <w:tc>
          <w:tcPr>
            <w:tcW w:w="5954" w:type="dxa"/>
          </w:tcPr>
          <w:p w14:paraId="0D2C9F3D" w14:textId="77777777" w:rsidR="001B0F28" w:rsidRPr="00BB3AD1" w:rsidRDefault="001B0F28" w:rsidP="001B0F28">
            <w:pPr>
              <w:ind w:firstLine="0"/>
            </w:pPr>
            <w:r w:rsidRPr="00BB3AD1">
              <w:t xml:space="preserve">Vērtējums </w:t>
            </w:r>
            <w:r w:rsidRPr="00BB3AD1">
              <w:rPr>
                <w:b/>
                <w:bCs/>
              </w:rPr>
              <w:t>“atbilst”</w:t>
            </w:r>
            <w:r w:rsidRPr="00BB3AD1">
              <w:t xml:space="preserve"> – projektā sniegts apliecinājums, ka pasākumu plānošanā un īstenošanā tiks ievēroti normatīvajos aktos noteiktie interešu konflikta, korupcijas un krāpšanas novēršanas un dubultā finansējuma novēršanas nosacījumi.</w:t>
            </w:r>
          </w:p>
          <w:p w14:paraId="03E5994B" w14:textId="77777777" w:rsidR="001B0F28" w:rsidRPr="00BB3AD1" w:rsidRDefault="001B0F28" w:rsidP="001B0F28">
            <w:pPr>
              <w:ind w:firstLine="0"/>
            </w:pPr>
          </w:p>
          <w:p w14:paraId="1A367338" w14:textId="77777777" w:rsidR="001B0F28" w:rsidRPr="00BB3AD1" w:rsidRDefault="001B0F28" w:rsidP="001B0F28">
            <w:pPr>
              <w:ind w:firstLine="0"/>
            </w:pPr>
            <w:r w:rsidRPr="00BB3AD1">
              <w:t xml:space="preserve">Vērtējums </w:t>
            </w:r>
            <w:r w:rsidRPr="00BB3AD1">
              <w:rPr>
                <w:b/>
                <w:bCs/>
              </w:rPr>
              <w:t xml:space="preserve">“neatbilst” </w:t>
            </w:r>
            <w:r w:rsidRPr="00BB3AD1">
              <w:t>– projektā nav aprakstīta projekta atbilstība kritērijam.</w:t>
            </w:r>
          </w:p>
          <w:p w14:paraId="35EEDBD3" w14:textId="77777777" w:rsidR="001B0F28" w:rsidRPr="00BB3AD1" w:rsidRDefault="001B0F28" w:rsidP="001B0F28">
            <w:pPr>
              <w:ind w:firstLine="0"/>
            </w:pPr>
          </w:p>
          <w:p w14:paraId="2773F523" w14:textId="77777777" w:rsidR="001B0F28" w:rsidRPr="00BB3AD1" w:rsidRDefault="001B0F28" w:rsidP="001B0F28">
            <w:pPr>
              <w:ind w:firstLine="0"/>
            </w:pPr>
            <w:r w:rsidRPr="00BB3AD1">
              <w:t xml:space="preserve">Vērtējums </w:t>
            </w:r>
            <w:r w:rsidRPr="00BB3AD1">
              <w:rPr>
                <w:b/>
                <w:bCs/>
              </w:rPr>
              <w:t>“novēršami trūkumi”</w:t>
            </w:r>
            <w:r w:rsidRPr="00BB3AD1">
              <w:t xml:space="preserve"> – projektā daļēji aprakstīta projekta atbilstība kritērijam, izvirza atbilstošu nosacījumu papildināt/ precizēt projektu.</w:t>
            </w:r>
          </w:p>
          <w:p w14:paraId="3009CB2D" w14:textId="77777777" w:rsidR="001B0F28" w:rsidRPr="00B310D4" w:rsidRDefault="001B0F28" w:rsidP="001B0F28">
            <w:pPr>
              <w:ind w:firstLine="0"/>
            </w:pPr>
          </w:p>
        </w:tc>
        <w:tc>
          <w:tcPr>
            <w:tcW w:w="5093" w:type="dxa"/>
          </w:tcPr>
          <w:p w14:paraId="02C448CE" w14:textId="77777777" w:rsidR="001B0F28" w:rsidRPr="00E50725" w:rsidRDefault="001B0F28" w:rsidP="001B0F28">
            <w:pPr>
              <w:ind w:firstLine="0"/>
            </w:pPr>
          </w:p>
        </w:tc>
      </w:tr>
      <w:tr w:rsidR="00E436D9" w:rsidRPr="00A270F0" w14:paraId="35DE7F02" w14:textId="77777777" w:rsidTr="00DD1B08">
        <w:tc>
          <w:tcPr>
            <w:tcW w:w="704" w:type="dxa"/>
          </w:tcPr>
          <w:p w14:paraId="41DFF1D9" w14:textId="027E2A95" w:rsidR="00E436D9" w:rsidRPr="00A270F0" w:rsidRDefault="001B0F28" w:rsidP="00E436D9">
            <w:pPr>
              <w:ind w:firstLine="0"/>
              <w:rPr>
                <w:rFonts w:cs="Times New Roman"/>
                <w:szCs w:val="24"/>
              </w:rPr>
            </w:pPr>
            <w:r w:rsidRPr="006939F6">
              <w:rPr>
                <w:rFonts w:cs="Times New Roman"/>
                <w:szCs w:val="24"/>
              </w:rPr>
              <w:t>1</w:t>
            </w:r>
            <w:r w:rsidR="00FA69DA">
              <w:rPr>
                <w:rFonts w:cs="Times New Roman"/>
                <w:szCs w:val="24"/>
              </w:rPr>
              <w:t>4</w:t>
            </w:r>
            <w:r w:rsidR="00D35B05" w:rsidRPr="006939F6">
              <w:rPr>
                <w:rFonts w:cs="Times New Roman"/>
                <w:szCs w:val="24"/>
              </w:rPr>
              <w:t>.</w:t>
            </w:r>
          </w:p>
        </w:tc>
        <w:tc>
          <w:tcPr>
            <w:tcW w:w="2845" w:type="dxa"/>
          </w:tcPr>
          <w:p w14:paraId="474DEAFF" w14:textId="25866138" w:rsidR="00E436D9" w:rsidRPr="00813EE7" w:rsidRDefault="00E436D9" w:rsidP="00E436D9">
            <w:pPr>
              <w:ind w:firstLine="0"/>
              <w:rPr>
                <w:szCs w:val="24"/>
              </w:rPr>
            </w:pPr>
            <w:r w:rsidRPr="00813EE7">
              <w:rPr>
                <w:szCs w:val="24"/>
              </w:rPr>
              <w:t>Projektā</w:t>
            </w:r>
            <w:r w:rsidR="007B3E55">
              <w:rPr>
                <w:szCs w:val="24"/>
              </w:rPr>
              <w:t xml:space="preserve"> aprakstīta</w:t>
            </w:r>
            <w:r w:rsidRPr="00813EE7">
              <w:rPr>
                <w:szCs w:val="24"/>
              </w:rPr>
              <w:t xml:space="preserve"> plānotā sinerģija un demarkācija ar citu valsts, ārvalstu un Eiropas Savienības finanšu atbalsta instrumentiem.</w:t>
            </w:r>
          </w:p>
          <w:p w14:paraId="133D1853" w14:textId="77777777" w:rsidR="00E436D9" w:rsidRPr="00813EE7" w:rsidRDefault="00E436D9" w:rsidP="00E436D9">
            <w:pPr>
              <w:ind w:firstLine="0"/>
              <w:rPr>
                <w:szCs w:val="24"/>
              </w:rPr>
            </w:pPr>
          </w:p>
          <w:p w14:paraId="29DAD9E8" w14:textId="77777777" w:rsidR="00E436D9" w:rsidRPr="00813EE7" w:rsidRDefault="00E436D9" w:rsidP="00E436D9">
            <w:pPr>
              <w:ind w:firstLine="0"/>
              <w:rPr>
                <w:szCs w:val="24"/>
              </w:rPr>
            </w:pPr>
          </w:p>
          <w:p w14:paraId="4BE66422" w14:textId="77777777" w:rsidR="00E436D9" w:rsidRPr="00813EE7" w:rsidRDefault="00E436D9" w:rsidP="00E436D9">
            <w:pPr>
              <w:ind w:firstLine="0"/>
              <w:rPr>
                <w:color w:val="FF0000"/>
                <w:szCs w:val="24"/>
              </w:rPr>
            </w:pPr>
          </w:p>
        </w:tc>
        <w:tc>
          <w:tcPr>
            <w:tcW w:w="5954" w:type="dxa"/>
          </w:tcPr>
          <w:p w14:paraId="609C57CC" w14:textId="77777777" w:rsidR="00E436D9" w:rsidRPr="00A270F0" w:rsidRDefault="00E436D9" w:rsidP="00E436D9">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aprakstīts, </w:t>
            </w:r>
            <w:r w:rsidRPr="00A270F0">
              <w:t xml:space="preserve">kā projekta darbības sekmēs plānoto darbu sasaisti, </w:t>
            </w:r>
            <w:r w:rsidRPr="00A270F0">
              <w:rPr>
                <w:szCs w:val="24"/>
              </w:rPr>
              <w:t xml:space="preserve">sinerģiju un demarkāciju ar citu valsts, ārvalstu un Eiropas Savienības finanšu atbalsta instrumentiem, </w:t>
            </w:r>
            <w:proofErr w:type="spellStart"/>
            <w:r w:rsidRPr="00A270F0">
              <w:rPr>
                <w:szCs w:val="24"/>
              </w:rPr>
              <w:t>dubultfinansējuma</w:t>
            </w:r>
            <w:proofErr w:type="spellEnd"/>
            <w:r w:rsidRPr="00A270F0">
              <w:rPr>
                <w:szCs w:val="24"/>
              </w:rPr>
              <w:t xml:space="preserve"> riska mazināšanai.</w:t>
            </w:r>
          </w:p>
          <w:p w14:paraId="68E11914" w14:textId="77777777" w:rsidR="00E436D9" w:rsidRPr="00A270F0" w:rsidRDefault="00E436D9" w:rsidP="00E436D9">
            <w:pPr>
              <w:ind w:firstLine="0"/>
              <w:rPr>
                <w:rFonts w:cs="Times New Roman"/>
                <w:szCs w:val="24"/>
              </w:rPr>
            </w:pPr>
          </w:p>
          <w:p w14:paraId="1E8C0AA8" w14:textId="77777777" w:rsidR="00E436D9" w:rsidRPr="00A270F0" w:rsidRDefault="00E436D9" w:rsidP="00E436D9">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D818234" w14:textId="77777777" w:rsidR="00E436D9" w:rsidRPr="00A270F0" w:rsidRDefault="00E436D9" w:rsidP="00E436D9">
            <w:pPr>
              <w:ind w:firstLine="0"/>
              <w:rPr>
                <w:rFonts w:cs="Times New Roman"/>
                <w:szCs w:val="24"/>
              </w:rPr>
            </w:pPr>
          </w:p>
          <w:p w14:paraId="6C6D076A" w14:textId="77777777" w:rsidR="00E436D9" w:rsidRPr="00A270F0" w:rsidRDefault="00E436D9" w:rsidP="00E436D9">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DC25788" w14:textId="77777777" w:rsidR="00E436D9" w:rsidRPr="00A270F0" w:rsidRDefault="00E436D9" w:rsidP="00E436D9">
            <w:pPr>
              <w:ind w:firstLine="0"/>
              <w:rPr>
                <w:color w:val="000000" w:themeColor="text1"/>
                <w:szCs w:val="24"/>
              </w:rPr>
            </w:pPr>
          </w:p>
        </w:tc>
        <w:tc>
          <w:tcPr>
            <w:tcW w:w="5093" w:type="dxa"/>
          </w:tcPr>
          <w:p w14:paraId="13A4D726" w14:textId="77777777" w:rsidR="00E436D9" w:rsidRPr="00A270F0" w:rsidRDefault="00E436D9" w:rsidP="00E436D9">
            <w:pPr>
              <w:ind w:firstLine="0"/>
              <w:rPr>
                <w:rFonts w:cs="Times New Roman"/>
                <w:szCs w:val="24"/>
              </w:rPr>
            </w:pPr>
          </w:p>
        </w:tc>
      </w:tr>
      <w:tr w:rsidR="00F9008D" w:rsidRPr="00A270F0" w14:paraId="2C77F944" w14:textId="77777777" w:rsidTr="00887D88">
        <w:tc>
          <w:tcPr>
            <w:tcW w:w="704" w:type="dxa"/>
          </w:tcPr>
          <w:p w14:paraId="6D09376B" w14:textId="026614D3" w:rsidR="00F9008D" w:rsidRDefault="00F9008D" w:rsidP="00887D88">
            <w:pPr>
              <w:ind w:firstLine="0"/>
              <w:rPr>
                <w:rFonts w:cs="Times New Roman"/>
                <w:szCs w:val="24"/>
                <w:shd w:val="clear" w:color="auto" w:fill="FFFFFF"/>
              </w:rPr>
            </w:pPr>
            <w:r>
              <w:rPr>
                <w:rFonts w:cs="Times New Roman"/>
                <w:szCs w:val="24"/>
                <w:shd w:val="clear" w:color="auto" w:fill="FFFFFF"/>
              </w:rPr>
              <w:t>1</w:t>
            </w:r>
            <w:r w:rsidR="00FA69DA">
              <w:rPr>
                <w:rFonts w:cs="Times New Roman"/>
                <w:szCs w:val="24"/>
                <w:shd w:val="clear" w:color="auto" w:fill="FFFFFF"/>
              </w:rPr>
              <w:t>5</w:t>
            </w:r>
            <w:r w:rsidR="00D35B05">
              <w:rPr>
                <w:rFonts w:cs="Times New Roman"/>
                <w:szCs w:val="24"/>
                <w:shd w:val="clear" w:color="auto" w:fill="FFFFFF"/>
              </w:rPr>
              <w:t>.</w:t>
            </w:r>
          </w:p>
        </w:tc>
        <w:tc>
          <w:tcPr>
            <w:tcW w:w="2845" w:type="dxa"/>
          </w:tcPr>
          <w:p w14:paraId="61F008C7" w14:textId="07A99AB2" w:rsidR="00F9008D" w:rsidRPr="00A270F0" w:rsidRDefault="00F9008D" w:rsidP="00887D88">
            <w:pPr>
              <w:ind w:firstLine="0"/>
              <w:rPr>
                <w:rFonts w:cs="Times New Roman"/>
                <w:szCs w:val="24"/>
                <w:shd w:val="clear" w:color="auto" w:fill="FFFFFF"/>
              </w:rPr>
            </w:pPr>
            <w:r w:rsidRPr="00A270F0">
              <w:rPr>
                <w:rFonts w:cs="Times New Roman"/>
                <w:szCs w:val="24"/>
                <w:shd w:val="clear" w:color="auto" w:fill="FFFFFF"/>
              </w:rPr>
              <w:t>Finansējuma saņēmējs nodrošina</w:t>
            </w:r>
            <w:r>
              <w:rPr>
                <w:rFonts w:cs="Times New Roman"/>
                <w:szCs w:val="24"/>
                <w:shd w:val="clear" w:color="auto" w:fill="FFFFFF"/>
              </w:rPr>
              <w:t xml:space="preserve"> atsevišķu</w:t>
            </w:r>
            <w:r w:rsidRPr="00A270F0">
              <w:rPr>
                <w:rFonts w:cs="Times New Roman"/>
                <w:szCs w:val="24"/>
                <w:shd w:val="clear" w:color="auto" w:fill="FFFFFF"/>
              </w:rPr>
              <w:t xml:space="preserve"> projekta izmaksu, tai skaitā pievienotās vērtības nodokļa izmaksu, uzskaiti </w:t>
            </w:r>
            <w:r w:rsidRPr="00A270F0">
              <w:rPr>
                <w:rFonts w:cs="Times New Roman"/>
                <w:szCs w:val="24"/>
                <w:shd w:val="clear" w:color="auto" w:fill="FFFFFF"/>
              </w:rPr>
              <w:lastRenderedPageBreak/>
              <w:t>un nodalīšanu. Ja sākotnēji plānotais pievienotās vērtības nodokļa apmērs būs lielāks nekā faktiski nepieciešamais, nodrošina pārmaksātā pievienotās vērtības nodokļa atmaksāšanu.</w:t>
            </w:r>
          </w:p>
          <w:p w14:paraId="159FF16B" w14:textId="77777777" w:rsidR="00F9008D" w:rsidRDefault="00F9008D" w:rsidP="00887D88">
            <w:pPr>
              <w:ind w:firstLine="0"/>
              <w:rPr>
                <w:rFonts w:cs="Times New Roman"/>
                <w:szCs w:val="24"/>
                <w:shd w:val="clear" w:color="auto" w:fill="FFFFFF"/>
              </w:rPr>
            </w:pPr>
          </w:p>
        </w:tc>
        <w:tc>
          <w:tcPr>
            <w:tcW w:w="5954" w:type="dxa"/>
          </w:tcPr>
          <w:p w14:paraId="508D99AD" w14:textId="35964C21" w:rsidR="00F9008D" w:rsidRPr="00A270F0" w:rsidRDefault="00F9008D" w:rsidP="00887D88">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w:t>
            </w:r>
            <w:r>
              <w:t>sniegts apliecinājums</w:t>
            </w:r>
            <w:r w:rsidRPr="00A270F0">
              <w:t>, k</w:t>
            </w:r>
            <w:r>
              <w:t>a</w:t>
            </w:r>
            <w:r w:rsidRPr="00A270F0">
              <w:t xml:space="preserve"> tiks nodrošināta</w:t>
            </w:r>
            <w:r>
              <w:t xml:space="preserve"> atsevišķa projekta</w:t>
            </w:r>
            <w:r w:rsidRPr="00A270F0">
              <w:t xml:space="preserve"> </w:t>
            </w:r>
            <w:r w:rsidRPr="00A270F0">
              <w:rPr>
                <w:rFonts w:cs="Times New Roman"/>
                <w:szCs w:val="24"/>
                <w:shd w:val="clear" w:color="auto" w:fill="FFFFFF"/>
              </w:rPr>
              <w:t xml:space="preserve">izmaksu, tai skaitā pievienotās vērtības nodokļa izmaksa, uzskaite un nodalīšana. Ja sākotnēji plānotais pievienotās vērtības nodokļa apmērs būs lielāks nekā faktiski nepieciešamais, </w:t>
            </w:r>
            <w:r w:rsidRPr="00A270F0">
              <w:rPr>
                <w:rFonts w:cs="Times New Roman"/>
                <w:szCs w:val="24"/>
                <w:shd w:val="clear" w:color="auto" w:fill="FFFFFF"/>
              </w:rPr>
              <w:lastRenderedPageBreak/>
              <w:t>aprakstīts, ka tiks nodrošināta pārmaksātā pievienotās vērtības nodokļa atmaksāšana.</w:t>
            </w:r>
          </w:p>
          <w:p w14:paraId="634D6474" w14:textId="77777777" w:rsidR="00F9008D" w:rsidRPr="00A270F0" w:rsidRDefault="00F9008D" w:rsidP="00887D88">
            <w:pPr>
              <w:ind w:firstLine="0"/>
              <w:rPr>
                <w:rFonts w:cs="Times New Roman"/>
                <w:szCs w:val="24"/>
              </w:rPr>
            </w:pPr>
          </w:p>
          <w:p w14:paraId="2B13917B"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8C0DF45" w14:textId="77777777" w:rsidR="00F9008D" w:rsidRPr="00A270F0" w:rsidRDefault="00F9008D" w:rsidP="00887D88">
            <w:pPr>
              <w:ind w:firstLine="0"/>
              <w:rPr>
                <w:rFonts w:cs="Times New Roman"/>
                <w:szCs w:val="24"/>
              </w:rPr>
            </w:pPr>
          </w:p>
          <w:p w14:paraId="0A422DC4" w14:textId="77777777"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33FD5EED" w14:textId="77777777" w:rsidR="00F9008D" w:rsidRPr="00A270F0" w:rsidRDefault="00F9008D" w:rsidP="00887D88">
            <w:pPr>
              <w:ind w:firstLine="0"/>
            </w:pPr>
          </w:p>
        </w:tc>
        <w:tc>
          <w:tcPr>
            <w:tcW w:w="5093" w:type="dxa"/>
          </w:tcPr>
          <w:p w14:paraId="1A2F87C3" w14:textId="1EECCE8D" w:rsidR="00F9008D" w:rsidRPr="00A270F0" w:rsidRDefault="00F9008D" w:rsidP="00F24EDA">
            <w:pPr>
              <w:ind w:firstLine="0"/>
              <w:rPr>
                <w:rFonts w:cs="Times New Roman"/>
                <w:szCs w:val="24"/>
              </w:rPr>
            </w:pPr>
          </w:p>
        </w:tc>
      </w:tr>
      <w:tr w:rsidR="00F9008D" w:rsidRPr="00A270F0" w14:paraId="527989F8" w14:textId="77777777" w:rsidTr="00887D88">
        <w:tc>
          <w:tcPr>
            <w:tcW w:w="14596" w:type="dxa"/>
            <w:gridSpan w:val="4"/>
            <w:shd w:val="clear" w:color="auto" w:fill="D9D9D9" w:themeFill="background1" w:themeFillShade="D9"/>
          </w:tcPr>
          <w:p w14:paraId="6FCACF24" w14:textId="75CEC71E" w:rsidR="00F9008D" w:rsidRPr="00A270F0" w:rsidRDefault="00F9008D" w:rsidP="00887D88">
            <w:pPr>
              <w:spacing w:line="360" w:lineRule="auto"/>
              <w:ind w:firstLine="0"/>
              <w:rPr>
                <w:rFonts w:cs="Times New Roman"/>
                <w:szCs w:val="24"/>
              </w:rPr>
            </w:pPr>
            <w:r w:rsidRPr="00FC7854">
              <w:rPr>
                <w:rFonts w:cs="Times New Roman"/>
                <w:szCs w:val="24"/>
              </w:rPr>
              <w:t>Projekta iesnieguma veidlapas</w:t>
            </w:r>
            <w:r w:rsidR="006939F6" w:rsidRPr="00FC7854">
              <w:rPr>
                <w:rStyle w:val="EndnoteReference"/>
                <w:rFonts w:cs="Times New Roman"/>
                <w:szCs w:val="24"/>
              </w:rPr>
              <w:endnoteReference w:id="1"/>
            </w:r>
            <w:r w:rsidR="006939F6" w:rsidRPr="00FC7854">
              <w:rPr>
                <w:rFonts w:cs="Times New Roman"/>
                <w:szCs w:val="24"/>
              </w:rPr>
              <w:t xml:space="preserve"> </w:t>
            </w:r>
            <w:r w:rsidRPr="00FC7854">
              <w:rPr>
                <w:rFonts w:cs="Times New Roman"/>
                <w:szCs w:val="24"/>
              </w:rPr>
              <w:t>aizpildīšana</w:t>
            </w:r>
          </w:p>
        </w:tc>
      </w:tr>
      <w:tr w:rsidR="00F9008D" w:rsidRPr="00A270F0" w14:paraId="794C544B" w14:textId="77777777" w:rsidTr="00887D88">
        <w:tc>
          <w:tcPr>
            <w:tcW w:w="704" w:type="dxa"/>
          </w:tcPr>
          <w:p w14:paraId="410F8F30" w14:textId="30B4B45E" w:rsidR="00F9008D" w:rsidRPr="00A270F0" w:rsidRDefault="00F9008D" w:rsidP="00887D88">
            <w:pPr>
              <w:ind w:firstLine="0"/>
              <w:rPr>
                <w:rFonts w:cs="Times New Roman"/>
                <w:szCs w:val="24"/>
              </w:rPr>
            </w:pPr>
            <w:r>
              <w:rPr>
                <w:rFonts w:cs="Times New Roman"/>
                <w:szCs w:val="24"/>
              </w:rPr>
              <w:t>1</w:t>
            </w:r>
            <w:r w:rsidR="00FA69DA">
              <w:rPr>
                <w:rFonts w:cs="Times New Roman"/>
                <w:szCs w:val="24"/>
              </w:rPr>
              <w:t>6</w:t>
            </w:r>
            <w:r w:rsidR="00D35B05">
              <w:rPr>
                <w:rFonts w:cs="Times New Roman"/>
                <w:szCs w:val="24"/>
              </w:rPr>
              <w:t>.</w:t>
            </w:r>
          </w:p>
        </w:tc>
        <w:tc>
          <w:tcPr>
            <w:tcW w:w="2845" w:type="dxa"/>
          </w:tcPr>
          <w:p w14:paraId="62DD5C18" w14:textId="5212B783" w:rsidR="00F9008D" w:rsidRDefault="00F9008D" w:rsidP="001B0F28">
            <w:pPr>
              <w:ind w:firstLine="0"/>
              <w:rPr>
                <w:shd w:val="clear" w:color="auto" w:fill="FFFFFF"/>
              </w:rPr>
            </w:pPr>
            <w:r w:rsidRPr="00A270F0">
              <w:rPr>
                <w:rFonts w:cs="Times New Roman"/>
                <w:szCs w:val="24"/>
                <w:shd w:val="clear" w:color="auto" w:fill="FFFFFF"/>
              </w:rPr>
              <w:t>Projekta iesnieguma veidlapa</w:t>
            </w:r>
            <w:r>
              <w:rPr>
                <w:rFonts w:cs="Times New Roman"/>
                <w:szCs w:val="24"/>
                <w:shd w:val="clear" w:color="auto" w:fill="FFFFFF"/>
              </w:rPr>
              <w:t xml:space="preserve"> </w:t>
            </w:r>
            <w:r w:rsidRPr="00A270F0">
              <w:rPr>
                <w:rFonts w:cs="Times New Roman"/>
                <w:szCs w:val="24"/>
                <w:shd w:val="clear" w:color="auto" w:fill="FFFFFF"/>
              </w:rPr>
              <w:t xml:space="preserve"> aizpildīta </w:t>
            </w:r>
            <w:r>
              <w:rPr>
                <w:rFonts w:cs="Times New Roman"/>
                <w:szCs w:val="24"/>
                <w:shd w:val="clear" w:color="auto" w:fill="FFFFFF"/>
              </w:rPr>
              <w:t xml:space="preserve">un iesniegta </w:t>
            </w:r>
            <w:r w:rsidRPr="00A270F0">
              <w:rPr>
                <w:rFonts w:cs="Times New Roman"/>
                <w:szCs w:val="24"/>
                <w:shd w:val="clear" w:color="auto" w:fill="FFFFFF"/>
              </w:rPr>
              <w:t>atbilstoši prasībām un pievienot</w:t>
            </w:r>
            <w:r w:rsidR="001B0F28">
              <w:rPr>
                <w:rFonts w:cs="Times New Roman"/>
                <w:szCs w:val="24"/>
                <w:shd w:val="clear" w:color="auto" w:fill="FFFFFF"/>
              </w:rPr>
              <w:t>s</w:t>
            </w:r>
            <w:r w:rsidRPr="00A270F0">
              <w:rPr>
                <w:rFonts w:cs="Times New Roman"/>
                <w:szCs w:val="24"/>
                <w:shd w:val="clear" w:color="auto" w:fill="FFFFFF"/>
              </w:rPr>
              <w:t xml:space="preserve"> pielikum</w:t>
            </w:r>
            <w:r w:rsidR="001B0F28">
              <w:rPr>
                <w:rFonts w:cs="Times New Roman"/>
                <w:szCs w:val="24"/>
                <w:shd w:val="clear" w:color="auto" w:fill="FFFFFF"/>
              </w:rPr>
              <w:t xml:space="preserve">s </w:t>
            </w:r>
            <w:r w:rsidR="001B0F28">
              <w:rPr>
                <w:shd w:val="clear" w:color="auto" w:fill="FFFFFF"/>
              </w:rPr>
              <w:t>“A</w:t>
            </w:r>
            <w:r w:rsidRPr="001B0F28">
              <w:rPr>
                <w:shd w:val="clear" w:color="auto" w:fill="FFFFFF"/>
              </w:rPr>
              <w:t>pliecinājums</w:t>
            </w:r>
            <w:r w:rsidR="001B0F28">
              <w:rPr>
                <w:shd w:val="clear" w:color="auto" w:fill="FFFFFF"/>
              </w:rPr>
              <w:t>”</w:t>
            </w:r>
            <w:r w:rsidRPr="001B0F28">
              <w:rPr>
                <w:shd w:val="clear" w:color="auto" w:fill="FFFFFF"/>
              </w:rPr>
              <w:t xml:space="preserve"> (par PVN izmaksu uzskaiti un nodalīšanu). </w:t>
            </w:r>
          </w:p>
          <w:p w14:paraId="7F43D9EA" w14:textId="77777777" w:rsidR="00A75BCA" w:rsidRDefault="00A75BCA" w:rsidP="001B0F28">
            <w:pPr>
              <w:ind w:firstLine="0"/>
              <w:rPr>
                <w:shd w:val="clear" w:color="auto" w:fill="FFFFFF"/>
              </w:rPr>
            </w:pPr>
          </w:p>
          <w:p w14:paraId="2BFEE3C9" w14:textId="2DD92A98" w:rsidR="00A75BCA" w:rsidRDefault="00A75BCA" w:rsidP="001B0F28">
            <w:pPr>
              <w:ind w:firstLine="0"/>
              <w:rPr>
                <w:shd w:val="clear" w:color="auto" w:fill="FFFFFF"/>
              </w:rPr>
            </w:pPr>
            <w:r>
              <w:rPr>
                <w:shd w:val="clear" w:color="auto" w:fill="FFFFFF"/>
              </w:rPr>
              <w:t>Papildus reģionālā un klīniskā universitātes slimnīca iesniegusi:</w:t>
            </w:r>
          </w:p>
          <w:p w14:paraId="06666FFE" w14:textId="202868F4" w:rsidR="00A75BCA" w:rsidRDefault="00A75BCA" w:rsidP="00A75BCA">
            <w:pPr>
              <w:pStyle w:val="ListParagraph"/>
              <w:numPr>
                <w:ilvl w:val="0"/>
                <w:numId w:val="45"/>
              </w:numPr>
              <w:ind w:left="184" w:hanging="284"/>
              <w:rPr>
                <w:shd w:val="clear" w:color="auto" w:fill="FFFFFF"/>
              </w:rPr>
            </w:pPr>
            <w:r>
              <w:rPr>
                <w:shd w:val="clear" w:color="auto" w:fill="FFFFFF"/>
              </w:rPr>
              <w:t>P</w:t>
            </w:r>
            <w:r w:rsidRPr="00A75BCA">
              <w:rPr>
                <w:shd w:val="clear" w:color="auto" w:fill="FFFFFF"/>
              </w:rPr>
              <w:t>ublisko izmaksu maksimālā un privāto izmaksu minimālā apjoma aprēķin</w:t>
            </w:r>
            <w:r>
              <w:rPr>
                <w:shd w:val="clear" w:color="auto" w:fill="FFFFFF"/>
              </w:rPr>
              <w:t>u;</w:t>
            </w:r>
          </w:p>
          <w:p w14:paraId="21FECE49" w14:textId="4A1AB4FE" w:rsidR="00A75BCA" w:rsidRDefault="00A75BCA" w:rsidP="00A75BCA">
            <w:pPr>
              <w:pStyle w:val="ListParagraph"/>
              <w:numPr>
                <w:ilvl w:val="0"/>
                <w:numId w:val="45"/>
              </w:numPr>
              <w:ind w:left="184" w:hanging="284"/>
              <w:rPr>
                <w:shd w:val="clear" w:color="auto" w:fill="FFFFFF"/>
              </w:rPr>
            </w:pPr>
            <w:r w:rsidRPr="00A75BCA">
              <w:rPr>
                <w:shd w:val="clear" w:color="auto" w:fill="FFFFFF"/>
              </w:rPr>
              <w:t>Vispārējas tautsaimnieciskas nozīmes pakalpojuma sniegšanas pilnvarojuma uzlicēja apliecinājum</w:t>
            </w:r>
            <w:r>
              <w:rPr>
                <w:shd w:val="clear" w:color="auto" w:fill="FFFFFF"/>
              </w:rPr>
              <w:t>u;</w:t>
            </w:r>
          </w:p>
          <w:p w14:paraId="4193D256" w14:textId="572BB36B" w:rsidR="00A75BCA" w:rsidRPr="00A75BCA" w:rsidRDefault="00A75BCA" w:rsidP="00A75BCA">
            <w:pPr>
              <w:pStyle w:val="ListParagraph"/>
              <w:numPr>
                <w:ilvl w:val="0"/>
                <w:numId w:val="45"/>
              </w:numPr>
              <w:ind w:left="184" w:hanging="284"/>
              <w:rPr>
                <w:shd w:val="clear" w:color="auto" w:fill="FFFFFF"/>
              </w:rPr>
            </w:pPr>
            <w:r w:rsidRPr="00A75BCA">
              <w:rPr>
                <w:shd w:val="clear" w:color="auto" w:fill="FFFFFF"/>
              </w:rPr>
              <w:lastRenderedPageBreak/>
              <w:t>Infrastruktūras izmantošanas proporcijas aprēķin</w:t>
            </w:r>
            <w:r>
              <w:rPr>
                <w:shd w:val="clear" w:color="auto" w:fill="FFFFFF"/>
              </w:rPr>
              <w:t>u.</w:t>
            </w:r>
          </w:p>
          <w:p w14:paraId="22BFA993" w14:textId="77777777" w:rsidR="00A75BCA" w:rsidRPr="001B0F28" w:rsidRDefault="00A75BCA" w:rsidP="001B0F28">
            <w:pPr>
              <w:ind w:firstLine="0"/>
              <w:rPr>
                <w:rFonts w:cs="Times New Roman"/>
                <w:szCs w:val="24"/>
                <w:shd w:val="clear" w:color="auto" w:fill="FFFFFF"/>
              </w:rPr>
            </w:pPr>
          </w:p>
          <w:p w14:paraId="0CF4FBCF" w14:textId="0EFEDFD3" w:rsidR="00F9008D" w:rsidRPr="007D44DE" w:rsidRDefault="00F9008D" w:rsidP="00887D88">
            <w:pPr>
              <w:pStyle w:val="ListParagraph"/>
              <w:rPr>
                <w:shd w:val="clear" w:color="auto" w:fill="FFFFFF"/>
              </w:rPr>
            </w:pPr>
          </w:p>
        </w:tc>
        <w:tc>
          <w:tcPr>
            <w:tcW w:w="5954" w:type="dxa"/>
          </w:tcPr>
          <w:p w14:paraId="51C84882" w14:textId="4603E8E9" w:rsidR="00F9008D" w:rsidRPr="00A270F0" w:rsidRDefault="00F9008D" w:rsidP="00887D88">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iesniegta atbilstoši prasībām aizpildīta projekta iesnieguma veidlapa, pievienoti </w:t>
            </w:r>
            <w:r>
              <w:t xml:space="preserve">visi </w:t>
            </w:r>
            <w:r w:rsidRPr="00A270F0">
              <w:t>nepieciešamie pielikumi</w:t>
            </w:r>
            <w:r w:rsidR="004458B7">
              <w:t xml:space="preserve"> un tie ir korekti aizpildīti.</w:t>
            </w:r>
          </w:p>
          <w:p w14:paraId="0B9291E6" w14:textId="77777777" w:rsidR="00F9008D" w:rsidRPr="00A270F0" w:rsidRDefault="00F9008D" w:rsidP="00887D88">
            <w:pPr>
              <w:ind w:firstLine="0"/>
              <w:rPr>
                <w:rFonts w:cs="Times New Roman"/>
                <w:szCs w:val="24"/>
              </w:rPr>
            </w:pPr>
          </w:p>
          <w:p w14:paraId="10F3E2E6" w14:textId="419C99A5"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nav iesniegta atbilstoši prasībām aizpildīta projekta iesnieguma veidlapa un/vai nav iesniegti nepieciešamie pielikumi.</w:t>
            </w:r>
          </w:p>
          <w:p w14:paraId="775449D3" w14:textId="77777777" w:rsidR="00F9008D" w:rsidRPr="00A270F0" w:rsidRDefault="00F9008D" w:rsidP="00887D88">
            <w:pPr>
              <w:ind w:firstLine="0"/>
              <w:rPr>
                <w:rFonts w:cs="Times New Roman"/>
                <w:szCs w:val="24"/>
              </w:rPr>
            </w:pPr>
          </w:p>
          <w:p w14:paraId="77A10D4C" w14:textId="69AC9F00"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projekta iesnieguma veidlapa daļēji aizpildīta un/vai nav pievienoti visi nepieciešami pielikumi.</w:t>
            </w:r>
          </w:p>
          <w:p w14:paraId="2D6CDFBC" w14:textId="77777777" w:rsidR="00F9008D" w:rsidRPr="00A270F0" w:rsidRDefault="00F9008D" w:rsidP="00887D88">
            <w:pPr>
              <w:ind w:firstLine="0"/>
            </w:pPr>
          </w:p>
        </w:tc>
        <w:tc>
          <w:tcPr>
            <w:tcW w:w="5093" w:type="dxa"/>
          </w:tcPr>
          <w:p w14:paraId="4ECD0493" w14:textId="77777777" w:rsidR="000F7600" w:rsidRPr="00A270F0" w:rsidRDefault="000F7600" w:rsidP="000F7600">
            <w:pPr>
              <w:ind w:firstLine="0"/>
              <w:rPr>
                <w:rFonts w:cs="Times New Roman"/>
                <w:szCs w:val="24"/>
                <w:shd w:val="clear" w:color="auto" w:fill="FFFFFF"/>
              </w:rPr>
            </w:pPr>
          </w:p>
          <w:p w14:paraId="44CFF73A" w14:textId="7054CF3E" w:rsidR="000F7600" w:rsidRPr="000F7600" w:rsidRDefault="000F7600" w:rsidP="00887D88">
            <w:pPr>
              <w:ind w:firstLine="0"/>
              <w:rPr>
                <w:rFonts w:cs="Times New Roman"/>
                <w:szCs w:val="24"/>
              </w:rPr>
            </w:pPr>
          </w:p>
        </w:tc>
      </w:tr>
    </w:tbl>
    <w:p w14:paraId="68E2B45D" w14:textId="38B41862" w:rsidR="008C52CC" w:rsidRPr="00A270F0" w:rsidRDefault="00771E16" w:rsidP="003E0C5B">
      <w:pPr>
        <w:ind w:firstLine="0"/>
      </w:pPr>
      <w:r>
        <w:br w:type="textWrapping" w:clear="all"/>
      </w: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2F464D2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Default="008C52CC" w:rsidP="00CF3408">
      <w:pPr>
        <w:ind w:firstLine="0"/>
        <w:rPr>
          <w:rFonts w:cs="Times New Roman"/>
          <w:sz w:val="6"/>
          <w:szCs w:val="6"/>
        </w:rPr>
      </w:pPr>
    </w:p>
    <w:p w14:paraId="25E2DB91" w14:textId="77777777" w:rsidR="006939F6" w:rsidRDefault="006939F6" w:rsidP="00CF3408">
      <w:pPr>
        <w:ind w:firstLine="0"/>
        <w:rPr>
          <w:rFonts w:cs="Times New Roman"/>
          <w:sz w:val="6"/>
          <w:szCs w:val="6"/>
        </w:rPr>
      </w:pPr>
    </w:p>
    <w:p w14:paraId="352B1685" w14:textId="77777777" w:rsidR="006939F6" w:rsidRDefault="006939F6" w:rsidP="00CF3408">
      <w:pPr>
        <w:ind w:firstLine="0"/>
        <w:rPr>
          <w:rFonts w:cs="Times New Roman"/>
          <w:sz w:val="6"/>
          <w:szCs w:val="6"/>
        </w:rPr>
      </w:pPr>
    </w:p>
    <w:p w14:paraId="4B970A5E" w14:textId="77777777" w:rsidR="003923BE" w:rsidRDefault="003923BE" w:rsidP="00CF3408">
      <w:pPr>
        <w:ind w:firstLine="0"/>
        <w:rPr>
          <w:rFonts w:cs="Times New Roman"/>
          <w:sz w:val="6"/>
          <w:szCs w:val="6"/>
        </w:rPr>
      </w:pPr>
    </w:p>
    <w:p w14:paraId="4396FDCB" w14:textId="77777777" w:rsidR="003923BE" w:rsidRDefault="003923BE" w:rsidP="00CF3408">
      <w:pPr>
        <w:ind w:firstLine="0"/>
        <w:rPr>
          <w:rFonts w:cs="Times New Roman"/>
          <w:sz w:val="6"/>
          <w:szCs w:val="6"/>
        </w:rPr>
      </w:pPr>
    </w:p>
    <w:p w14:paraId="31301C08" w14:textId="77777777" w:rsidR="003923BE" w:rsidRDefault="003923BE" w:rsidP="00CF3408">
      <w:pPr>
        <w:ind w:firstLine="0"/>
        <w:rPr>
          <w:rFonts w:cs="Times New Roman"/>
          <w:sz w:val="6"/>
          <w:szCs w:val="6"/>
        </w:rPr>
      </w:pPr>
    </w:p>
    <w:p w14:paraId="0975ABFB" w14:textId="77777777" w:rsidR="003923BE" w:rsidRDefault="003923BE" w:rsidP="00CF3408">
      <w:pPr>
        <w:ind w:firstLine="0"/>
        <w:rPr>
          <w:rFonts w:cs="Times New Roman"/>
          <w:sz w:val="6"/>
          <w:szCs w:val="6"/>
        </w:rPr>
      </w:pPr>
    </w:p>
    <w:p w14:paraId="55E3F895" w14:textId="77777777" w:rsidR="003923BE" w:rsidRDefault="003923BE" w:rsidP="00CF3408">
      <w:pPr>
        <w:ind w:firstLine="0"/>
        <w:rPr>
          <w:rFonts w:cs="Times New Roman"/>
          <w:sz w:val="6"/>
          <w:szCs w:val="6"/>
        </w:rPr>
      </w:pPr>
    </w:p>
    <w:p w14:paraId="78244817" w14:textId="77777777" w:rsidR="003923BE" w:rsidRDefault="003923BE" w:rsidP="00CF3408">
      <w:pPr>
        <w:ind w:firstLine="0"/>
        <w:rPr>
          <w:rFonts w:cs="Times New Roman"/>
          <w:sz w:val="6"/>
          <w:szCs w:val="6"/>
        </w:rPr>
      </w:pPr>
    </w:p>
    <w:p w14:paraId="3550616C" w14:textId="77777777" w:rsidR="003923BE" w:rsidRDefault="003923BE" w:rsidP="00CF3408">
      <w:pPr>
        <w:ind w:firstLine="0"/>
        <w:rPr>
          <w:rFonts w:cs="Times New Roman"/>
          <w:sz w:val="6"/>
          <w:szCs w:val="6"/>
        </w:rPr>
      </w:pPr>
    </w:p>
    <w:p w14:paraId="52EDE3A4" w14:textId="77777777" w:rsidR="003923BE" w:rsidRDefault="003923BE" w:rsidP="00CF3408">
      <w:pPr>
        <w:ind w:firstLine="0"/>
        <w:rPr>
          <w:rFonts w:cs="Times New Roman"/>
          <w:sz w:val="6"/>
          <w:szCs w:val="6"/>
        </w:rPr>
      </w:pPr>
    </w:p>
    <w:p w14:paraId="1EE01E74" w14:textId="77777777" w:rsidR="003923BE" w:rsidRDefault="003923BE" w:rsidP="00CF3408">
      <w:pPr>
        <w:ind w:firstLine="0"/>
        <w:rPr>
          <w:rFonts w:cs="Times New Roman"/>
          <w:sz w:val="6"/>
          <w:szCs w:val="6"/>
        </w:rPr>
      </w:pPr>
    </w:p>
    <w:p w14:paraId="0375C0C1" w14:textId="77777777" w:rsidR="003923BE" w:rsidRDefault="003923BE" w:rsidP="00CF3408">
      <w:pPr>
        <w:ind w:firstLine="0"/>
        <w:rPr>
          <w:rFonts w:cs="Times New Roman"/>
          <w:sz w:val="6"/>
          <w:szCs w:val="6"/>
        </w:rPr>
      </w:pPr>
    </w:p>
    <w:p w14:paraId="0C9FDA93" w14:textId="77777777" w:rsidR="003923BE" w:rsidRDefault="003923BE" w:rsidP="00CF3408">
      <w:pPr>
        <w:ind w:firstLine="0"/>
        <w:rPr>
          <w:rFonts w:cs="Times New Roman"/>
          <w:sz w:val="6"/>
          <w:szCs w:val="6"/>
        </w:rPr>
      </w:pPr>
    </w:p>
    <w:p w14:paraId="32E1D9A5" w14:textId="77777777" w:rsidR="003923BE" w:rsidRDefault="003923BE" w:rsidP="00CF3408">
      <w:pPr>
        <w:ind w:firstLine="0"/>
        <w:rPr>
          <w:rFonts w:cs="Times New Roman"/>
          <w:sz w:val="6"/>
          <w:szCs w:val="6"/>
        </w:rPr>
      </w:pPr>
    </w:p>
    <w:p w14:paraId="1EA80652" w14:textId="77777777" w:rsidR="003923BE" w:rsidRDefault="003923BE" w:rsidP="00CF3408">
      <w:pPr>
        <w:ind w:firstLine="0"/>
        <w:rPr>
          <w:rFonts w:cs="Times New Roman"/>
          <w:sz w:val="6"/>
          <w:szCs w:val="6"/>
        </w:rPr>
      </w:pPr>
    </w:p>
    <w:p w14:paraId="421095FF" w14:textId="77777777" w:rsidR="003923BE" w:rsidRDefault="003923BE" w:rsidP="00CF3408">
      <w:pPr>
        <w:ind w:firstLine="0"/>
        <w:rPr>
          <w:rFonts w:cs="Times New Roman"/>
          <w:sz w:val="6"/>
          <w:szCs w:val="6"/>
        </w:rPr>
      </w:pPr>
    </w:p>
    <w:p w14:paraId="5665C5C5" w14:textId="77777777" w:rsidR="003923BE" w:rsidRDefault="003923BE" w:rsidP="00CF3408">
      <w:pPr>
        <w:ind w:firstLine="0"/>
        <w:rPr>
          <w:rFonts w:cs="Times New Roman"/>
          <w:sz w:val="6"/>
          <w:szCs w:val="6"/>
        </w:rPr>
      </w:pPr>
    </w:p>
    <w:p w14:paraId="3A23F2BA" w14:textId="77777777" w:rsidR="003923BE" w:rsidRDefault="003923BE" w:rsidP="00CF3408">
      <w:pPr>
        <w:ind w:firstLine="0"/>
        <w:rPr>
          <w:rFonts w:cs="Times New Roman"/>
          <w:sz w:val="6"/>
          <w:szCs w:val="6"/>
        </w:rPr>
      </w:pPr>
    </w:p>
    <w:p w14:paraId="3F442738" w14:textId="77777777" w:rsidR="003923BE" w:rsidRDefault="003923BE" w:rsidP="00CF3408">
      <w:pPr>
        <w:ind w:firstLine="0"/>
        <w:rPr>
          <w:rFonts w:cs="Times New Roman"/>
          <w:sz w:val="6"/>
          <w:szCs w:val="6"/>
        </w:rPr>
      </w:pPr>
    </w:p>
    <w:p w14:paraId="2CC91EB7" w14:textId="77777777" w:rsidR="003923BE" w:rsidRDefault="003923BE" w:rsidP="00CF3408">
      <w:pPr>
        <w:ind w:firstLine="0"/>
        <w:rPr>
          <w:rFonts w:cs="Times New Roman"/>
          <w:sz w:val="6"/>
          <w:szCs w:val="6"/>
        </w:rPr>
      </w:pPr>
    </w:p>
    <w:p w14:paraId="7A77D418" w14:textId="77777777" w:rsidR="003923BE" w:rsidRDefault="003923BE" w:rsidP="00CF3408">
      <w:pPr>
        <w:ind w:firstLine="0"/>
        <w:rPr>
          <w:rFonts w:cs="Times New Roman"/>
          <w:sz w:val="6"/>
          <w:szCs w:val="6"/>
        </w:rPr>
      </w:pPr>
    </w:p>
    <w:p w14:paraId="33804E8D" w14:textId="77777777" w:rsidR="003923BE" w:rsidRDefault="003923BE" w:rsidP="00CF3408">
      <w:pPr>
        <w:ind w:firstLine="0"/>
        <w:rPr>
          <w:rFonts w:cs="Times New Roman"/>
          <w:sz w:val="6"/>
          <w:szCs w:val="6"/>
        </w:rPr>
      </w:pPr>
    </w:p>
    <w:p w14:paraId="59B26A60" w14:textId="77777777" w:rsidR="003923BE" w:rsidRDefault="003923BE" w:rsidP="00CF3408">
      <w:pPr>
        <w:ind w:firstLine="0"/>
        <w:rPr>
          <w:rFonts w:cs="Times New Roman"/>
          <w:sz w:val="6"/>
          <w:szCs w:val="6"/>
        </w:rPr>
      </w:pPr>
    </w:p>
    <w:p w14:paraId="3CF58581" w14:textId="77777777" w:rsidR="003923BE" w:rsidRDefault="003923BE" w:rsidP="00CF3408">
      <w:pPr>
        <w:ind w:firstLine="0"/>
        <w:rPr>
          <w:rFonts w:cs="Times New Roman"/>
          <w:sz w:val="6"/>
          <w:szCs w:val="6"/>
        </w:rPr>
      </w:pPr>
    </w:p>
    <w:p w14:paraId="14EE2D3C" w14:textId="77777777" w:rsidR="003923BE" w:rsidRDefault="003923BE" w:rsidP="00CF3408">
      <w:pPr>
        <w:ind w:firstLine="0"/>
        <w:rPr>
          <w:rFonts w:cs="Times New Roman"/>
          <w:sz w:val="6"/>
          <w:szCs w:val="6"/>
        </w:rPr>
      </w:pPr>
    </w:p>
    <w:p w14:paraId="02C3D941" w14:textId="77777777" w:rsidR="003923BE" w:rsidRDefault="003923BE" w:rsidP="00CF3408">
      <w:pPr>
        <w:ind w:firstLine="0"/>
        <w:rPr>
          <w:rFonts w:cs="Times New Roman"/>
          <w:sz w:val="6"/>
          <w:szCs w:val="6"/>
        </w:rPr>
      </w:pPr>
    </w:p>
    <w:p w14:paraId="6F906231" w14:textId="77777777" w:rsidR="003923BE" w:rsidRDefault="003923BE" w:rsidP="00CF3408">
      <w:pPr>
        <w:ind w:firstLine="0"/>
        <w:rPr>
          <w:rFonts w:cs="Times New Roman"/>
          <w:sz w:val="6"/>
          <w:szCs w:val="6"/>
        </w:rPr>
      </w:pPr>
    </w:p>
    <w:p w14:paraId="454EE113" w14:textId="77777777" w:rsidR="003923BE" w:rsidRDefault="003923BE" w:rsidP="00CF3408">
      <w:pPr>
        <w:ind w:firstLine="0"/>
        <w:rPr>
          <w:rFonts w:cs="Times New Roman"/>
          <w:sz w:val="6"/>
          <w:szCs w:val="6"/>
        </w:rPr>
      </w:pPr>
    </w:p>
    <w:p w14:paraId="4C1DA922" w14:textId="77777777" w:rsidR="003923BE" w:rsidRDefault="003923BE" w:rsidP="00CF3408">
      <w:pPr>
        <w:ind w:firstLine="0"/>
        <w:rPr>
          <w:rFonts w:cs="Times New Roman"/>
          <w:sz w:val="6"/>
          <w:szCs w:val="6"/>
        </w:rPr>
      </w:pPr>
    </w:p>
    <w:p w14:paraId="5A0F8A6C" w14:textId="77777777" w:rsidR="003923BE" w:rsidRDefault="003923BE" w:rsidP="00CF3408">
      <w:pPr>
        <w:ind w:firstLine="0"/>
        <w:rPr>
          <w:rFonts w:cs="Times New Roman"/>
          <w:sz w:val="6"/>
          <w:szCs w:val="6"/>
        </w:rPr>
      </w:pPr>
    </w:p>
    <w:p w14:paraId="689FCE3A" w14:textId="77777777" w:rsidR="003923BE" w:rsidRDefault="003923BE" w:rsidP="00CF3408">
      <w:pPr>
        <w:ind w:firstLine="0"/>
        <w:rPr>
          <w:rFonts w:cs="Times New Roman"/>
          <w:sz w:val="6"/>
          <w:szCs w:val="6"/>
        </w:rPr>
      </w:pPr>
    </w:p>
    <w:p w14:paraId="7BF8A3AB" w14:textId="77777777" w:rsidR="003923BE" w:rsidRDefault="003923BE" w:rsidP="00CF3408">
      <w:pPr>
        <w:ind w:firstLine="0"/>
        <w:rPr>
          <w:rFonts w:cs="Times New Roman"/>
          <w:sz w:val="6"/>
          <w:szCs w:val="6"/>
        </w:rPr>
      </w:pPr>
    </w:p>
    <w:p w14:paraId="3714610A" w14:textId="77777777" w:rsidR="003923BE" w:rsidRDefault="003923BE" w:rsidP="00CF3408">
      <w:pPr>
        <w:ind w:firstLine="0"/>
        <w:rPr>
          <w:rFonts w:cs="Times New Roman"/>
          <w:sz w:val="6"/>
          <w:szCs w:val="6"/>
        </w:rPr>
      </w:pPr>
    </w:p>
    <w:p w14:paraId="37E6ABA0" w14:textId="77777777" w:rsidR="003923BE" w:rsidRDefault="003923BE" w:rsidP="00CF3408">
      <w:pPr>
        <w:ind w:firstLine="0"/>
        <w:rPr>
          <w:rFonts w:cs="Times New Roman"/>
          <w:sz w:val="6"/>
          <w:szCs w:val="6"/>
        </w:rPr>
      </w:pPr>
    </w:p>
    <w:p w14:paraId="31D5BB35" w14:textId="77777777" w:rsidR="003923BE" w:rsidRDefault="003923BE" w:rsidP="00CF3408">
      <w:pPr>
        <w:ind w:firstLine="0"/>
        <w:rPr>
          <w:rFonts w:cs="Times New Roman"/>
          <w:sz w:val="6"/>
          <w:szCs w:val="6"/>
        </w:rPr>
      </w:pPr>
    </w:p>
    <w:p w14:paraId="791A96D4" w14:textId="77777777" w:rsidR="003923BE" w:rsidRDefault="003923BE" w:rsidP="00CF3408">
      <w:pPr>
        <w:ind w:firstLine="0"/>
        <w:rPr>
          <w:rFonts w:cs="Times New Roman"/>
          <w:sz w:val="6"/>
          <w:szCs w:val="6"/>
        </w:rPr>
      </w:pPr>
    </w:p>
    <w:p w14:paraId="3C96F6BC" w14:textId="77777777" w:rsidR="003923BE" w:rsidRDefault="003923BE" w:rsidP="00CF3408">
      <w:pPr>
        <w:ind w:firstLine="0"/>
        <w:rPr>
          <w:rFonts w:cs="Times New Roman"/>
          <w:sz w:val="6"/>
          <w:szCs w:val="6"/>
        </w:rPr>
      </w:pPr>
    </w:p>
    <w:p w14:paraId="1EA0D44C" w14:textId="77777777" w:rsidR="003923BE" w:rsidRDefault="003923BE" w:rsidP="00CF3408">
      <w:pPr>
        <w:ind w:firstLine="0"/>
        <w:rPr>
          <w:rFonts w:cs="Times New Roman"/>
          <w:sz w:val="6"/>
          <w:szCs w:val="6"/>
        </w:rPr>
      </w:pPr>
    </w:p>
    <w:p w14:paraId="7C2CFF57" w14:textId="77777777" w:rsidR="003923BE" w:rsidRDefault="003923BE" w:rsidP="00CF3408">
      <w:pPr>
        <w:ind w:firstLine="0"/>
        <w:rPr>
          <w:rFonts w:cs="Times New Roman"/>
          <w:sz w:val="6"/>
          <w:szCs w:val="6"/>
        </w:rPr>
      </w:pPr>
    </w:p>
    <w:p w14:paraId="491E37EA" w14:textId="77777777" w:rsidR="003923BE" w:rsidRDefault="003923BE" w:rsidP="00CF3408">
      <w:pPr>
        <w:ind w:firstLine="0"/>
        <w:rPr>
          <w:rFonts w:cs="Times New Roman"/>
          <w:sz w:val="6"/>
          <w:szCs w:val="6"/>
        </w:rPr>
      </w:pPr>
    </w:p>
    <w:p w14:paraId="59AB1BBC" w14:textId="77777777" w:rsidR="003923BE" w:rsidRDefault="003923BE" w:rsidP="00CF3408">
      <w:pPr>
        <w:ind w:firstLine="0"/>
        <w:rPr>
          <w:rFonts w:cs="Times New Roman"/>
          <w:sz w:val="6"/>
          <w:szCs w:val="6"/>
        </w:rPr>
      </w:pPr>
    </w:p>
    <w:p w14:paraId="705DC34A" w14:textId="77777777" w:rsidR="003923BE" w:rsidRDefault="003923BE" w:rsidP="00CF3408">
      <w:pPr>
        <w:ind w:firstLine="0"/>
        <w:rPr>
          <w:rFonts w:cs="Times New Roman"/>
          <w:sz w:val="6"/>
          <w:szCs w:val="6"/>
        </w:rPr>
      </w:pPr>
    </w:p>
    <w:p w14:paraId="71AAE388" w14:textId="77777777" w:rsidR="003923BE" w:rsidRDefault="003923BE" w:rsidP="00CF3408">
      <w:pPr>
        <w:ind w:firstLine="0"/>
        <w:rPr>
          <w:rFonts w:cs="Times New Roman"/>
          <w:sz w:val="6"/>
          <w:szCs w:val="6"/>
        </w:rPr>
      </w:pPr>
    </w:p>
    <w:p w14:paraId="305F4B24" w14:textId="77777777" w:rsidR="003923BE" w:rsidRDefault="003923BE" w:rsidP="00CF3408">
      <w:pPr>
        <w:ind w:firstLine="0"/>
        <w:rPr>
          <w:rFonts w:cs="Times New Roman"/>
          <w:sz w:val="6"/>
          <w:szCs w:val="6"/>
        </w:rPr>
      </w:pPr>
    </w:p>
    <w:p w14:paraId="6F919969" w14:textId="77777777" w:rsidR="003923BE" w:rsidRDefault="003923BE" w:rsidP="00CF3408">
      <w:pPr>
        <w:ind w:firstLine="0"/>
        <w:rPr>
          <w:rFonts w:cs="Times New Roman"/>
          <w:sz w:val="6"/>
          <w:szCs w:val="6"/>
        </w:rPr>
      </w:pPr>
    </w:p>
    <w:p w14:paraId="522786F6" w14:textId="77777777" w:rsidR="003923BE" w:rsidRDefault="003923BE" w:rsidP="00CF3408">
      <w:pPr>
        <w:ind w:firstLine="0"/>
        <w:rPr>
          <w:rFonts w:cs="Times New Roman"/>
          <w:sz w:val="6"/>
          <w:szCs w:val="6"/>
        </w:rPr>
      </w:pPr>
    </w:p>
    <w:p w14:paraId="04C34542" w14:textId="77777777" w:rsidR="003923BE" w:rsidRDefault="003923BE" w:rsidP="00CF3408">
      <w:pPr>
        <w:ind w:firstLine="0"/>
        <w:rPr>
          <w:rFonts w:cs="Times New Roman"/>
          <w:sz w:val="6"/>
          <w:szCs w:val="6"/>
        </w:rPr>
      </w:pPr>
    </w:p>
    <w:p w14:paraId="06FFA519" w14:textId="77777777" w:rsidR="003923BE" w:rsidRDefault="003923BE" w:rsidP="00CF3408">
      <w:pPr>
        <w:ind w:firstLine="0"/>
        <w:rPr>
          <w:rFonts w:cs="Times New Roman"/>
          <w:sz w:val="6"/>
          <w:szCs w:val="6"/>
        </w:rPr>
      </w:pPr>
    </w:p>
    <w:sectPr w:rsidR="003923BE" w:rsidSect="00FA06B4">
      <w:footerReference w:type="default" r:id="rId12"/>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5B5CE" w14:textId="77777777" w:rsidR="00FE1DE8" w:rsidRDefault="00FE1DE8" w:rsidP="003F620F">
      <w:r>
        <w:separator/>
      </w:r>
    </w:p>
  </w:endnote>
  <w:endnote w:type="continuationSeparator" w:id="0">
    <w:p w14:paraId="4A726095" w14:textId="77777777" w:rsidR="00FE1DE8" w:rsidRDefault="00FE1DE8" w:rsidP="003F620F">
      <w:r>
        <w:continuationSeparator/>
      </w:r>
    </w:p>
  </w:endnote>
  <w:endnote w:id="1">
    <w:p w14:paraId="62FF4A02" w14:textId="05245EAB" w:rsidR="006939F6" w:rsidRPr="003923BE" w:rsidRDefault="006939F6" w:rsidP="00096ECE">
      <w:pPr>
        <w:pStyle w:val="EndnoteText"/>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5E18D" w14:textId="77777777" w:rsidR="00FE1DE8" w:rsidRDefault="00FE1DE8" w:rsidP="003F620F">
      <w:r>
        <w:separator/>
      </w:r>
    </w:p>
  </w:footnote>
  <w:footnote w:type="continuationSeparator" w:id="0">
    <w:p w14:paraId="6643976E" w14:textId="77777777" w:rsidR="00FE1DE8" w:rsidRDefault="00FE1DE8"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 w:id="2">
    <w:p w14:paraId="17941856" w14:textId="4399BD64" w:rsidR="00994E8E" w:rsidRPr="00C610F9" w:rsidRDefault="00994E8E">
      <w:pPr>
        <w:pStyle w:val="FootnoteText"/>
        <w:rPr>
          <w:lang w:val="en-GB"/>
        </w:rPr>
      </w:pPr>
      <w:r>
        <w:rPr>
          <w:rStyle w:val="FootnoteReference"/>
        </w:rPr>
        <w:footnoteRef/>
      </w:r>
      <w:r>
        <w:t xml:space="preserve"> </w:t>
      </w:r>
      <w:r w:rsidRPr="000E263D">
        <w:rPr>
          <w:rFonts w:cs="Times New Roman"/>
          <w:sz w:val="24"/>
          <w:szCs w:val="24"/>
        </w:rPr>
        <w:t>atbilstoši Iepirkumu uzraudzības biroja sagatavotajai informācijai par Sociāli atbildīgu publisko iepirkumu</w:t>
      </w:r>
      <w:r w:rsidRPr="000E263D">
        <w:rPr>
          <w:rStyle w:val="FootnoteReference"/>
          <w:rFonts w:cs="Times New Roman"/>
          <w:szCs w:val="24"/>
        </w:rPr>
        <w:footnoteRef/>
      </w:r>
      <w:r w:rsidRPr="000E263D">
        <w:rPr>
          <w:rFonts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724F"/>
    <w:multiLevelType w:val="hybridMultilevel"/>
    <w:tmpl w:val="ED50B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0F4C1E"/>
    <w:multiLevelType w:val="hybridMultilevel"/>
    <w:tmpl w:val="D8EA082C"/>
    <w:lvl w:ilvl="0" w:tplc="F510F40A">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9253E0"/>
    <w:multiLevelType w:val="hybridMultilevel"/>
    <w:tmpl w:val="E168E82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72F52E8"/>
    <w:multiLevelType w:val="hybridMultilevel"/>
    <w:tmpl w:val="34C6F692"/>
    <w:lvl w:ilvl="0" w:tplc="82A0BF9C">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5" w15:restartNumberingAfterBreak="0">
    <w:nsid w:val="09D27CB2"/>
    <w:multiLevelType w:val="hybridMultilevel"/>
    <w:tmpl w:val="F304728A"/>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DD5698B"/>
    <w:multiLevelType w:val="hybridMultilevel"/>
    <w:tmpl w:val="9070B5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FA6B91"/>
    <w:multiLevelType w:val="hybridMultilevel"/>
    <w:tmpl w:val="D794EE66"/>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3B6EF5"/>
    <w:multiLevelType w:val="hybridMultilevel"/>
    <w:tmpl w:val="F370B592"/>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495425"/>
    <w:multiLevelType w:val="multilevel"/>
    <w:tmpl w:val="040A40B8"/>
    <w:lvl w:ilvl="0">
      <w:start w:val="3"/>
      <w:numFmt w:val="decimal"/>
      <w:lvlText w:val="3.%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D9B6C41"/>
    <w:multiLevelType w:val="hybridMultilevel"/>
    <w:tmpl w:val="726C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E5BFD"/>
    <w:multiLevelType w:val="hybridMultilevel"/>
    <w:tmpl w:val="9264A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9B0C9B"/>
    <w:multiLevelType w:val="hybridMultilevel"/>
    <w:tmpl w:val="C03AF816"/>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0670E7"/>
    <w:multiLevelType w:val="hybridMultilevel"/>
    <w:tmpl w:val="5A74A6A6"/>
    <w:lvl w:ilvl="0" w:tplc="04260011">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6"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8C062D"/>
    <w:multiLevelType w:val="hybridMultilevel"/>
    <w:tmpl w:val="7EC84914"/>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077D94"/>
    <w:multiLevelType w:val="hybridMultilevel"/>
    <w:tmpl w:val="D5C81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57536F"/>
    <w:multiLevelType w:val="hybridMultilevel"/>
    <w:tmpl w:val="3348C2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AD078A2"/>
    <w:multiLevelType w:val="hybridMultilevel"/>
    <w:tmpl w:val="0DBC6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9464B6"/>
    <w:multiLevelType w:val="hybridMultilevel"/>
    <w:tmpl w:val="B4581A84"/>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3C461208"/>
    <w:multiLevelType w:val="multilevel"/>
    <w:tmpl w:val="88640B22"/>
    <w:lvl w:ilvl="0">
      <w:start w:val="1"/>
      <w:numFmt w:val="decimal"/>
      <w:lvlText w:val="3.%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25" w15:restartNumberingAfterBreak="0">
    <w:nsid w:val="43001B43"/>
    <w:multiLevelType w:val="hybridMultilevel"/>
    <w:tmpl w:val="0D666F58"/>
    <w:lvl w:ilvl="0" w:tplc="C9EE4F20">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49DF245F"/>
    <w:multiLevelType w:val="hybridMultilevel"/>
    <w:tmpl w:val="095C5866"/>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4B274D72"/>
    <w:multiLevelType w:val="hybridMultilevel"/>
    <w:tmpl w:val="4DD2D8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C0531D7"/>
    <w:multiLevelType w:val="hybridMultilevel"/>
    <w:tmpl w:val="9E5CB3D6"/>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0D36A30"/>
    <w:multiLevelType w:val="hybridMultilevel"/>
    <w:tmpl w:val="0532895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0DE6561"/>
    <w:multiLevelType w:val="hybridMultilevel"/>
    <w:tmpl w:val="5F42B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8C7162"/>
    <w:multiLevelType w:val="hybridMultilevel"/>
    <w:tmpl w:val="A95E1AD0"/>
    <w:lvl w:ilvl="0" w:tplc="64E05E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71B3E43"/>
    <w:multiLevelType w:val="hybridMultilevel"/>
    <w:tmpl w:val="9F306B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F346378"/>
    <w:multiLevelType w:val="multilevel"/>
    <w:tmpl w:val="5B5E9F36"/>
    <w:lvl w:ilvl="0">
      <w:start w:val="6"/>
      <w:numFmt w:val="decimal"/>
      <w:lvlText w:val="%1."/>
      <w:lvlJc w:val="left"/>
      <w:pPr>
        <w:ind w:left="540" w:hanging="540"/>
      </w:pPr>
      <w:rPr>
        <w:rFonts w:hint="default"/>
      </w:rPr>
    </w:lvl>
    <w:lvl w:ilvl="1">
      <w:start w:val="5"/>
      <w:numFmt w:val="decimal"/>
      <w:lvlText w:val="%1.%2."/>
      <w:lvlJc w:val="left"/>
      <w:pPr>
        <w:ind w:left="1216" w:hanging="54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9" w15:restartNumberingAfterBreak="0">
    <w:nsid w:val="7018216D"/>
    <w:multiLevelType w:val="multilevel"/>
    <w:tmpl w:val="D968FCAC"/>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40"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3060328"/>
    <w:multiLevelType w:val="hybridMultilevel"/>
    <w:tmpl w:val="79F2AC4A"/>
    <w:lvl w:ilvl="0" w:tplc="B016B566">
      <w:start w:val="1"/>
      <w:numFmt w:val="decimal"/>
      <w:lvlText w:val="b. %1."/>
      <w:lvlJc w:val="left"/>
      <w:pPr>
        <w:ind w:left="2563" w:hanging="360"/>
      </w:pPr>
      <w:rPr>
        <w:rFonts w:hint="default"/>
      </w:rPr>
    </w:lvl>
    <w:lvl w:ilvl="1" w:tplc="04260019" w:tentative="1">
      <w:start w:val="1"/>
      <w:numFmt w:val="lowerLetter"/>
      <w:lvlText w:val="%2."/>
      <w:lvlJc w:val="left"/>
      <w:pPr>
        <w:ind w:left="1440" w:hanging="360"/>
      </w:pPr>
    </w:lvl>
    <w:lvl w:ilvl="2" w:tplc="A836BAA2">
      <w:start w:val="1"/>
      <w:numFmt w:val="decimal"/>
      <w:lvlText w:val="3.16.%3."/>
      <w:lvlJc w:val="righ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3675D4"/>
    <w:multiLevelType w:val="hybridMultilevel"/>
    <w:tmpl w:val="539E3CF4"/>
    <w:lvl w:ilvl="0" w:tplc="618CC216">
      <w:start w:val="3"/>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3E24A3"/>
    <w:multiLevelType w:val="hybridMultilevel"/>
    <w:tmpl w:val="771870C8"/>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6F01633"/>
    <w:multiLevelType w:val="hybridMultilevel"/>
    <w:tmpl w:val="8A06A2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3E0349"/>
    <w:multiLevelType w:val="hybridMultilevel"/>
    <w:tmpl w:val="7DAC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8214106">
    <w:abstractNumId w:val="18"/>
  </w:num>
  <w:num w:numId="2" w16cid:durableId="452292629">
    <w:abstractNumId w:val="26"/>
  </w:num>
  <w:num w:numId="3" w16cid:durableId="904681348">
    <w:abstractNumId w:val="32"/>
  </w:num>
  <w:num w:numId="4" w16cid:durableId="382172587">
    <w:abstractNumId w:val="4"/>
  </w:num>
  <w:num w:numId="5" w16cid:durableId="1332830865">
    <w:abstractNumId w:val="8"/>
  </w:num>
  <w:num w:numId="6" w16cid:durableId="1923368501">
    <w:abstractNumId w:val="36"/>
  </w:num>
  <w:num w:numId="7" w16cid:durableId="1933928832">
    <w:abstractNumId w:val="40"/>
  </w:num>
  <w:num w:numId="8" w16cid:durableId="1874732955">
    <w:abstractNumId w:val="16"/>
  </w:num>
  <w:num w:numId="9" w16cid:durableId="568543069">
    <w:abstractNumId w:val="30"/>
  </w:num>
  <w:num w:numId="10" w16cid:durableId="2103599693">
    <w:abstractNumId w:val="10"/>
  </w:num>
  <w:num w:numId="11" w16cid:durableId="496001518">
    <w:abstractNumId w:val="45"/>
  </w:num>
  <w:num w:numId="12" w16cid:durableId="395974750">
    <w:abstractNumId w:val="27"/>
  </w:num>
  <w:num w:numId="13" w16cid:durableId="70810706">
    <w:abstractNumId w:val="20"/>
  </w:num>
  <w:num w:numId="14" w16cid:durableId="2131126002">
    <w:abstractNumId w:val="39"/>
  </w:num>
  <w:num w:numId="15" w16cid:durableId="685866003">
    <w:abstractNumId w:val="17"/>
  </w:num>
  <w:num w:numId="16" w16cid:durableId="866403612">
    <w:abstractNumId w:val="24"/>
  </w:num>
  <w:num w:numId="17" w16cid:durableId="15351936">
    <w:abstractNumId w:val="38"/>
  </w:num>
  <w:num w:numId="18" w16cid:durableId="17127804">
    <w:abstractNumId w:val="3"/>
  </w:num>
  <w:num w:numId="19" w16cid:durableId="1669088616">
    <w:abstractNumId w:val="11"/>
  </w:num>
  <w:num w:numId="20" w16cid:durableId="1754624151">
    <w:abstractNumId w:val="41"/>
  </w:num>
  <w:num w:numId="21" w16cid:durableId="448668741">
    <w:abstractNumId w:val="12"/>
  </w:num>
  <w:num w:numId="22" w16cid:durableId="1829205409">
    <w:abstractNumId w:val="42"/>
  </w:num>
  <w:num w:numId="23" w16cid:durableId="1548183026">
    <w:abstractNumId w:val="35"/>
  </w:num>
  <w:num w:numId="24" w16cid:durableId="216353870">
    <w:abstractNumId w:val="6"/>
  </w:num>
  <w:num w:numId="25" w16cid:durableId="1200127939">
    <w:abstractNumId w:val="15"/>
  </w:num>
  <w:num w:numId="26" w16cid:durableId="1007634396">
    <w:abstractNumId w:val="44"/>
  </w:num>
  <w:num w:numId="27" w16cid:durableId="430665755">
    <w:abstractNumId w:val="46"/>
  </w:num>
  <w:num w:numId="28" w16cid:durableId="678696300">
    <w:abstractNumId w:val="33"/>
  </w:num>
  <w:num w:numId="29" w16cid:durableId="619654008">
    <w:abstractNumId w:val="25"/>
  </w:num>
  <w:num w:numId="30" w16cid:durableId="219559585">
    <w:abstractNumId w:val="2"/>
  </w:num>
  <w:num w:numId="31" w16cid:durableId="1408501141">
    <w:abstractNumId w:val="28"/>
  </w:num>
  <w:num w:numId="32" w16cid:durableId="855462716">
    <w:abstractNumId w:val="43"/>
  </w:num>
  <w:num w:numId="33" w16cid:durableId="2060392612">
    <w:abstractNumId w:val="5"/>
  </w:num>
  <w:num w:numId="34" w16cid:durableId="1207109845">
    <w:abstractNumId w:val="9"/>
  </w:num>
  <w:num w:numId="35" w16cid:durableId="579994224">
    <w:abstractNumId w:val="23"/>
  </w:num>
  <w:num w:numId="36" w16cid:durableId="726993585">
    <w:abstractNumId w:val="31"/>
  </w:num>
  <w:num w:numId="37" w16cid:durableId="613366457">
    <w:abstractNumId w:val="7"/>
  </w:num>
  <w:num w:numId="38" w16cid:durableId="2018849354">
    <w:abstractNumId w:val="22"/>
  </w:num>
  <w:num w:numId="39" w16cid:durableId="611127487">
    <w:abstractNumId w:val="34"/>
  </w:num>
  <w:num w:numId="40" w16cid:durableId="721444846">
    <w:abstractNumId w:val="1"/>
  </w:num>
  <w:num w:numId="41" w16cid:durableId="1995834421">
    <w:abstractNumId w:val="29"/>
  </w:num>
  <w:num w:numId="42" w16cid:durableId="472019718">
    <w:abstractNumId w:val="0"/>
  </w:num>
  <w:num w:numId="43" w16cid:durableId="1674456524">
    <w:abstractNumId w:val="13"/>
  </w:num>
  <w:num w:numId="44" w16cid:durableId="1120028430">
    <w:abstractNumId w:val="14"/>
  </w:num>
  <w:num w:numId="45" w16cid:durableId="709110627">
    <w:abstractNumId w:val="19"/>
  </w:num>
  <w:num w:numId="46" w16cid:durableId="1020427574">
    <w:abstractNumId w:val="37"/>
  </w:num>
  <w:num w:numId="47" w16cid:durableId="13009589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0EAC"/>
    <w:rsid w:val="00003106"/>
    <w:rsid w:val="0000331D"/>
    <w:rsid w:val="0000482A"/>
    <w:rsid w:val="000140F8"/>
    <w:rsid w:val="00027437"/>
    <w:rsid w:val="00027744"/>
    <w:rsid w:val="00050078"/>
    <w:rsid w:val="00057222"/>
    <w:rsid w:val="00067316"/>
    <w:rsid w:val="00077B5E"/>
    <w:rsid w:val="00080272"/>
    <w:rsid w:val="00083B2C"/>
    <w:rsid w:val="0008472F"/>
    <w:rsid w:val="0009244C"/>
    <w:rsid w:val="000952CF"/>
    <w:rsid w:val="00096ECE"/>
    <w:rsid w:val="000971B1"/>
    <w:rsid w:val="0009761A"/>
    <w:rsid w:val="000A763A"/>
    <w:rsid w:val="000B3E08"/>
    <w:rsid w:val="000C5BD3"/>
    <w:rsid w:val="000E379B"/>
    <w:rsid w:val="000E3811"/>
    <w:rsid w:val="000F2112"/>
    <w:rsid w:val="000F7600"/>
    <w:rsid w:val="001029B7"/>
    <w:rsid w:val="001110BA"/>
    <w:rsid w:val="00111C6E"/>
    <w:rsid w:val="001207B5"/>
    <w:rsid w:val="0012330C"/>
    <w:rsid w:val="00124B5E"/>
    <w:rsid w:val="001446E9"/>
    <w:rsid w:val="001516C5"/>
    <w:rsid w:val="001560A8"/>
    <w:rsid w:val="00162D2A"/>
    <w:rsid w:val="00180DF5"/>
    <w:rsid w:val="001874AC"/>
    <w:rsid w:val="001944C1"/>
    <w:rsid w:val="0019611C"/>
    <w:rsid w:val="001B0F28"/>
    <w:rsid w:val="001C4540"/>
    <w:rsid w:val="001D416A"/>
    <w:rsid w:val="001F0257"/>
    <w:rsid w:val="001F1DF2"/>
    <w:rsid w:val="00217A09"/>
    <w:rsid w:val="002241AD"/>
    <w:rsid w:val="0023521B"/>
    <w:rsid w:val="002366B6"/>
    <w:rsid w:val="00236DE2"/>
    <w:rsid w:val="00244860"/>
    <w:rsid w:val="00250A23"/>
    <w:rsid w:val="0026125F"/>
    <w:rsid w:val="00261FC9"/>
    <w:rsid w:val="0027103A"/>
    <w:rsid w:val="00271A81"/>
    <w:rsid w:val="002946E2"/>
    <w:rsid w:val="002A4C4F"/>
    <w:rsid w:val="002A4F4C"/>
    <w:rsid w:val="002B7499"/>
    <w:rsid w:val="002D08C9"/>
    <w:rsid w:val="002D789F"/>
    <w:rsid w:val="002E17ED"/>
    <w:rsid w:val="002E2155"/>
    <w:rsid w:val="003252C9"/>
    <w:rsid w:val="00337E53"/>
    <w:rsid w:val="00344435"/>
    <w:rsid w:val="00355E20"/>
    <w:rsid w:val="00367440"/>
    <w:rsid w:val="00367DA2"/>
    <w:rsid w:val="00375852"/>
    <w:rsid w:val="00375DD0"/>
    <w:rsid w:val="0038445E"/>
    <w:rsid w:val="003923BE"/>
    <w:rsid w:val="00397BFF"/>
    <w:rsid w:val="003C3BAC"/>
    <w:rsid w:val="003D0C59"/>
    <w:rsid w:val="003D484A"/>
    <w:rsid w:val="003E0C5B"/>
    <w:rsid w:val="003E389D"/>
    <w:rsid w:val="003E5BF4"/>
    <w:rsid w:val="003F620F"/>
    <w:rsid w:val="00404CE8"/>
    <w:rsid w:val="00404E8E"/>
    <w:rsid w:val="00423B1D"/>
    <w:rsid w:val="004257F0"/>
    <w:rsid w:val="004458B7"/>
    <w:rsid w:val="00445C73"/>
    <w:rsid w:val="0046035B"/>
    <w:rsid w:val="004625E1"/>
    <w:rsid w:val="00473F82"/>
    <w:rsid w:val="00481094"/>
    <w:rsid w:val="004A7210"/>
    <w:rsid w:val="004B5095"/>
    <w:rsid w:val="004C0F15"/>
    <w:rsid w:val="004C29BA"/>
    <w:rsid w:val="004D5423"/>
    <w:rsid w:val="004E7311"/>
    <w:rsid w:val="004F0708"/>
    <w:rsid w:val="004F383F"/>
    <w:rsid w:val="004F6429"/>
    <w:rsid w:val="00516422"/>
    <w:rsid w:val="005209D0"/>
    <w:rsid w:val="00534509"/>
    <w:rsid w:val="00534EBB"/>
    <w:rsid w:val="005377F0"/>
    <w:rsid w:val="00540799"/>
    <w:rsid w:val="00540C1D"/>
    <w:rsid w:val="00540C23"/>
    <w:rsid w:val="00563EDC"/>
    <w:rsid w:val="00565803"/>
    <w:rsid w:val="00572D4B"/>
    <w:rsid w:val="0059502F"/>
    <w:rsid w:val="005A0F8B"/>
    <w:rsid w:val="005C634B"/>
    <w:rsid w:val="005D52CD"/>
    <w:rsid w:val="005E7C63"/>
    <w:rsid w:val="006043FD"/>
    <w:rsid w:val="00607346"/>
    <w:rsid w:val="00607D4D"/>
    <w:rsid w:val="00611053"/>
    <w:rsid w:val="00623E9B"/>
    <w:rsid w:val="00626DEF"/>
    <w:rsid w:val="00630D24"/>
    <w:rsid w:val="006345D6"/>
    <w:rsid w:val="00634FA2"/>
    <w:rsid w:val="00654182"/>
    <w:rsid w:val="006608D6"/>
    <w:rsid w:val="00664E7F"/>
    <w:rsid w:val="00672C4C"/>
    <w:rsid w:val="006742D4"/>
    <w:rsid w:val="0067661E"/>
    <w:rsid w:val="006841DF"/>
    <w:rsid w:val="00687548"/>
    <w:rsid w:val="006939F6"/>
    <w:rsid w:val="00693BD1"/>
    <w:rsid w:val="006950FD"/>
    <w:rsid w:val="00696EF4"/>
    <w:rsid w:val="006A7E8A"/>
    <w:rsid w:val="006C1D57"/>
    <w:rsid w:val="006C3760"/>
    <w:rsid w:val="006D3B99"/>
    <w:rsid w:val="006D4210"/>
    <w:rsid w:val="006D431A"/>
    <w:rsid w:val="006E0BB8"/>
    <w:rsid w:val="006F17C0"/>
    <w:rsid w:val="006F22F3"/>
    <w:rsid w:val="006F5C1B"/>
    <w:rsid w:val="006F5D19"/>
    <w:rsid w:val="006F7B63"/>
    <w:rsid w:val="00701D3F"/>
    <w:rsid w:val="0072255B"/>
    <w:rsid w:val="007263DF"/>
    <w:rsid w:val="00727DE8"/>
    <w:rsid w:val="00733EB6"/>
    <w:rsid w:val="0073794C"/>
    <w:rsid w:val="00761D23"/>
    <w:rsid w:val="00771E16"/>
    <w:rsid w:val="00774715"/>
    <w:rsid w:val="00780141"/>
    <w:rsid w:val="0079091A"/>
    <w:rsid w:val="00793CF3"/>
    <w:rsid w:val="007A0DA6"/>
    <w:rsid w:val="007A2264"/>
    <w:rsid w:val="007A2392"/>
    <w:rsid w:val="007B0966"/>
    <w:rsid w:val="007B27EA"/>
    <w:rsid w:val="007B3E55"/>
    <w:rsid w:val="007C2D8B"/>
    <w:rsid w:val="007C6EFF"/>
    <w:rsid w:val="007C7F52"/>
    <w:rsid w:val="007D44DE"/>
    <w:rsid w:val="007D71AE"/>
    <w:rsid w:val="007D74DA"/>
    <w:rsid w:val="007E07FF"/>
    <w:rsid w:val="007E6A1F"/>
    <w:rsid w:val="007F068B"/>
    <w:rsid w:val="0080032B"/>
    <w:rsid w:val="00805D89"/>
    <w:rsid w:val="00807556"/>
    <w:rsid w:val="00813EE7"/>
    <w:rsid w:val="00821832"/>
    <w:rsid w:val="00831A00"/>
    <w:rsid w:val="00856EAF"/>
    <w:rsid w:val="00856F17"/>
    <w:rsid w:val="008612A6"/>
    <w:rsid w:val="00865080"/>
    <w:rsid w:val="008819FA"/>
    <w:rsid w:val="008827CF"/>
    <w:rsid w:val="00885A13"/>
    <w:rsid w:val="00887D88"/>
    <w:rsid w:val="00890393"/>
    <w:rsid w:val="00894A79"/>
    <w:rsid w:val="008C52CC"/>
    <w:rsid w:val="008C7AAF"/>
    <w:rsid w:val="008D4B39"/>
    <w:rsid w:val="008E3B63"/>
    <w:rsid w:val="008E3F18"/>
    <w:rsid w:val="008E7017"/>
    <w:rsid w:val="00901302"/>
    <w:rsid w:val="00904ADC"/>
    <w:rsid w:val="00906191"/>
    <w:rsid w:val="00910770"/>
    <w:rsid w:val="00912B89"/>
    <w:rsid w:val="00913795"/>
    <w:rsid w:val="00917E94"/>
    <w:rsid w:val="009326CF"/>
    <w:rsid w:val="009413DF"/>
    <w:rsid w:val="00941C7A"/>
    <w:rsid w:val="00943BD5"/>
    <w:rsid w:val="00946AA5"/>
    <w:rsid w:val="00965212"/>
    <w:rsid w:val="00977EA2"/>
    <w:rsid w:val="00980759"/>
    <w:rsid w:val="00986A5B"/>
    <w:rsid w:val="00994E8E"/>
    <w:rsid w:val="009969DA"/>
    <w:rsid w:val="009A356D"/>
    <w:rsid w:val="009A3E20"/>
    <w:rsid w:val="009A470D"/>
    <w:rsid w:val="009A5CBC"/>
    <w:rsid w:val="009A733E"/>
    <w:rsid w:val="009C6FBA"/>
    <w:rsid w:val="009C7175"/>
    <w:rsid w:val="009D3470"/>
    <w:rsid w:val="009D5670"/>
    <w:rsid w:val="009E7C67"/>
    <w:rsid w:val="009F26FC"/>
    <w:rsid w:val="009F6FBD"/>
    <w:rsid w:val="00A060DE"/>
    <w:rsid w:val="00A07616"/>
    <w:rsid w:val="00A078C4"/>
    <w:rsid w:val="00A122FA"/>
    <w:rsid w:val="00A14453"/>
    <w:rsid w:val="00A21AF1"/>
    <w:rsid w:val="00A220A4"/>
    <w:rsid w:val="00A270F0"/>
    <w:rsid w:val="00A42E1A"/>
    <w:rsid w:val="00A75BCA"/>
    <w:rsid w:val="00A77F66"/>
    <w:rsid w:val="00A82F2C"/>
    <w:rsid w:val="00A84616"/>
    <w:rsid w:val="00A85271"/>
    <w:rsid w:val="00A91712"/>
    <w:rsid w:val="00AA39CC"/>
    <w:rsid w:val="00AA79EE"/>
    <w:rsid w:val="00AB19B3"/>
    <w:rsid w:val="00AB763C"/>
    <w:rsid w:val="00AE3814"/>
    <w:rsid w:val="00AE485B"/>
    <w:rsid w:val="00AE7F04"/>
    <w:rsid w:val="00B07C45"/>
    <w:rsid w:val="00B310D4"/>
    <w:rsid w:val="00B405EB"/>
    <w:rsid w:val="00B433D4"/>
    <w:rsid w:val="00B45448"/>
    <w:rsid w:val="00B50599"/>
    <w:rsid w:val="00B51302"/>
    <w:rsid w:val="00B525C2"/>
    <w:rsid w:val="00B539B9"/>
    <w:rsid w:val="00B568F9"/>
    <w:rsid w:val="00B67123"/>
    <w:rsid w:val="00B71A47"/>
    <w:rsid w:val="00B75601"/>
    <w:rsid w:val="00B831B9"/>
    <w:rsid w:val="00BA426F"/>
    <w:rsid w:val="00BA74B8"/>
    <w:rsid w:val="00BB3AD1"/>
    <w:rsid w:val="00BB627A"/>
    <w:rsid w:val="00BC5CBE"/>
    <w:rsid w:val="00BC74F4"/>
    <w:rsid w:val="00BD0421"/>
    <w:rsid w:val="00BD1A0C"/>
    <w:rsid w:val="00BD540C"/>
    <w:rsid w:val="00BD5E70"/>
    <w:rsid w:val="00BE0968"/>
    <w:rsid w:val="00BF3D98"/>
    <w:rsid w:val="00C07D86"/>
    <w:rsid w:val="00C2343B"/>
    <w:rsid w:val="00C52209"/>
    <w:rsid w:val="00C610F9"/>
    <w:rsid w:val="00C66BA0"/>
    <w:rsid w:val="00C804CC"/>
    <w:rsid w:val="00C91C3A"/>
    <w:rsid w:val="00CA1573"/>
    <w:rsid w:val="00CA4997"/>
    <w:rsid w:val="00CA6254"/>
    <w:rsid w:val="00CC4A07"/>
    <w:rsid w:val="00CE6EBA"/>
    <w:rsid w:val="00CF3408"/>
    <w:rsid w:val="00D0354C"/>
    <w:rsid w:val="00D16B54"/>
    <w:rsid w:val="00D210FE"/>
    <w:rsid w:val="00D23368"/>
    <w:rsid w:val="00D32A7B"/>
    <w:rsid w:val="00D33E19"/>
    <w:rsid w:val="00D350F1"/>
    <w:rsid w:val="00D35B05"/>
    <w:rsid w:val="00D36437"/>
    <w:rsid w:val="00D36E70"/>
    <w:rsid w:val="00D621F5"/>
    <w:rsid w:val="00D713F7"/>
    <w:rsid w:val="00D72B62"/>
    <w:rsid w:val="00D73897"/>
    <w:rsid w:val="00D7520E"/>
    <w:rsid w:val="00D844B9"/>
    <w:rsid w:val="00D92B38"/>
    <w:rsid w:val="00DA6081"/>
    <w:rsid w:val="00DA7B5C"/>
    <w:rsid w:val="00DB48CD"/>
    <w:rsid w:val="00DB6E48"/>
    <w:rsid w:val="00DC7337"/>
    <w:rsid w:val="00DC7E46"/>
    <w:rsid w:val="00DF3AD1"/>
    <w:rsid w:val="00DF4AF4"/>
    <w:rsid w:val="00E033F4"/>
    <w:rsid w:val="00E07091"/>
    <w:rsid w:val="00E11603"/>
    <w:rsid w:val="00E120DC"/>
    <w:rsid w:val="00E15E2D"/>
    <w:rsid w:val="00E160DC"/>
    <w:rsid w:val="00E310E3"/>
    <w:rsid w:val="00E333B0"/>
    <w:rsid w:val="00E3377D"/>
    <w:rsid w:val="00E340DD"/>
    <w:rsid w:val="00E436D9"/>
    <w:rsid w:val="00E44FB2"/>
    <w:rsid w:val="00E50725"/>
    <w:rsid w:val="00E71345"/>
    <w:rsid w:val="00E7563D"/>
    <w:rsid w:val="00E82663"/>
    <w:rsid w:val="00E92D6B"/>
    <w:rsid w:val="00E97283"/>
    <w:rsid w:val="00EA4697"/>
    <w:rsid w:val="00EA69F1"/>
    <w:rsid w:val="00EB6E12"/>
    <w:rsid w:val="00EE0EBB"/>
    <w:rsid w:val="00EE3B09"/>
    <w:rsid w:val="00EE431D"/>
    <w:rsid w:val="00EF0FEB"/>
    <w:rsid w:val="00F06CBE"/>
    <w:rsid w:val="00F209F8"/>
    <w:rsid w:val="00F24EDA"/>
    <w:rsid w:val="00F27EF0"/>
    <w:rsid w:val="00F66399"/>
    <w:rsid w:val="00F66B25"/>
    <w:rsid w:val="00F77483"/>
    <w:rsid w:val="00F80192"/>
    <w:rsid w:val="00F83C85"/>
    <w:rsid w:val="00F85F32"/>
    <w:rsid w:val="00F8668B"/>
    <w:rsid w:val="00F86B2B"/>
    <w:rsid w:val="00F9008D"/>
    <w:rsid w:val="00F95FC4"/>
    <w:rsid w:val="00FA06B4"/>
    <w:rsid w:val="00FA1868"/>
    <w:rsid w:val="00FA2E40"/>
    <w:rsid w:val="00FA69DA"/>
    <w:rsid w:val="00FC0B9C"/>
    <w:rsid w:val="00FC394A"/>
    <w:rsid w:val="00FC3A1D"/>
    <w:rsid w:val="00FC52D8"/>
    <w:rsid w:val="00FC5411"/>
    <w:rsid w:val="00FC7854"/>
    <w:rsid w:val="00FE1D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BB"/>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99"/>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99"/>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 w:type="character" w:styleId="PlaceholderText">
    <w:name w:val="Placeholder Text"/>
    <w:basedOn w:val="DefaultParagraphFont"/>
    <w:uiPriority w:val="99"/>
    <w:semiHidden/>
    <w:rsid w:val="000F2112"/>
    <w:rPr>
      <w:color w:val="808080"/>
    </w:rPr>
  </w:style>
  <w:style w:type="character" w:styleId="FollowedHyperlink">
    <w:name w:val="FollowedHyperlink"/>
    <w:basedOn w:val="DefaultParagraphFont"/>
    <w:uiPriority w:val="99"/>
    <w:semiHidden/>
    <w:unhideWhenUsed/>
    <w:rsid w:val="00375DD0"/>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994E8E"/>
    <w:pPr>
      <w:spacing w:after="160" w:line="240" w:lineRule="exact"/>
      <w:ind w:left="567" w:hanging="499"/>
      <w:textAlignment w:val="baseline"/>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885636">
      <w:bodyDiv w:val="1"/>
      <w:marLeft w:val="0"/>
      <w:marRight w:val="0"/>
      <w:marTop w:val="0"/>
      <w:marBottom w:val="0"/>
      <w:divBdr>
        <w:top w:val="none" w:sz="0" w:space="0" w:color="auto"/>
        <w:left w:val="none" w:sz="0" w:space="0" w:color="auto"/>
        <w:bottom w:val="none" w:sz="0" w:space="0" w:color="auto"/>
        <w:right w:val="none" w:sz="0" w:space="0" w:color="auto"/>
      </w:divBdr>
    </w:div>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679849772">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 w:id="17835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NPA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customXml/itemProps2.xml><?xml version="1.0" encoding="utf-8"?>
<ds:datastoreItem xmlns:ds="http://schemas.openxmlformats.org/officeDocument/2006/customXml" ds:itemID="{15846FB1-7D1E-4297-8380-C14FA12A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83994A-0B08-4782-BFF3-0CB2483B3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13</Pages>
  <Words>11414</Words>
  <Characters>6506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Kristīne Straume</cp:lastModifiedBy>
  <cp:revision>46</cp:revision>
  <cp:lastPrinted>2024-06-13T07:13:00Z</cp:lastPrinted>
  <dcterms:created xsi:type="dcterms:W3CDTF">2022-08-08T15:06:00Z</dcterms:created>
  <dcterms:modified xsi:type="dcterms:W3CDTF">2024-11-08T07:12:00Z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