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929" w:rsidRPr="001A3539" w:rsidRDefault="005B7929" w:rsidP="007F2224">
      <w:pPr>
        <w:ind w:left="9923"/>
        <w:jc w:val="both"/>
        <w:rPr>
          <w:b w:val="0"/>
        </w:rPr>
      </w:pPr>
      <w:r w:rsidRPr="001A3539">
        <w:rPr>
          <w:b w:val="0"/>
        </w:rPr>
        <w:t>7.pielikums</w:t>
      </w:r>
      <w:bookmarkStart w:id="0" w:name="OLE_LINK1"/>
      <w:bookmarkStart w:id="1" w:name="OLE_LINK2"/>
      <w:r w:rsidR="007F2224" w:rsidRPr="001A3539">
        <w:rPr>
          <w:b w:val="0"/>
        </w:rPr>
        <w:t xml:space="preserve"> Koncepcijas projektam par veselības aprūpes sistēmas finansēšanas modeli</w:t>
      </w:r>
      <w:bookmarkEnd w:id="0"/>
      <w:bookmarkEnd w:id="1"/>
    </w:p>
    <w:p w:rsidR="002D17FE" w:rsidRPr="001A3539" w:rsidRDefault="002D17FE" w:rsidP="002D17FE">
      <w:pPr>
        <w:jc w:val="center"/>
      </w:pPr>
      <w:r w:rsidRPr="001A3539">
        <w:t>Informācija par nepieciešamajām štata vietām Nacionālā veselības dienesta institucionālās kapacitātes stiprināšanai</w:t>
      </w:r>
    </w:p>
    <w:tbl>
      <w:tblPr>
        <w:tblW w:w="14190" w:type="dxa"/>
        <w:jc w:val="center"/>
        <w:tblInd w:w="93" w:type="dxa"/>
        <w:tblLook w:val="04A0"/>
      </w:tblPr>
      <w:tblGrid>
        <w:gridCol w:w="1540"/>
        <w:gridCol w:w="856"/>
        <w:gridCol w:w="803"/>
        <w:gridCol w:w="950"/>
        <w:gridCol w:w="1296"/>
        <w:gridCol w:w="8745"/>
      </w:tblGrid>
      <w:tr w:rsidR="002D17FE" w:rsidRPr="001A3539" w:rsidTr="008D285E">
        <w:trPr>
          <w:trHeight w:val="1055"/>
          <w:jc w:val="center"/>
        </w:trPr>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2D17FE" w:rsidRPr="001A3539" w:rsidRDefault="002D17FE" w:rsidP="008D285E">
            <w:pPr>
              <w:spacing w:after="0" w:line="240" w:lineRule="auto"/>
              <w:jc w:val="center"/>
              <w:rPr>
                <w:rFonts w:eastAsia="Times New Roman"/>
                <w:color w:val="000000"/>
                <w:lang w:eastAsia="lv-LV"/>
              </w:rPr>
            </w:pPr>
            <w:r w:rsidRPr="001A3539">
              <w:rPr>
                <w:rFonts w:eastAsia="Times New Roman"/>
                <w:color w:val="000000"/>
                <w:lang w:eastAsia="lv-LV"/>
              </w:rPr>
              <w:t>amata nosaukums</w:t>
            </w:r>
          </w:p>
        </w:tc>
        <w:tc>
          <w:tcPr>
            <w:tcW w:w="694" w:type="dxa"/>
            <w:tcBorders>
              <w:top w:val="single" w:sz="4" w:space="0" w:color="auto"/>
              <w:left w:val="nil"/>
              <w:bottom w:val="single" w:sz="4" w:space="0" w:color="auto"/>
              <w:right w:val="single" w:sz="4" w:space="0" w:color="auto"/>
            </w:tcBorders>
            <w:shd w:val="clear" w:color="auto" w:fill="auto"/>
            <w:hideMark/>
          </w:tcPr>
          <w:p w:rsidR="002D17FE" w:rsidRPr="001A3539" w:rsidRDefault="002D17FE" w:rsidP="008D285E">
            <w:pPr>
              <w:spacing w:after="0" w:line="240" w:lineRule="auto"/>
              <w:jc w:val="center"/>
              <w:rPr>
                <w:rFonts w:eastAsia="Times New Roman"/>
                <w:color w:val="000000"/>
                <w:lang w:eastAsia="lv-LV"/>
              </w:rPr>
            </w:pPr>
            <w:r w:rsidRPr="001A3539">
              <w:rPr>
                <w:rFonts w:eastAsia="Times New Roman"/>
                <w:color w:val="000000"/>
                <w:lang w:eastAsia="lv-LV"/>
              </w:rPr>
              <w:t>amata vietu skaits</w:t>
            </w:r>
          </w:p>
        </w:tc>
        <w:tc>
          <w:tcPr>
            <w:tcW w:w="700" w:type="dxa"/>
            <w:tcBorders>
              <w:top w:val="single" w:sz="4" w:space="0" w:color="auto"/>
              <w:left w:val="nil"/>
              <w:bottom w:val="single" w:sz="4" w:space="0" w:color="auto"/>
              <w:right w:val="single" w:sz="4" w:space="0" w:color="auto"/>
            </w:tcBorders>
            <w:shd w:val="clear" w:color="auto" w:fill="auto"/>
            <w:hideMark/>
          </w:tcPr>
          <w:p w:rsidR="002D17FE" w:rsidRPr="001A3539" w:rsidRDefault="002D17FE" w:rsidP="008D285E">
            <w:pPr>
              <w:spacing w:after="0" w:line="240" w:lineRule="auto"/>
              <w:jc w:val="center"/>
              <w:rPr>
                <w:rFonts w:eastAsia="Times New Roman"/>
                <w:color w:val="000000"/>
                <w:lang w:eastAsia="lv-LV"/>
              </w:rPr>
            </w:pPr>
            <w:r w:rsidRPr="001A3539">
              <w:rPr>
                <w:rFonts w:eastAsia="Times New Roman"/>
                <w:color w:val="000000"/>
                <w:lang w:eastAsia="lv-LV"/>
              </w:rPr>
              <w:t>saime</w:t>
            </w:r>
          </w:p>
        </w:tc>
        <w:tc>
          <w:tcPr>
            <w:tcW w:w="805" w:type="dxa"/>
            <w:tcBorders>
              <w:top w:val="single" w:sz="4" w:space="0" w:color="auto"/>
              <w:left w:val="nil"/>
              <w:bottom w:val="single" w:sz="4" w:space="0" w:color="auto"/>
              <w:right w:val="single" w:sz="4" w:space="0" w:color="auto"/>
            </w:tcBorders>
            <w:shd w:val="clear" w:color="auto" w:fill="auto"/>
            <w:hideMark/>
          </w:tcPr>
          <w:p w:rsidR="002D17FE" w:rsidRPr="001A3539" w:rsidRDefault="002D17FE" w:rsidP="008D285E">
            <w:pPr>
              <w:spacing w:after="0" w:line="240" w:lineRule="auto"/>
              <w:jc w:val="center"/>
              <w:rPr>
                <w:rFonts w:eastAsia="Times New Roman"/>
                <w:color w:val="000000"/>
                <w:lang w:eastAsia="lv-LV"/>
              </w:rPr>
            </w:pPr>
            <w:r w:rsidRPr="001A3539">
              <w:rPr>
                <w:rFonts w:eastAsia="Times New Roman"/>
                <w:color w:val="000000"/>
                <w:lang w:eastAsia="lv-LV"/>
              </w:rPr>
              <w:t>līmenis</w:t>
            </w:r>
          </w:p>
        </w:tc>
        <w:tc>
          <w:tcPr>
            <w:tcW w:w="1072" w:type="dxa"/>
            <w:tcBorders>
              <w:top w:val="single" w:sz="4" w:space="0" w:color="auto"/>
              <w:left w:val="nil"/>
              <w:bottom w:val="single" w:sz="4" w:space="0" w:color="auto"/>
              <w:right w:val="single" w:sz="4" w:space="0" w:color="auto"/>
            </w:tcBorders>
            <w:shd w:val="clear" w:color="auto" w:fill="auto"/>
            <w:hideMark/>
          </w:tcPr>
          <w:p w:rsidR="002D17FE" w:rsidRPr="001A3539" w:rsidRDefault="002D17FE" w:rsidP="008D285E">
            <w:pPr>
              <w:spacing w:after="0" w:line="240" w:lineRule="auto"/>
              <w:jc w:val="center"/>
              <w:rPr>
                <w:rFonts w:eastAsia="Times New Roman"/>
                <w:color w:val="000000"/>
                <w:lang w:eastAsia="lv-LV"/>
              </w:rPr>
            </w:pPr>
            <w:r w:rsidRPr="001A3539">
              <w:rPr>
                <w:rFonts w:eastAsia="Times New Roman"/>
                <w:color w:val="000000"/>
                <w:lang w:eastAsia="lv-LV"/>
              </w:rPr>
              <w:t>mēnešalgu grupa</w:t>
            </w:r>
          </w:p>
        </w:tc>
        <w:tc>
          <w:tcPr>
            <w:tcW w:w="9379" w:type="dxa"/>
            <w:tcBorders>
              <w:top w:val="single" w:sz="4" w:space="0" w:color="auto"/>
              <w:left w:val="nil"/>
              <w:bottom w:val="single" w:sz="4" w:space="0" w:color="auto"/>
              <w:right w:val="single" w:sz="4" w:space="0" w:color="auto"/>
            </w:tcBorders>
          </w:tcPr>
          <w:p w:rsidR="002D17FE" w:rsidRPr="001A3539" w:rsidRDefault="002D17FE" w:rsidP="008D285E">
            <w:pPr>
              <w:spacing w:after="0" w:line="240" w:lineRule="auto"/>
              <w:jc w:val="center"/>
              <w:rPr>
                <w:rFonts w:eastAsia="Times New Roman"/>
                <w:color w:val="000000"/>
                <w:lang w:eastAsia="lv-LV"/>
              </w:rPr>
            </w:pPr>
            <w:r w:rsidRPr="001A3539">
              <w:rPr>
                <w:rFonts w:eastAsia="Times New Roman"/>
                <w:color w:val="000000"/>
                <w:lang w:eastAsia="lv-LV"/>
              </w:rPr>
              <w:t>Pienākumi</w:t>
            </w:r>
          </w:p>
        </w:tc>
      </w:tr>
      <w:tr w:rsidR="002D17FE" w:rsidRPr="001A3539" w:rsidTr="008D285E">
        <w:trPr>
          <w:trHeight w:val="570"/>
          <w:jc w:val="center"/>
        </w:trPr>
        <w:tc>
          <w:tcPr>
            <w:tcW w:w="1540" w:type="dxa"/>
            <w:tcBorders>
              <w:top w:val="nil"/>
              <w:left w:val="single" w:sz="4" w:space="0" w:color="auto"/>
              <w:bottom w:val="single" w:sz="4" w:space="0" w:color="auto"/>
              <w:right w:val="single" w:sz="4" w:space="0" w:color="auto"/>
            </w:tcBorders>
            <w:shd w:val="clear" w:color="auto" w:fill="auto"/>
            <w:noWrap/>
            <w:hideMark/>
          </w:tcPr>
          <w:p w:rsidR="002D17FE" w:rsidRPr="001A3539" w:rsidRDefault="002D17FE" w:rsidP="008D285E">
            <w:pPr>
              <w:spacing w:after="0" w:line="240" w:lineRule="auto"/>
              <w:rPr>
                <w:rFonts w:eastAsia="Times New Roman"/>
                <w:b w:val="0"/>
                <w:color w:val="000000"/>
                <w:lang w:eastAsia="lv-LV"/>
              </w:rPr>
            </w:pPr>
            <w:r w:rsidRPr="001A3539">
              <w:rPr>
                <w:rFonts w:eastAsia="Times New Roman"/>
                <w:b w:val="0"/>
                <w:color w:val="000000"/>
                <w:lang w:eastAsia="lv-LV"/>
              </w:rPr>
              <w:t>Nodaļas vadītājs</w:t>
            </w:r>
          </w:p>
        </w:tc>
        <w:tc>
          <w:tcPr>
            <w:tcW w:w="694" w:type="dxa"/>
            <w:tcBorders>
              <w:top w:val="nil"/>
              <w:left w:val="nil"/>
              <w:bottom w:val="single" w:sz="4" w:space="0" w:color="auto"/>
              <w:right w:val="single" w:sz="4" w:space="0" w:color="auto"/>
            </w:tcBorders>
            <w:shd w:val="clear" w:color="000000" w:fill="F2F2F2"/>
            <w:noWrap/>
            <w:vAlign w:val="center"/>
            <w:hideMark/>
          </w:tcPr>
          <w:p w:rsidR="002D17FE" w:rsidRPr="001A3539" w:rsidRDefault="002D17FE" w:rsidP="008D285E">
            <w:pPr>
              <w:spacing w:after="0" w:line="240" w:lineRule="auto"/>
              <w:jc w:val="center"/>
              <w:rPr>
                <w:rFonts w:eastAsia="Times New Roman"/>
                <w:b w:val="0"/>
                <w:color w:val="000000"/>
                <w:lang w:eastAsia="lv-LV"/>
              </w:rPr>
            </w:pPr>
            <w:r w:rsidRPr="001A3539">
              <w:rPr>
                <w:rFonts w:eastAsia="Times New Roman"/>
                <w:b w:val="0"/>
                <w:color w:val="000000"/>
                <w:lang w:eastAsia="lv-LV"/>
              </w:rPr>
              <w:t>1</w:t>
            </w:r>
          </w:p>
        </w:tc>
        <w:tc>
          <w:tcPr>
            <w:tcW w:w="700" w:type="dxa"/>
            <w:tcBorders>
              <w:top w:val="nil"/>
              <w:left w:val="nil"/>
              <w:bottom w:val="single" w:sz="4" w:space="0" w:color="auto"/>
              <w:right w:val="single" w:sz="4" w:space="0" w:color="auto"/>
            </w:tcBorders>
            <w:shd w:val="clear" w:color="000000" w:fill="F2F2F2"/>
            <w:noWrap/>
            <w:vAlign w:val="center"/>
            <w:hideMark/>
          </w:tcPr>
          <w:p w:rsidR="002D17FE" w:rsidRPr="001A3539" w:rsidRDefault="002D17FE" w:rsidP="008D285E">
            <w:pPr>
              <w:spacing w:after="0" w:line="240" w:lineRule="auto"/>
              <w:jc w:val="center"/>
              <w:rPr>
                <w:rFonts w:eastAsia="Times New Roman"/>
                <w:b w:val="0"/>
                <w:color w:val="000000"/>
                <w:lang w:eastAsia="lv-LV"/>
              </w:rPr>
            </w:pPr>
            <w:r w:rsidRPr="001A3539">
              <w:rPr>
                <w:rFonts w:eastAsia="Times New Roman"/>
                <w:b w:val="0"/>
                <w:color w:val="000000"/>
                <w:lang w:eastAsia="lv-LV"/>
              </w:rPr>
              <w:t>35</w:t>
            </w:r>
          </w:p>
        </w:tc>
        <w:tc>
          <w:tcPr>
            <w:tcW w:w="805" w:type="dxa"/>
            <w:tcBorders>
              <w:top w:val="nil"/>
              <w:left w:val="nil"/>
              <w:bottom w:val="single" w:sz="4" w:space="0" w:color="auto"/>
              <w:right w:val="single" w:sz="4" w:space="0" w:color="auto"/>
            </w:tcBorders>
            <w:shd w:val="clear" w:color="000000" w:fill="F2F2F2"/>
            <w:noWrap/>
            <w:vAlign w:val="center"/>
            <w:hideMark/>
          </w:tcPr>
          <w:p w:rsidR="002D17FE" w:rsidRPr="001A3539" w:rsidRDefault="002D17FE" w:rsidP="008D285E">
            <w:pPr>
              <w:spacing w:after="0" w:line="240" w:lineRule="auto"/>
              <w:jc w:val="center"/>
              <w:rPr>
                <w:rFonts w:eastAsia="Times New Roman"/>
                <w:b w:val="0"/>
                <w:color w:val="000000"/>
                <w:lang w:eastAsia="lv-LV"/>
              </w:rPr>
            </w:pPr>
            <w:r w:rsidRPr="001A3539">
              <w:rPr>
                <w:rFonts w:eastAsia="Times New Roman"/>
                <w:b w:val="0"/>
                <w:color w:val="000000"/>
                <w:lang w:eastAsia="lv-LV"/>
              </w:rPr>
              <w:t>IVA</w:t>
            </w:r>
          </w:p>
        </w:tc>
        <w:tc>
          <w:tcPr>
            <w:tcW w:w="1072" w:type="dxa"/>
            <w:tcBorders>
              <w:top w:val="nil"/>
              <w:left w:val="nil"/>
              <w:bottom w:val="single" w:sz="4" w:space="0" w:color="auto"/>
              <w:right w:val="single" w:sz="4" w:space="0" w:color="auto"/>
            </w:tcBorders>
            <w:shd w:val="clear" w:color="000000" w:fill="F2F2F2"/>
            <w:noWrap/>
            <w:vAlign w:val="center"/>
            <w:hideMark/>
          </w:tcPr>
          <w:p w:rsidR="002D17FE" w:rsidRPr="001A3539" w:rsidRDefault="002D17FE" w:rsidP="008D285E">
            <w:pPr>
              <w:spacing w:after="0" w:line="240" w:lineRule="auto"/>
              <w:jc w:val="center"/>
              <w:rPr>
                <w:rFonts w:eastAsia="Times New Roman"/>
                <w:b w:val="0"/>
                <w:color w:val="000000"/>
                <w:lang w:eastAsia="lv-LV"/>
              </w:rPr>
            </w:pPr>
            <w:r w:rsidRPr="001A3539">
              <w:rPr>
                <w:rFonts w:eastAsia="Times New Roman"/>
                <w:b w:val="0"/>
                <w:color w:val="000000"/>
                <w:lang w:eastAsia="lv-LV"/>
              </w:rPr>
              <w:t>11</w:t>
            </w:r>
          </w:p>
        </w:tc>
        <w:tc>
          <w:tcPr>
            <w:tcW w:w="9379" w:type="dxa"/>
            <w:tcBorders>
              <w:top w:val="nil"/>
              <w:left w:val="nil"/>
              <w:bottom w:val="single" w:sz="4" w:space="0" w:color="auto"/>
              <w:right w:val="single" w:sz="4" w:space="0" w:color="auto"/>
            </w:tcBorders>
            <w:shd w:val="clear" w:color="000000" w:fill="F2F2F2"/>
          </w:tcPr>
          <w:p w:rsidR="008A5E5F" w:rsidRPr="001A3539" w:rsidRDefault="00031C5C" w:rsidP="008A5E5F">
            <w:pPr>
              <w:numPr>
                <w:ilvl w:val="0"/>
                <w:numId w:val="1"/>
              </w:numPr>
              <w:spacing w:after="0" w:line="240" w:lineRule="auto"/>
              <w:ind w:left="322"/>
              <w:jc w:val="both"/>
              <w:rPr>
                <w:b w:val="0"/>
                <w:lang w:eastAsia="lv-LV"/>
              </w:rPr>
            </w:pPr>
            <w:r w:rsidRPr="001A3539">
              <w:rPr>
                <w:b w:val="0"/>
                <w:lang w:eastAsia="lv-LV"/>
              </w:rPr>
              <w:t>v</w:t>
            </w:r>
            <w:r w:rsidR="002D17FE" w:rsidRPr="001A3539">
              <w:rPr>
                <w:b w:val="0"/>
                <w:lang w:eastAsia="lv-LV"/>
              </w:rPr>
              <w:t>ada struktūrvienības darbu, nosaka uzdevumus un kontrolē to izpildi</w:t>
            </w:r>
            <w:r w:rsidR="00956B9F" w:rsidRPr="001A3539">
              <w:rPr>
                <w:b w:val="0"/>
                <w:lang w:eastAsia="lv-LV"/>
              </w:rPr>
              <w:t>;</w:t>
            </w:r>
          </w:p>
          <w:p w:rsidR="008A5E5F" w:rsidRPr="001A3539" w:rsidRDefault="00956B9F" w:rsidP="008A5E5F">
            <w:pPr>
              <w:numPr>
                <w:ilvl w:val="0"/>
                <w:numId w:val="1"/>
              </w:numPr>
              <w:spacing w:after="0" w:line="240" w:lineRule="auto"/>
              <w:ind w:left="322"/>
              <w:jc w:val="both"/>
              <w:rPr>
                <w:b w:val="0"/>
                <w:lang w:eastAsia="lv-LV"/>
              </w:rPr>
            </w:pPr>
            <w:r w:rsidRPr="001A3539">
              <w:rPr>
                <w:b w:val="0"/>
                <w:lang w:eastAsia="lv-LV"/>
              </w:rPr>
              <w:t>a</w:t>
            </w:r>
            <w:r w:rsidR="002D17FE" w:rsidRPr="001A3539">
              <w:rPr>
                <w:b w:val="0"/>
                <w:lang w:eastAsia="lv-LV"/>
              </w:rPr>
              <w:t>nalizē, sniedz priekšlikumus, identificē jomas, kurām nepieciešams pievērst papildu uzmanību politikas plānošanas un izstrādes procesā saistībā ar veselības aprūpes pakalpojumu sniegšanas sasaisti ar nodokļu nomaksu vai to nodrošināšanu personām, uz kurām attiecas valsts obligātā veselības apdrošināšana</w:t>
            </w:r>
            <w:r w:rsidRPr="001A3539">
              <w:rPr>
                <w:b w:val="0"/>
                <w:lang w:eastAsia="lv-LV"/>
              </w:rPr>
              <w:t>;</w:t>
            </w:r>
          </w:p>
          <w:p w:rsidR="002D17FE" w:rsidRPr="001A3539" w:rsidRDefault="00956B9F" w:rsidP="008A5E5F">
            <w:pPr>
              <w:numPr>
                <w:ilvl w:val="0"/>
                <w:numId w:val="1"/>
              </w:numPr>
              <w:spacing w:after="0" w:line="240" w:lineRule="auto"/>
              <w:ind w:left="322"/>
              <w:jc w:val="both"/>
              <w:rPr>
                <w:b w:val="0"/>
                <w:lang w:eastAsia="lv-LV"/>
              </w:rPr>
            </w:pPr>
            <w:r w:rsidRPr="001A3539">
              <w:rPr>
                <w:b w:val="0"/>
                <w:lang w:eastAsia="lv-LV"/>
              </w:rPr>
              <w:t>v</w:t>
            </w:r>
            <w:r w:rsidR="002D17FE" w:rsidRPr="001A3539">
              <w:rPr>
                <w:b w:val="0"/>
                <w:lang w:eastAsia="lv-LV"/>
              </w:rPr>
              <w:t>eic metodisko darbu, vada un organizē mācības, kas saistītas ar  veselības aprūpes pakalpojumu sniegšanas sasaisti ar nodokļu nomaksu vai to nodrošināšanu personām, uz kurām attiecas valsts obligātā veselības apdrošināšana.</w:t>
            </w:r>
          </w:p>
        </w:tc>
      </w:tr>
      <w:tr w:rsidR="002D17FE" w:rsidRPr="001A3539" w:rsidTr="008D285E">
        <w:trPr>
          <w:trHeight w:val="585"/>
          <w:jc w:val="center"/>
        </w:trPr>
        <w:tc>
          <w:tcPr>
            <w:tcW w:w="1540" w:type="dxa"/>
            <w:tcBorders>
              <w:top w:val="nil"/>
              <w:left w:val="single" w:sz="4" w:space="0" w:color="auto"/>
              <w:bottom w:val="single" w:sz="4" w:space="0" w:color="auto"/>
              <w:right w:val="single" w:sz="4" w:space="0" w:color="auto"/>
            </w:tcBorders>
            <w:shd w:val="clear" w:color="auto" w:fill="auto"/>
            <w:hideMark/>
          </w:tcPr>
          <w:p w:rsidR="002D17FE" w:rsidRPr="001A3539" w:rsidRDefault="002D17FE" w:rsidP="008D285E">
            <w:pPr>
              <w:spacing w:after="0" w:line="240" w:lineRule="auto"/>
              <w:rPr>
                <w:rFonts w:eastAsia="Times New Roman"/>
                <w:b w:val="0"/>
                <w:color w:val="000000"/>
                <w:lang w:eastAsia="lv-LV"/>
              </w:rPr>
            </w:pPr>
            <w:r w:rsidRPr="001A3539">
              <w:rPr>
                <w:rFonts w:eastAsia="Times New Roman"/>
                <w:b w:val="0"/>
                <w:color w:val="000000"/>
                <w:lang w:eastAsia="lv-LV"/>
              </w:rPr>
              <w:t xml:space="preserve">Vecākais eksperts </w:t>
            </w:r>
          </w:p>
        </w:tc>
        <w:tc>
          <w:tcPr>
            <w:tcW w:w="694" w:type="dxa"/>
            <w:tcBorders>
              <w:top w:val="nil"/>
              <w:left w:val="nil"/>
              <w:bottom w:val="single" w:sz="4" w:space="0" w:color="auto"/>
              <w:right w:val="single" w:sz="4" w:space="0" w:color="auto"/>
            </w:tcBorders>
            <w:shd w:val="clear" w:color="000000" w:fill="F2F2F2"/>
            <w:noWrap/>
            <w:vAlign w:val="center"/>
            <w:hideMark/>
          </w:tcPr>
          <w:p w:rsidR="002D17FE" w:rsidRPr="001A3539" w:rsidRDefault="002D17FE" w:rsidP="008D285E">
            <w:pPr>
              <w:spacing w:after="0" w:line="240" w:lineRule="auto"/>
              <w:jc w:val="center"/>
              <w:rPr>
                <w:rFonts w:eastAsia="Times New Roman"/>
                <w:b w:val="0"/>
                <w:color w:val="000000"/>
                <w:lang w:eastAsia="lv-LV"/>
              </w:rPr>
            </w:pPr>
            <w:r w:rsidRPr="001A3539">
              <w:rPr>
                <w:rFonts w:eastAsia="Times New Roman"/>
                <w:b w:val="0"/>
                <w:color w:val="000000"/>
                <w:lang w:eastAsia="lv-LV"/>
              </w:rPr>
              <w:t>1</w:t>
            </w:r>
          </w:p>
        </w:tc>
        <w:tc>
          <w:tcPr>
            <w:tcW w:w="700" w:type="dxa"/>
            <w:tcBorders>
              <w:top w:val="nil"/>
              <w:left w:val="nil"/>
              <w:bottom w:val="single" w:sz="4" w:space="0" w:color="auto"/>
              <w:right w:val="single" w:sz="4" w:space="0" w:color="auto"/>
            </w:tcBorders>
            <w:shd w:val="clear" w:color="000000" w:fill="F2F2F2"/>
            <w:noWrap/>
            <w:vAlign w:val="center"/>
            <w:hideMark/>
          </w:tcPr>
          <w:p w:rsidR="002D17FE" w:rsidRPr="001A3539" w:rsidRDefault="002D17FE" w:rsidP="008D285E">
            <w:pPr>
              <w:spacing w:after="0" w:line="240" w:lineRule="auto"/>
              <w:jc w:val="center"/>
              <w:rPr>
                <w:rFonts w:eastAsia="Times New Roman"/>
                <w:b w:val="0"/>
                <w:color w:val="000000"/>
                <w:lang w:eastAsia="lv-LV"/>
              </w:rPr>
            </w:pPr>
            <w:r w:rsidRPr="001A3539">
              <w:rPr>
                <w:rFonts w:eastAsia="Times New Roman"/>
                <w:b w:val="0"/>
                <w:color w:val="000000"/>
                <w:lang w:eastAsia="lv-LV"/>
              </w:rPr>
              <w:t>35</w:t>
            </w:r>
          </w:p>
        </w:tc>
        <w:tc>
          <w:tcPr>
            <w:tcW w:w="805" w:type="dxa"/>
            <w:tcBorders>
              <w:top w:val="nil"/>
              <w:left w:val="nil"/>
              <w:bottom w:val="single" w:sz="4" w:space="0" w:color="auto"/>
              <w:right w:val="single" w:sz="4" w:space="0" w:color="auto"/>
            </w:tcBorders>
            <w:shd w:val="clear" w:color="000000" w:fill="F2F2F2"/>
            <w:noWrap/>
            <w:vAlign w:val="center"/>
            <w:hideMark/>
          </w:tcPr>
          <w:p w:rsidR="002D17FE" w:rsidRPr="001A3539" w:rsidRDefault="002D17FE" w:rsidP="008D285E">
            <w:pPr>
              <w:spacing w:after="0" w:line="240" w:lineRule="auto"/>
              <w:jc w:val="center"/>
              <w:rPr>
                <w:rFonts w:eastAsia="Times New Roman"/>
                <w:b w:val="0"/>
                <w:color w:val="000000"/>
                <w:lang w:eastAsia="lv-LV"/>
              </w:rPr>
            </w:pPr>
            <w:r w:rsidRPr="001A3539">
              <w:rPr>
                <w:rFonts w:eastAsia="Times New Roman"/>
                <w:b w:val="0"/>
                <w:color w:val="000000"/>
                <w:lang w:eastAsia="lv-LV"/>
              </w:rPr>
              <w:t>III</w:t>
            </w:r>
          </w:p>
        </w:tc>
        <w:tc>
          <w:tcPr>
            <w:tcW w:w="1072" w:type="dxa"/>
            <w:tcBorders>
              <w:top w:val="nil"/>
              <w:left w:val="nil"/>
              <w:bottom w:val="single" w:sz="4" w:space="0" w:color="auto"/>
              <w:right w:val="single" w:sz="4" w:space="0" w:color="auto"/>
            </w:tcBorders>
            <w:shd w:val="clear" w:color="000000" w:fill="F2F2F2"/>
            <w:noWrap/>
            <w:vAlign w:val="center"/>
            <w:hideMark/>
          </w:tcPr>
          <w:p w:rsidR="002D17FE" w:rsidRPr="001A3539" w:rsidRDefault="002D17FE" w:rsidP="008D285E">
            <w:pPr>
              <w:spacing w:after="0" w:line="240" w:lineRule="auto"/>
              <w:jc w:val="center"/>
              <w:rPr>
                <w:rFonts w:eastAsia="Times New Roman"/>
                <w:b w:val="0"/>
                <w:color w:val="000000"/>
                <w:lang w:eastAsia="lv-LV"/>
              </w:rPr>
            </w:pPr>
            <w:r w:rsidRPr="001A3539">
              <w:rPr>
                <w:rFonts w:eastAsia="Times New Roman"/>
                <w:b w:val="0"/>
                <w:color w:val="000000"/>
                <w:lang w:eastAsia="lv-LV"/>
              </w:rPr>
              <w:t>10</w:t>
            </w:r>
          </w:p>
        </w:tc>
        <w:tc>
          <w:tcPr>
            <w:tcW w:w="9379" w:type="dxa"/>
            <w:tcBorders>
              <w:top w:val="nil"/>
              <w:left w:val="nil"/>
              <w:bottom w:val="single" w:sz="4" w:space="0" w:color="auto"/>
              <w:right w:val="single" w:sz="4" w:space="0" w:color="auto"/>
            </w:tcBorders>
            <w:shd w:val="clear" w:color="000000" w:fill="F2F2F2"/>
          </w:tcPr>
          <w:p w:rsidR="008A5E5F" w:rsidRPr="001A3539" w:rsidRDefault="00031C5C" w:rsidP="008A5E5F">
            <w:pPr>
              <w:numPr>
                <w:ilvl w:val="0"/>
                <w:numId w:val="1"/>
              </w:numPr>
              <w:spacing w:after="0" w:line="240" w:lineRule="auto"/>
              <w:ind w:left="322"/>
              <w:jc w:val="both"/>
              <w:rPr>
                <w:b w:val="0"/>
                <w:lang w:eastAsia="lv-LV"/>
              </w:rPr>
            </w:pPr>
            <w:r w:rsidRPr="001A3539">
              <w:rPr>
                <w:b w:val="0"/>
                <w:lang w:eastAsia="lv-LV"/>
              </w:rPr>
              <w:t>i</w:t>
            </w:r>
            <w:r w:rsidR="002D17FE" w:rsidRPr="001A3539">
              <w:rPr>
                <w:b w:val="0"/>
                <w:lang w:eastAsia="lv-LV"/>
              </w:rPr>
              <w:t>zstrādā procedūras, kas regulē normatīvo aktu ieviešanu saistībā ar  veselības aprūpes pakalpojumu sniegšanas sasaisti ar nodokļu nomaksu vai to nodrošināšanu personām, uz kurām attiecas valsts o</w:t>
            </w:r>
            <w:r w:rsidR="00956B9F" w:rsidRPr="001A3539">
              <w:rPr>
                <w:b w:val="0"/>
                <w:lang w:eastAsia="lv-LV"/>
              </w:rPr>
              <w:t>bligātā veselības apdrošināšana;</w:t>
            </w:r>
          </w:p>
          <w:p w:rsidR="008A5E5F" w:rsidRPr="001A3539" w:rsidRDefault="00956B9F" w:rsidP="008A5E5F">
            <w:pPr>
              <w:numPr>
                <w:ilvl w:val="0"/>
                <w:numId w:val="1"/>
              </w:numPr>
              <w:spacing w:after="0" w:line="240" w:lineRule="auto"/>
              <w:ind w:left="322"/>
              <w:jc w:val="both"/>
              <w:rPr>
                <w:b w:val="0"/>
                <w:lang w:eastAsia="lv-LV"/>
              </w:rPr>
            </w:pPr>
            <w:r w:rsidRPr="001A3539">
              <w:rPr>
                <w:b w:val="0"/>
                <w:lang w:eastAsia="lv-LV"/>
              </w:rPr>
              <w:t>k</w:t>
            </w:r>
            <w:r w:rsidR="002D17FE" w:rsidRPr="001A3539">
              <w:rPr>
                <w:b w:val="0"/>
                <w:lang w:eastAsia="lv-LV"/>
              </w:rPr>
              <w:t>ontrolē normatīvo aktu ieviešanas procedūru izpildi, apkopo informāciju par normatīvo aktu ieviešanas gaitu, gatavo priekšlikumus par nepieciešamajiem grozījumiem normatīvajos aktos saistībā ar veselības aprūpes pakalpojumu sniegšanas sasaisti ar nodokļu nomaksu vai to nodrošināšanu personām, uz kurām attiecas valsts obligātā veselības apdrošināšana</w:t>
            </w:r>
            <w:r w:rsidRPr="001A3539">
              <w:rPr>
                <w:b w:val="0"/>
                <w:lang w:eastAsia="lv-LV"/>
              </w:rPr>
              <w:t>;</w:t>
            </w:r>
          </w:p>
          <w:p w:rsidR="008A5E5F" w:rsidRPr="001A3539" w:rsidRDefault="00956B9F" w:rsidP="008A5E5F">
            <w:pPr>
              <w:numPr>
                <w:ilvl w:val="0"/>
                <w:numId w:val="1"/>
              </w:numPr>
              <w:spacing w:after="0" w:line="240" w:lineRule="auto"/>
              <w:ind w:left="322"/>
              <w:jc w:val="both"/>
              <w:rPr>
                <w:b w:val="0"/>
                <w:lang w:eastAsia="lv-LV"/>
              </w:rPr>
            </w:pPr>
            <w:r w:rsidRPr="001A3539">
              <w:rPr>
                <w:b w:val="0"/>
                <w:lang w:eastAsia="lv-LV"/>
              </w:rPr>
              <w:t>s</w:t>
            </w:r>
            <w:r w:rsidR="002D17FE" w:rsidRPr="001A3539">
              <w:rPr>
                <w:b w:val="0"/>
                <w:lang w:eastAsia="lv-LV"/>
              </w:rPr>
              <w:t>agatavo līgumus, starpresoru vienošanās un citus juridiskus dokumentus, kas nepieciešami, lai uzturētu veselības aprūpes pakalpojumu saņēmēju reģistru, t.i. nodrošinātu veselības aprūpes pakalpojumu sniegšanas sasaisti ar nodokļu nomaksu vai veselības aprūpes nodrošināšanu personām, uz kurām attiecas valsts obligātā veselības apdrošināšana</w:t>
            </w:r>
            <w:r w:rsidRPr="001A3539">
              <w:rPr>
                <w:b w:val="0"/>
                <w:lang w:eastAsia="lv-LV"/>
              </w:rPr>
              <w:t>;</w:t>
            </w:r>
          </w:p>
          <w:p w:rsidR="002D17FE" w:rsidRPr="001A3539" w:rsidRDefault="00956B9F" w:rsidP="008A5E5F">
            <w:pPr>
              <w:numPr>
                <w:ilvl w:val="0"/>
                <w:numId w:val="1"/>
              </w:numPr>
              <w:spacing w:after="0" w:line="240" w:lineRule="auto"/>
              <w:ind w:left="322"/>
              <w:jc w:val="both"/>
              <w:rPr>
                <w:b w:val="0"/>
                <w:lang w:eastAsia="lv-LV"/>
              </w:rPr>
            </w:pPr>
            <w:r w:rsidRPr="001A3539">
              <w:rPr>
                <w:b w:val="0"/>
                <w:lang w:eastAsia="lv-LV"/>
              </w:rPr>
              <w:t>g</w:t>
            </w:r>
            <w:r w:rsidR="002D17FE" w:rsidRPr="001A3539">
              <w:rPr>
                <w:b w:val="0"/>
                <w:lang w:eastAsia="lv-LV"/>
              </w:rPr>
              <w:t xml:space="preserve">atavo administratīvos aktus par personu iekļaušanu veselības aprūpes pakalpojumu saņēmēju reģistrā, kā arī atbildes uz personu iesniegumiem par veselības aprūpes pakalpojumu saņēmēju reģistru.   </w:t>
            </w:r>
          </w:p>
        </w:tc>
      </w:tr>
      <w:tr w:rsidR="002D17FE" w:rsidRPr="001A3539" w:rsidTr="008D285E">
        <w:trPr>
          <w:trHeight w:val="585"/>
          <w:jc w:val="center"/>
        </w:trPr>
        <w:tc>
          <w:tcPr>
            <w:tcW w:w="1540" w:type="dxa"/>
            <w:tcBorders>
              <w:top w:val="nil"/>
              <w:left w:val="single" w:sz="4" w:space="0" w:color="auto"/>
              <w:bottom w:val="single" w:sz="4" w:space="0" w:color="auto"/>
              <w:right w:val="single" w:sz="4" w:space="0" w:color="auto"/>
            </w:tcBorders>
            <w:shd w:val="clear" w:color="auto" w:fill="auto"/>
            <w:hideMark/>
          </w:tcPr>
          <w:p w:rsidR="002D17FE" w:rsidRPr="001A3539" w:rsidRDefault="002D17FE" w:rsidP="008D285E">
            <w:pPr>
              <w:spacing w:after="0" w:line="240" w:lineRule="auto"/>
              <w:rPr>
                <w:rFonts w:eastAsia="Times New Roman"/>
                <w:b w:val="0"/>
                <w:color w:val="000000"/>
                <w:lang w:eastAsia="lv-LV"/>
              </w:rPr>
            </w:pPr>
            <w:r w:rsidRPr="001A3539">
              <w:rPr>
                <w:rFonts w:eastAsia="Times New Roman"/>
                <w:b w:val="0"/>
                <w:color w:val="000000"/>
                <w:lang w:eastAsia="lv-LV"/>
              </w:rPr>
              <w:lastRenderedPageBreak/>
              <w:t xml:space="preserve">Vecākais eksperts </w:t>
            </w:r>
          </w:p>
        </w:tc>
        <w:tc>
          <w:tcPr>
            <w:tcW w:w="694" w:type="dxa"/>
            <w:tcBorders>
              <w:top w:val="nil"/>
              <w:left w:val="nil"/>
              <w:bottom w:val="single" w:sz="4" w:space="0" w:color="auto"/>
              <w:right w:val="single" w:sz="4" w:space="0" w:color="auto"/>
            </w:tcBorders>
            <w:shd w:val="clear" w:color="000000" w:fill="F2F2F2"/>
            <w:noWrap/>
            <w:vAlign w:val="center"/>
            <w:hideMark/>
          </w:tcPr>
          <w:p w:rsidR="002D17FE" w:rsidRPr="001A3539" w:rsidRDefault="002D17FE" w:rsidP="008D285E">
            <w:pPr>
              <w:spacing w:after="0" w:line="240" w:lineRule="auto"/>
              <w:jc w:val="center"/>
              <w:rPr>
                <w:rFonts w:eastAsia="Times New Roman"/>
                <w:b w:val="0"/>
                <w:color w:val="000000"/>
                <w:lang w:eastAsia="lv-LV"/>
              </w:rPr>
            </w:pPr>
            <w:r w:rsidRPr="001A3539">
              <w:rPr>
                <w:rFonts w:eastAsia="Times New Roman"/>
                <w:b w:val="0"/>
                <w:color w:val="000000"/>
                <w:lang w:eastAsia="lv-LV"/>
              </w:rPr>
              <w:t>1</w:t>
            </w:r>
          </w:p>
        </w:tc>
        <w:tc>
          <w:tcPr>
            <w:tcW w:w="700" w:type="dxa"/>
            <w:tcBorders>
              <w:top w:val="nil"/>
              <w:left w:val="nil"/>
              <w:bottom w:val="single" w:sz="4" w:space="0" w:color="auto"/>
              <w:right w:val="single" w:sz="4" w:space="0" w:color="auto"/>
            </w:tcBorders>
            <w:shd w:val="clear" w:color="000000" w:fill="F2F2F2"/>
            <w:noWrap/>
            <w:vAlign w:val="center"/>
            <w:hideMark/>
          </w:tcPr>
          <w:p w:rsidR="002D17FE" w:rsidRPr="001A3539" w:rsidRDefault="002D17FE" w:rsidP="008D285E">
            <w:pPr>
              <w:spacing w:after="0" w:line="240" w:lineRule="auto"/>
              <w:jc w:val="center"/>
              <w:rPr>
                <w:rFonts w:eastAsia="Times New Roman"/>
                <w:b w:val="0"/>
                <w:color w:val="000000"/>
                <w:lang w:eastAsia="lv-LV"/>
              </w:rPr>
            </w:pPr>
            <w:r w:rsidRPr="001A3539">
              <w:rPr>
                <w:rFonts w:eastAsia="Times New Roman"/>
                <w:b w:val="0"/>
                <w:color w:val="000000"/>
                <w:lang w:eastAsia="lv-LV"/>
              </w:rPr>
              <w:t>35</w:t>
            </w:r>
          </w:p>
        </w:tc>
        <w:tc>
          <w:tcPr>
            <w:tcW w:w="805" w:type="dxa"/>
            <w:tcBorders>
              <w:top w:val="nil"/>
              <w:left w:val="nil"/>
              <w:bottom w:val="single" w:sz="4" w:space="0" w:color="auto"/>
              <w:right w:val="single" w:sz="4" w:space="0" w:color="auto"/>
            </w:tcBorders>
            <w:shd w:val="clear" w:color="000000" w:fill="F2F2F2"/>
            <w:noWrap/>
            <w:vAlign w:val="center"/>
            <w:hideMark/>
          </w:tcPr>
          <w:p w:rsidR="002D17FE" w:rsidRPr="001A3539" w:rsidRDefault="002D17FE" w:rsidP="008D285E">
            <w:pPr>
              <w:spacing w:after="0" w:line="240" w:lineRule="auto"/>
              <w:jc w:val="center"/>
              <w:rPr>
                <w:rFonts w:eastAsia="Times New Roman"/>
                <w:b w:val="0"/>
                <w:color w:val="000000"/>
                <w:lang w:eastAsia="lv-LV"/>
              </w:rPr>
            </w:pPr>
            <w:r w:rsidRPr="001A3539">
              <w:rPr>
                <w:rFonts w:eastAsia="Times New Roman"/>
                <w:b w:val="0"/>
                <w:color w:val="000000"/>
                <w:lang w:eastAsia="lv-LV"/>
              </w:rPr>
              <w:t>II</w:t>
            </w:r>
          </w:p>
        </w:tc>
        <w:tc>
          <w:tcPr>
            <w:tcW w:w="1072" w:type="dxa"/>
            <w:tcBorders>
              <w:top w:val="nil"/>
              <w:left w:val="nil"/>
              <w:bottom w:val="single" w:sz="4" w:space="0" w:color="auto"/>
              <w:right w:val="single" w:sz="4" w:space="0" w:color="auto"/>
            </w:tcBorders>
            <w:shd w:val="clear" w:color="000000" w:fill="F2F2F2"/>
            <w:noWrap/>
            <w:vAlign w:val="center"/>
            <w:hideMark/>
          </w:tcPr>
          <w:p w:rsidR="002D17FE" w:rsidRPr="001A3539" w:rsidRDefault="002D17FE" w:rsidP="008D285E">
            <w:pPr>
              <w:spacing w:after="0" w:line="240" w:lineRule="auto"/>
              <w:jc w:val="center"/>
              <w:rPr>
                <w:rFonts w:eastAsia="Times New Roman"/>
                <w:b w:val="0"/>
                <w:color w:val="000000"/>
                <w:lang w:eastAsia="lv-LV"/>
              </w:rPr>
            </w:pPr>
            <w:r w:rsidRPr="001A3539">
              <w:rPr>
                <w:rFonts w:eastAsia="Times New Roman"/>
                <w:b w:val="0"/>
                <w:color w:val="000000"/>
                <w:lang w:eastAsia="lv-LV"/>
              </w:rPr>
              <w:t>9</w:t>
            </w:r>
          </w:p>
        </w:tc>
        <w:tc>
          <w:tcPr>
            <w:tcW w:w="9379" w:type="dxa"/>
            <w:tcBorders>
              <w:top w:val="nil"/>
              <w:left w:val="nil"/>
              <w:bottom w:val="single" w:sz="4" w:space="0" w:color="auto"/>
              <w:right w:val="single" w:sz="4" w:space="0" w:color="auto"/>
            </w:tcBorders>
            <w:shd w:val="clear" w:color="000000" w:fill="F2F2F2"/>
          </w:tcPr>
          <w:p w:rsidR="008A5E5F" w:rsidRPr="001A3539" w:rsidRDefault="00031C5C" w:rsidP="008A5E5F">
            <w:pPr>
              <w:numPr>
                <w:ilvl w:val="0"/>
                <w:numId w:val="1"/>
              </w:numPr>
              <w:spacing w:after="0" w:line="240" w:lineRule="auto"/>
              <w:ind w:left="322"/>
              <w:jc w:val="both"/>
              <w:rPr>
                <w:b w:val="0"/>
                <w:lang w:eastAsia="lv-LV"/>
              </w:rPr>
            </w:pPr>
            <w:r w:rsidRPr="001A3539">
              <w:rPr>
                <w:b w:val="0"/>
                <w:lang w:eastAsia="lv-LV"/>
              </w:rPr>
              <w:t>s</w:t>
            </w:r>
            <w:r w:rsidR="002D17FE" w:rsidRPr="001A3539">
              <w:rPr>
                <w:b w:val="0"/>
                <w:lang w:eastAsia="lv-LV"/>
              </w:rPr>
              <w:t>agatavo līgumus, starpresoru vienošanās un citus juridiskus dokumentus, kas nepieciešami, lai uzturētu veselības aprūpes pakalpojumu saņēmēju reģistru, t.i. nodrošinātu veselības aprūpes pakalpojumu sniegšanas sasaisti ar nodokļu nomaksu vai veselības aprūpes nodrošināšanu personām, uz kurām attiecas valsts o</w:t>
            </w:r>
            <w:r w:rsidR="00956B9F" w:rsidRPr="001A3539">
              <w:rPr>
                <w:b w:val="0"/>
                <w:lang w:eastAsia="lv-LV"/>
              </w:rPr>
              <w:t>bligātā veselības apdrošināšana;</w:t>
            </w:r>
          </w:p>
          <w:p w:rsidR="008A5E5F" w:rsidRPr="001A3539" w:rsidRDefault="00956B9F" w:rsidP="008A5E5F">
            <w:pPr>
              <w:numPr>
                <w:ilvl w:val="0"/>
                <w:numId w:val="1"/>
              </w:numPr>
              <w:spacing w:after="0" w:line="240" w:lineRule="auto"/>
              <w:ind w:left="322"/>
              <w:jc w:val="both"/>
              <w:rPr>
                <w:b w:val="0"/>
                <w:lang w:eastAsia="lv-LV"/>
              </w:rPr>
            </w:pPr>
            <w:r w:rsidRPr="001A3539">
              <w:rPr>
                <w:b w:val="0"/>
                <w:lang w:eastAsia="lv-LV"/>
              </w:rPr>
              <w:t>g</w:t>
            </w:r>
            <w:r w:rsidR="002D17FE" w:rsidRPr="001A3539">
              <w:rPr>
                <w:b w:val="0"/>
                <w:lang w:eastAsia="lv-LV"/>
              </w:rPr>
              <w:t xml:space="preserve">atavo administratīvos aktus par personu iekļaušanu veselības aprūpes pakalpojumu saņēmēju reģistrā, kā arī atbildes uz personu iesniegumiem par veselības aprūpes </w:t>
            </w:r>
            <w:r w:rsidRPr="001A3539">
              <w:rPr>
                <w:b w:val="0"/>
                <w:lang w:eastAsia="lv-LV"/>
              </w:rPr>
              <w:t>pakalpojumu saņēmēju reģistru;</w:t>
            </w:r>
          </w:p>
          <w:p w:rsidR="008A5E5F" w:rsidRPr="001A3539" w:rsidRDefault="00956B9F" w:rsidP="008A5E5F">
            <w:pPr>
              <w:numPr>
                <w:ilvl w:val="0"/>
                <w:numId w:val="1"/>
              </w:numPr>
              <w:spacing w:after="0" w:line="240" w:lineRule="auto"/>
              <w:ind w:left="322"/>
              <w:jc w:val="both"/>
              <w:rPr>
                <w:b w:val="0"/>
                <w:lang w:eastAsia="lv-LV"/>
              </w:rPr>
            </w:pPr>
            <w:r w:rsidRPr="001A3539">
              <w:rPr>
                <w:b w:val="0"/>
                <w:lang w:eastAsia="lv-LV"/>
              </w:rPr>
              <w:t>s</w:t>
            </w:r>
            <w:r w:rsidR="002D17FE" w:rsidRPr="001A3539">
              <w:rPr>
                <w:b w:val="0"/>
                <w:lang w:eastAsia="lv-LV"/>
              </w:rPr>
              <w:t>adarbojas ar pašvaldību sociālajiem dienestiem, lai operatīvi risinātu jautājumu</w:t>
            </w:r>
            <w:r w:rsidR="00A531EB" w:rsidRPr="001A3539">
              <w:rPr>
                <w:b w:val="0"/>
                <w:lang w:eastAsia="lv-LV"/>
              </w:rPr>
              <w:t>s</w:t>
            </w:r>
            <w:r w:rsidR="002D17FE" w:rsidRPr="001A3539">
              <w:rPr>
                <w:b w:val="0"/>
                <w:lang w:eastAsia="lv-LV"/>
              </w:rPr>
              <w:t xml:space="preserve"> par personas statusu un  nepieciešamo veselība</w:t>
            </w:r>
            <w:r w:rsidRPr="001A3539">
              <w:rPr>
                <w:b w:val="0"/>
                <w:lang w:eastAsia="lv-LV"/>
              </w:rPr>
              <w:t>s aprūpes pakalpojumu saņemšanu;</w:t>
            </w:r>
          </w:p>
          <w:p w:rsidR="002D17FE" w:rsidRPr="001A3539" w:rsidRDefault="00956B9F" w:rsidP="008A5E5F">
            <w:pPr>
              <w:numPr>
                <w:ilvl w:val="0"/>
                <w:numId w:val="1"/>
              </w:numPr>
              <w:spacing w:after="0" w:line="240" w:lineRule="auto"/>
              <w:ind w:left="322"/>
              <w:jc w:val="both"/>
              <w:rPr>
                <w:b w:val="0"/>
                <w:lang w:eastAsia="lv-LV"/>
              </w:rPr>
            </w:pPr>
            <w:r w:rsidRPr="001A3539">
              <w:rPr>
                <w:b w:val="0"/>
                <w:lang w:eastAsia="lv-LV"/>
              </w:rPr>
              <w:t>k</w:t>
            </w:r>
            <w:r w:rsidR="002D17FE" w:rsidRPr="001A3539">
              <w:rPr>
                <w:b w:val="0"/>
                <w:lang w:eastAsia="lv-LV"/>
              </w:rPr>
              <w:t>onsultē juridiskās un fiziskās personas par jautājumiem, kas saistīti ar veselības aprūpes pakalpojumu saņēmēju reģistru.</w:t>
            </w:r>
          </w:p>
        </w:tc>
      </w:tr>
      <w:tr w:rsidR="002D17FE" w:rsidRPr="001A3539" w:rsidTr="008D285E">
        <w:trPr>
          <w:trHeight w:val="585"/>
          <w:jc w:val="center"/>
        </w:trPr>
        <w:tc>
          <w:tcPr>
            <w:tcW w:w="1540" w:type="dxa"/>
            <w:tcBorders>
              <w:top w:val="nil"/>
              <w:left w:val="single" w:sz="4" w:space="0" w:color="auto"/>
              <w:bottom w:val="single" w:sz="4" w:space="0" w:color="auto"/>
              <w:right w:val="single" w:sz="4" w:space="0" w:color="auto"/>
            </w:tcBorders>
            <w:shd w:val="clear" w:color="auto" w:fill="auto"/>
            <w:hideMark/>
          </w:tcPr>
          <w:p w:rsidR="002D17FE" w:rsidRPr="001A3539" w:rsidRDefault="002D17FE" w:rsidP="008D285E">
            <w:pPr>
              <w:spacing w:after="0" w:line="240" w:lineRule="auto"/>
              <w:rPr>
                <w:rFonts w:eastAsia="Times New Roman"/>
                <w:b w:val="0"/>
                <w:color w:val="000000"/>
                <w:lang w:eastAsia="lv-LV"/>
              </w:rPr>
            </w:pPr>
            <w:r w:rsidRPr="001A3539">
              <w:rPr>
                <w:rFonts w:eastAsia="Times New Roman"/>
                <w:b w:val="0"/>
                <w:color w:val="000000"/>
                <w:lang w:eastAsia="lv-LV"/>
              </w:rPr>
              <w:t xml:space="preserve">Vecākais eksperts </w:t>
            </w:r>
          </w:p>
        </w:tc>
        <w:tc>
          <w:tcPr>
            <w:tcW w:w="694" w:type="dxa"/>
            <w:tcBorders>
              <w:top w:val="nil"/>
              <w:left w:val="nil"/>
              <w:bottom w:val="single" w:sz="4" w:space="0" w:color="auto"/>
              <w:right w:val="single" w:sz="4" w:space="0" w:color="auto"/>
            </w:tcBorders>
            <w:shd w:val="clear" w:color="000000" w:fill="F2F2F2"/>
            <w:noWrap/>
            <w:vAlign w:val="center"/>
            <w:hideMark/>
          </w:tcPr>
          <w:p w:rsidR="002D17FE" w:rsidRPr="001A3539" w:rsidRDefault="002D17FE" w:rsidP="008D285E">
            <w:pPr>
              <w:spacing w:after="0" w:line="240" w:lineRule="auto"/>
              <w:jc w:val="center"/>
              <w:rPr>
                <w:rFonts w:eastAsia="Times New Roman"/>
                <w:b w:val="0"/>
                <w:color w:val="000000"/>
                <w:lang w:eastAsia="lv-LV"/>
              </w:rPr>
            </w:pPr>
            <w:r w:rsidRPr="001A3539">
              <w:rPr>
                <w:rFonts w:eastAsia="Times New Roman"/>
                <w:b w:val="0"/>
                <w:color w:val="000000"/>
                <w:lang w:eastAsia="lv-LV"/>
              </w:rPr>
              <w:t>1</w:t>
            </w:r>
          </w:p>
        </w:tc>
        <w:tc>
          <w:tcPr>
            <w:tcW w:w="700" w:type="dxa"/>
            <w:tcBorders>
              <w:top w:val="nil"/>
              <w:left w:val="nil"/>
              <w:bottom w:val="single" w:sz="4" w:space="0" w:color="auto"/>
              <w:right w:val="single" w:sz="4" w:space="0" w:color="auto"/>
            </w:tcBorders>
            <w:shd w:val="clear" w:color="000000" w:fill="F2F2F2"/>
            <w:noWrap/>
            <w:vAlign w:val="center"/>
            <w:hideMark/>
          </w:tcPr>
          <w:p w:rsidR="002D17FE" w:rsidRPr="001A3539" w:rsidRDefault="002D17FE" w:rsidP="008D285E">
            <w:pPr>
              <w:spacing w:after="0" w:line="240" w:lineRule="auto"/>
              <w:jc w:val="center"/>
              <w:rPr>
                <w:rFonts w:eastAsia="Times New Roman"/>
                <w:b w:val="0"/>
                <w:color w:val="000000"/>
                <w:lang w:eastAsia="lv-LV"/>
              </w:rPr>
            </w:pPr>
            <w:r w:rsidRPr="001A3539">
              <w:rPr>
                <w:rFonts w:eastAsia="Times New Roman"/>
                <w:b w:val="0"/>
                <w:color w:val="000000"/>
                <w:lang w:eastAsia="lv-LV"/>
              </w:rPr>
              <w:t>19.6.</w:t>
            </w:r>
          </w:p>
        </w:tc>
        <w:tc>
          <w:tcPr>
            <w:tcW w:w="805" w:type="dxa"/>
            <w:tcBorders>
              <w:top w:val="nil"/>
              <w:left w:val="nil"/>
              <w:bottom w:val="single" w:sz="4" w:space="0" w:color="auto"/>
              <w:right w:val="single" w:sz="4" w:space="0" w:color="auto"/>
            </w:tcBorders>
            <w:shd w:val="clear" w:color="000000" w:fill="F2F2F2"/>
            <w:noWrap/>
            <w:vAlign w:val="center"/>
            <w:hideMark/>
          </w:tcPr>
          <w:p w:rsidR="002D17FE" w:rsidRPr="001A3539" w:rsidRDefault="002D17FE" w:rsidP="008D285E">
            <w:pPr>
              <w:spacing w:after="0" w:line="240" w:lineRule="auto"/>
              <w:jc w:val="center"/>
              <w:rPr>
                <w:rFonts w:eastAsia="Times New Roman"/>
                <w:b w:val="0"/>
                <w:color w:val="000000"/>
                <w:lang w:eastAsia="lv-LV"/>
              </w:rPr>
            </w:pPr>
            <w:r w:rsidRPr="001A3539">
              <w:rPr>
                <w:rFonts w:eastAsia="Times New Roman"/>
                <w:b w:val="0"/>
                <w:color w:val="000000"/>
                <w:lang w:eastAsia="lv-LV"/>
              </w:rPr>
              <w:t>III</w:t>
            </w:r>
          </w:p>
        </w:tc>
        <w:tc>
          <w:tcPr>
            <w:tcW w:w="1072" w:type="dxa"/>
            <w:tcBorders>
              <w:top w:val="nil"/>
              <w:left w:val="nil"/>
              <w:bottom w:val="single" w:sz="4" w:space="0" w:color="auto"/>
              <w:right w:val="single" w:sz="4" w:space="0" w:color="auto"/>
            </w:tcBorders>
            <w:shd w:val="clear" w:color="000000" w:fill="F2F2F2"/>
            <w:noWrap/>
            <w:vAlign w:val="center"/>
            <w:hideMark/>
          </w:tcPr>
          <w:p w:rsidR="002D17FE" w:rsidRPr="001A3539" w:rsidRDefault="002D17FE" w:rsidP="008D285E">
            <w:pPr>
              <w:spacing w:after="0" w:line="240" w:lineRule="auto"/>
              <w:jc w:val="center"/>
              <w:rPr>
                <w:rFonts w:eastAsia="Times New Roman"/>
                <w:b w:val="0"/>
                <w:color w:val="000000"/>
                <w:lang w:eastAsia="lv-LV"/>
              </w:rPr>
            </w:pPr>
            <w:r w:rsidRPr="001A3539">
              <w:rPr>
                <w:rFonts w:eastAsia="Times New Roman"/>
                <w:b w:val="0"/>
                <w:color w:val="000000"/>
                <w:lang w:eastAsia="lv-LV"/>
              </w:rPr>
              <w:t>10</w:t>
            </w:r>
          </w:p>
        </w:tc>
        <w:tc>
          <w:tcPr>
            <w:tcW w:w="9379" w:type="dxa"/>
            <w:tcBorders>
              <w:top w:val="nil"/>
              <w:left w:val="nil"/>
              <w:bottom w:val="single" w:sz="4" w:space="0" w:color="auto"/>
              <w:right w:val="single" w:sz="4" w:space="0" w:color="auto"/>
            </w:tcBorders>
            <w:shd w:val="clear" w:color="000000" w:fill="F2F2F2"/>
          </w:tcPr>
          <w:p w:rsidR="00956B9F" w:rsidRPr="001A3539" w:rsidRDefault="00031C5C" w:rsidP="00956B9F">
            <w:pPr>
              <w:numPr>
                <w:ilvl w:val="0"/>
                <w:numId w:val="1"/>
              </w:numPr>
              <w:spacing w:after="0" w:line="240" w:lineRule="auto"/>
              <w:ind w:left="322"/>
              <w:jc w:val="both"/>
              <w:rPr>
                <w:b w:val="0"/>
                <w:lang w:eastAsia="lv-LV"/>
              </w:rPr>
            </w:pPr>
            <w:r w:rsidRPr="001A3539">
              <w:rPr>
                <w:b w:val="0"/>
                <w:lang w:eastAsia="lv-LV"/>
              </w:rPr>
              <w:t>n</w:t>
            </w:r>
            <w:r w:rsidR="002D17FE" w:rsidRPr="001A3539">
              <w:rPr>
                <w:b w:val="0"/>
                <w:lang w:eastAsia="lv-LV"/>
              </w:rPr>
              <w:t>odrošina Veselības aprūpes pakalpojumu norēķinu sistēmas Vadības informācijas sistēmas (VIS) Pakalpojumu saņēmēju reģistra moduļa (PSR) funkcionalitāti un biznesa procesu pārraudzību</w:t>
            </w:r>
            <w:r w:rsidR="00956B9F" w:rsidRPr="001A3539">
              <w:rPr>
                <w:b w:val="0"/>
                <w:lang w:eastAsia="lv-LV"/>
              </w:rPr>
              <w:t>;</w:t>
            </w:r>
          </w:p>
          <w:p w:rsidR="00956B9F" w:rsidRPr="001A3539" w:rsidRDefault="00956B9F" w:rsidP="00956B9F">
            <w:pPr>
              <w:numPr>
                <w:ilvl w:val="0"/>
                <w:numId w:val="1"/>
              </w:numPr>
              <w:spacing w:after="0" w:line="240" w:lineRule="auto"/>
              <w:ind w:left="322"/>
              <w:jc w:val="both"/>
              <w:rPr>
                <w:b w:val="0"/>
                <w:lang w:eastAsia="lv-LV"/>
              </w:rPr>
            </w:pPr>
            <w:r w:rsidRPr="001A3539">
              <w:rPr>
                <w:b w:val="0"/>
                <w:lang w:eastAsia="lv-LV"/>
              </w:rPr>
              <w:t>i</w:t>
            </w:r>
            <w:r w:rsidR="002D17FE" w:rsidRPr="001A3539">
              <w:rPr>
                <w:b w:val="0"/>
                <w:lang w:eastAsia="lv-LV"/>
              </w:rPr>
              <w:t>zstrādā priekšl</w:t>
            </w:r>
            <w:r w:rsidRPr="001A3539">
              <w:rPr>
                <w:b w:val="0"/>
                <w:lang w:eastAsia="lv-LV"/>
              </w:rPr>
              <w:t>ikumus PSR izmaiņām;</w:t>
            </w:r>
          </w:p>
          <w:p w:rsidR="00956B9F" w:rsidRPr="001A3539" w:rsidRDefault="00956B9F" w:rsidP="00956B9F">
            <w:pPr>
              <w:numPr>
                <w:ilvl w:val="0"/>
                <w:numId w:val="1"/>
              </w:numPr>
              <w:spacing w:after="0" w:line="240" w:lineRule="auto"/>
              <w:ind w:left="322"/>
              <w:jc w:val="both"/>
              <w:rPr>
                <w:b w:val="0"/>
                <w:lang w:eastAsia="lv-LV"/>
              </w:rPr>
            </w:pPr>
            <w:r w:rsidRPr="001A3539">
              <w:rPr>
                <w:b w:val="0"/>
                <w:lang w:eastAsia="lv-LV"/>
              </w:rPr>
              <w:t>n</w:t>
            </w:r>
            <w:r w:rsidR="002D17FE" w:rsidRPr="001A3539">
              <w:rPr>
                <w:b w:val="0"/>
                <w:lang w:eastAsia="lv-LV"/>
              </w:rPr>
              <w:t>odrošina sistēmas darbības atbilstību normatīvajiem aktiem, neatbilstības gadījumā veic izmaiņas;</w:t>
            </w:r>
          </w:p>
          <w:p w:rsidR="00956B9F" w:rsidRPr="001A3539" w:rsidRDefault="00956B9F" w:rsidP="00956B9F">
            <w:pPr>
              <w:numPr>
                <w:ilvl w:val="0"/>
                <w:numId w:val="1"/>
              </w:numPr>
              <w:spacing w:after="0" w:line="240" w:lineRule="auto"/>
              <w:ind w:left="322"/>
              <w:jc w:val="both"/>
              <w:rPr>
                <w:b w:val="0"/>
                <w:lang w:eastAsia="lv-LV"/>
              </w:rPr>
            </w:pPr>
            <w:r w:rsidRPr="001A3539">
              <w:rPr>
                <w:b w:val="0"/>
                <w:lang w:eastAsia="lv-LV"/>
              </w:rPr>
              <w:t>s</w:t>
            </w:r>
            <w:r w:rsidR="002D17FE" w:rsidRPr="001A3539">
              <w:rPr>
                <w:b w:val="0"/>
                <w:lang w:eastAsia="lv-LV"/>
              </w:rPr>
              <w:t>eko līdzi plānotajām izmaiņām normatīvajos aktos un savlaicīgi pasūta nepieciešamās izmaiņas PSR;</w:t>
            </w:r>
          </w:p>
          <w:p w:rsidR="00956B9F" w:rsidRPr="001A3539" w:rsidRDefault="002D17FE" w:rsidP="00956B9F">
            <w:pPr>
              <w:numPr>
                <w:ilvl w:val="0"/>
                <w:numId w:val="1"/>
              </w:numPr>
              <w:spacing w:after="0" w:line="240" w:lineRule="auto"/>
              <w:ind w:left="322"/>
              <w:jc w:val="both"/>
              <w:rPr>
                <w:b w:val="0"/>
                <w:lang w:eastAsia="lv-LV"/>
              </w:rPr>
            </w:pPr>
            <w:r w:rsidRPr="001A3539">
              <w:rPr>
                <w:b w:val="0"/>
                <w:lang w:eastAsia="lv-LV"/>
              </w:rPr>
              <w:t>analizē sistēmas efektivitāti un nepieciešamības gadījumā veic uzlabojumus;</w:t>
            </w:r>
          </w:p>
          <w:p w:rsidR="00956B9F" w:rsidRPr="001A3539" w:rsidRDefault="00956B9F" w:rsidP="00956B9F">
            <w:pPr>
              <w:numPr>
                <w:ilvl w:val="0"/>
                <w:numId w:val="1"/>
              </w:numPr>
              <w:spacing w:after="0" w:line="240" w:lineRule="auto"/>
              <w:ind w:left="322"/>
              <w:jc w:val="both"/>
              <w:rPr>
                <w:b w:val="0"/>
                <w:lang w:eastAsia="lv-LV"/>
              </w:rPr>
            </w:pPr>
            <w:r w:rsidRPr="001A3539">
              <w:rPr>
                <w:b w:val="0"/>
                <w:lang w:eastAsia="lv-LV"/>
              </w:rPr>
              <w:t>s</w:t>
            </w:r>
            <w:r w:rsidR="002D17FE" w:rsidRPr="001A3539">
              <w:rPr>
                <w:b w:val="0"/>
                <w:lang w:eastAsia="lv-LV"/>
              </w:rPr>
              <w:t>adarbojas ar VIS uzturētājiem un izstrādātājiem PSR moduļa funkcionalitātes nodrošināšanas ietvaros;</w:t>
            </w:r>
          </w:p>
          <w:p w:rsidR="00956B9F" w:rsidRPr="001A3539" w:rsidRDefault="00956B9F" w:rsidP="00956B9F">
            <w:pPr>
              <w:numPr>
                <w:ilvl w:val="0"/>
                <w:numId w:val="1"/>
              </w:numPr>
              <w:spacing w:after="0" w:line="240" w:lineRule="auto"/>
              <w:ind w:left="322"/>
              <w:jc w:val="both"/>
              <w:rPr>
                <w:b w:val="0"/>
                <w:lang w:eastAsia="lv-LV"/>
              </w:rPr>
            </w:pPr>
            <w:r w:rsidRPr="001A3539">
              <w:rPr>
                <w:b w:val="0"/>
                <w:lang w:eastAsia="lv-LV"/>
              </w:rPr>
              <w:t>s</w:t>
            </w:r>
            <w:r w:rsidR="002D17FE" w:rsidRPr="001A3539">
              <w:rPr>
                <w:b w:val="0"/>
                <w:lang w:eastAsia="lv-LV"/>
              </w:rPr>
              <w:t>adarbojas ar citām iesaistītajām institūcijām datu apmaiņas funkcionalitātes nodrošināšanā;</w:t>
            </w:r>
          </w:p>
          <w:p w:rsidR="00956B9F" w:rsidRPr="001A3539" w:rsidRDefault="00956B9F" w:rsidP="00956B9F">
            <w:pPr>
              <w:numPr>
                <w:ilvl w:val="0"/>
                <w:numId w:val="1"/>
              </w:numPr>
              <w:spacing w:after="0" w:line="240" w:lineRule="auto"/>
              <w:ind w:left="322"/>
              <w:jc w:val="both"/>
              <w:rPr>
                <w:b w:val="0"/>
                <w:lang w:eastAsia="lv-LV"/>
              </w:rPr>
            </w:pPr>
            <w:r w:rsidRPr="001A3539">
              <w:rPr>
                <w:b w:val="0"/>
                <w:lang w:eastAsia="lv-LV"/>
              </w:rPr>
              <w:t>a</w:t>
            </w:r>
            <w:r w:rsidR="002D17FE" w:rsidRPr="001A3539">
              <w:rPr>
                <w:b w:val="0"/>
                <w:lang w:eastAsia="lv-LV"/>
              </w:rPr>
              <w:t>nalizē, sniedz priekšlikumus, identificē jomas, kurām nepieciešams pievērst papildu uzmanību politikas plānošanas un izstrādes procesā saistībā ar veselības aprūpes pakalpojumu sniegšanas sasaisti ar nodokļu nomaksu vai to nodrošināšanu  personām, uz kurām attiecas valsts obligātā veselības apdrošināšana, nodrošināšanas funkcionalitāti;</w:t>
            </w:r>
          </w:p>
          <w:p w:rsidR="00956B9F" w:rsidRPr="001A3539" w:rsidRDefault="00956B9F" w:rsidP="00956B9F">
            <w:pPr>
              <w:numPr>
                <w:ilvl w:val="0"/>
                <w:numId w:val="1"/>
              </w:numPr>
              <w:spacing w:after="0" w:line="240" w:lineRule="auto"/>
              <w:ind w:left="322"/>
              <w:jc w:val="both"/>
              <w:rPr>
                <w:b w:val="0"/>
                <w:lang w:eastAsia="lv-LV"/>
              </w:rPr>
            </w:pPr>
            <w:r w:rsidRPr="001A3539">
              <w:rPr>
                <w:b w:val="0"/>
                <w:lang w:eastAsia="lv-LV"/>
              </w:rPr>
              <w:t>s</w:t>
            </w:r>
            <w:r w:rsidR="002D17FE" w:rsidRPr="001A3539">
              <w:rPr>
                <w:b w:val="0"/>
                <w:lang w:eastAsia="lv-LV"/>
              </w:rPr>
              <w:t>niedz konsultācijas un praktisku palīdzību liela apjoma sistēmu attīstības projektu plānošanā un ieviešanā;</w:t>
            </w:r>
          </w:p>
          <w:p w:rsidR="00956B9F" w:rsidRPr="001A3539" w:rsidRDefault="00956B9F" w:rsidP="00956B9F">
            <w:pPr>
              <w:numPr>
                <w:ilvl w:val="0"/>
                <w:numId w:val="1"/>
              </w:numPr>
              <w:spacing w:after="0" w:line="240" w:lineRule="auto"/>
              <w:ind w:left="322"/>
              <w:jc w:val="both"/>
              <w:rPr>
                <w:b w:val="0"/>
                <w:lang w:eastAsia="lv-LV"/>
              </w:rPr>
            </w:pPr>
            <w:r w:rsidRPr="001A3539">
              <w:rPr>
                <w:b w:val="0"/>
                <w:lang w:eastAsia="lv-LV"/>
              </w:rPr>
              <w:lastRenderedPageBreak/>
              <w:t>piedalās</w:t>
            </w:r>
            <w:r w:rsidR="002D17FE" w:rsidRPr="001A3539">
              <w:rPr>
                <w:b w:val="0"/>
                <w:lang w:eastAsia="lv-LV"/>
              </w:rPr>
              <w:t xml:space="preserve"> sarunās ar piegādātājiem un sekot piegādes līgumu izpildei;</w:t>
            </w:r>
          </w:p>
          <w:p w:rsidR="002D17FE" w:rsidRPr="001A3539" w:rsidRDefault="00956B9F" w:rsidP="00956B9F">
            <w:pPr>
              <w:numPr>
                <w:ilvl w:val="0"/>
                <w:numId w:val="1"/>
              </w:numPr>
              <w:spacing w:after="0" w:line="240" w:lineRule="auto"/>
              <w:ind w:left="322"/>
              <w:jc w:val="both"/>
              <w:rPr>
                <w:b w:val="0"/>
                <w:lang w:eastAsia="lv-LV"/>
              </w:rPr>
            </w:pPr>
            <w:r w:rsidRPr="001A3539">
              <w:rPr>
                <w:b w:val="0"/>
                <w:lang w:eastAsia="lv-LV"/>
              </w:rPr>
              <w:t>v</w:t>
            </w:r>
            <w:r w:rsidR="002D17FE" w:rsidRPr="001A3539">
              <w:rPr>
                <w:b w:val="0"/>
                <w:lang w:eastAsia="lv-LV"/>
              </w:rPr>
              <w:t>ada un piedalās darba grupās, kas saistītas ar tehnisko risinājumu izvēli, lai nodrošinātu veselības aprūpes pakalpojumu sniegšanas sasaisti ar nodokļu nomaksu vai to nodrošināšanu personām, uz kurām attiecas valsts obligātā veselības apdrošināšana.</w:t>
            </w:r>
          </w:p>
        </w:tc>
      </w:tr>
      <w:tr w:rsidR="002D17FE" w:rsidRPr="001A3539" w:rsidTr="008D285E">
        <w:trPr>
          <w:trHeight w:val="885"/>
          <w:jc w:val="center"/>
        </w:trPr>
        <w:tc>
          <w:tcPr>
            <w:tcW w:w="1540" w:type="dxa"/>
            <w:tcBorders>
              <w:top w:val="nil"/>
              <w:left w:val="single" w:sz="4" w:space="0" w:color="auto"/>
              <w:bottom w:val="single" w:sz="4" w:space="0" w:color="auto"/>
              <w:right w:val="single" w:sz="4" w:space="0" w:color="auto"/>
            </w:tcBorders>
            <w:shd w:val="clear" w:color="auto" w:fill="auto"/>
            <w:hideMark/>
          </w:tcPr>
          <w:p w:rsidR="002D17FE" w:rsidRPr="001A3539" w:rsidRDefault="002D17FE" w:rsidP="008D285E">
            <w:pPr>
              <w:spacing w:after="0" w:line="240" w:lineRule="auto"/>
              <w:rPr>
                <w:rFonts w:eastAsia="Times New Roman"/>
                <w:b w:val="0"/>
                <w:color w:val="000000"/>
                <w:lang w:eastAsia="lv-LV"/>
              </w:rPr>
            </w:pPr>
            <w:r w:rsidRPr="001A3539">
              <w:rPr>
                <w:rFonts w:eastAsia="Times New Roman"/>
                <w:b w:val="0"/>
                <w:color w:val="000000"/>
                <w:lang w:eastAsia="lv-LV"/>
              </w:rPr>
              <w:lastRenderedPageBreak/>
              <w:t>Palīdzības dienesta</w:t>
            </w:r>
            <w:r w:rsidRPr="001A3539">
              <w:rPr>
                <w:rFonts w:eastAsia="Times New Roman"/>
                <w:b w:val="0"/>
                <w:color w:val="000000"/>
                <w:lang w:eastAsia="lv-LV"/>
              </w:rPr>
              <w:br/>
              <w:t>speciālists</w:t>
            </w:r>
          </w:p>
        </w:tc>
        <w:tc>
          <w:tcPr>
            <w:tcW w:w="694" w:type="dxa"/>
            <w:tcBorders>
              <w:top w:val="nil"/>
              <w:left w:val="nil"/>
              <w:bottom w:val="single" w:sz="4" w:space="0" w:color="auto"/>
              <w:right w:val="single" w:sz="4" w:space="0" w:color="auto"/>
            </w:tcBorders>
            <w:shd w:val="clear" w:color="000000" w:fill="F2F2F2"/>
            <w:noWrap/>
            <w:vAlign w:val="center"/>
            <w:hideMark/>
          </w:tcPr>
          <w:p w:rsidR="002D17FE" w:rsidRPr="001A3539" w:rsidRDefault="002D17FE" w:rsidP="008D285E">
            <w:pPr>
              <w:spacing w:after="0" w:line="240" w:lineRule="auto"/>
              <w:jc w:val="center"/>
              <w:rPr>
                <w:rFonts w:eastAsia="Times New Roman"/>
                <w:b w:val="0"/>
                <w:color w:val="000000"/>
                <w:lang w:eastAsia="lv-LV"/>
              </w:rPr>
            </w:pPr>
            <w:r w:rsidRPr="001A3539">
              <w:rPr>
                <w:rFonts w:eastAsia="Times New Roman"/>
                <w:b w:val="0"/>
                <w:color w:val="000000"/>
                <w:lang w:eastAsia="lv-LV"/>
              </w:rPr>
              <w:t>1</w:t>
            </w:r>
          </w:p>
        </w:tc>
        <w:tc>
          <w:tcPr>
            <w:tcW w:w="700" w:type="dxa"/>
            <w:tcBorders>
              <w:top w:val="nil"/>
              <w:left w:val="nil"/>
              <w:bottom w:val="single" w:sz="4" w:space="0" w:color="auto"/>
              <w:right w:val="single" w:sz="4" w:space="0" w:color="auto"/>
            </w:tcBorders>
            <w:shd w:val="clear" w:color="000000" w:fill="F2F2F2"/>
            <w:noWrap/>
            <w:vAlign w:val="center"/>
            <w:hideMark/>
          </w:tcPr>
          <w:p w:rsidR="002D17FE" w:rsidRPr="001A3539" w:rsidRDefault="002D17FE" w:rsidP="008D285E">
            <w:pPr>
              <w:spacing w:after="0" w:line="240" w:lineRule="auto"/>
              <w:jc w:val="center"/>
              <w:rPr>
                <w:rFonts w:eastAsia="Times New Roman"/>
                <w:b w:val="0"/>
                <w:color w:val="000000"/>
                <w:lang w:eastAsia="lv-LV"/>
              </w:rPr>
            </w:pPr>
            <w:r w:rsidRPr="001A3539">
              <w:rPr>
                <w:rFonts w:eastAsia="Times New Roman"/>
                <w:b w:val="0"/>
                <w:color w:val="000000"/>
                <w:lang w:eastAsia="lv-LV"/>
              </w:rPr>
              <w:t>19.6.</w:t>
            </w:r>
          </w:p>
        </w:tc>
        <w:tc>
          <w:tcPr>
            <w:tcW w:w="805" w:type="dxa"/>
            <w:tcBorders>
              <w:top w:val="nil"/>
              <w:left w:val="nil"/>
              <w:bottom w:val="single" w:sz="4" w:space="0" w:color="auto"/>
              <w:right w:val="single" w:sz="4" w:space="0" w:color="auto"/>
            </w:tcBorders>
            <w:shd w:val="clear" w:color="000000" w:fill="F2F2F2"/>
            <w:noWrap/>
            <w:vAlign w:val="center"/>
            <w:hideMark/>
          </w:tcPr>
          <w:p w:rsidR="002D17FE" w:rsidRPr="001A3539" w:rsidRDefault="002D17FE" w:rsidP="008D285E">
            <w:pPr>
              <w:spacing w:after="0" w:line="240" w:lineRule="auto"/>
              <w:jc w:val="center"/>
              <w:rPr>
                <w:rFonts w:eastAsia="Times New Roman"/>
                <w:b w:val="0"/>
                <w:color w:val="000000"/>
                <w:lang w:eastAsia="lv-LV"/>
              </w:rPr>
            </w:pPr>
            <w:r w:rsidRPr="001A3539">
              <w:rPr>
                <w:rFonts w:eastAsia="Times New Roman"/>
                <w:b w:val="0"/>
                <w:color w:val="000000"/>
                <w:lang w:eastAsia="lv-LV"/>
              </w:rPr>
              <w:t>II</w:t>
            </w:r>
          </w:p>
        </w:tc>
        <w:tc>
          <w:tcPr>
            <w:tcW w:w="1072" w:type="dxa"/>
            <w:tcBorders>
              <w:top w:val="nil"/>
              <w:left w:val="nil"/>
              <w:bottom w:val="single" w:sz="4" w:space="0" w:color="auto"/>
              <w:right w:val="single" w:sz="4" w:space="0" w:color="auto"/>
            </w:tcBorders>
            <w:shd w:val="clear" w:color="000000" w:fill="F2F2F2"/>
            <w:noWrap/>
            <w:vAlign w:val="center"/>
            <w:hideMark/>
          </w:tcPr>
          <w:p w:rsidR="002D17FE" w:rsidRPr="001A3539" w:rsidRDefault="002D17FE" w:rsidP="008D285E">
            <w:pPr>
              <w:spacing w:after="0" w:line="240" w:lineRule="auto"/>
              <w:jc w:val="center"/>
              <w:rPr>
                <w:rFonts w:eastAsia="Times New Roman"/>
                <w:b w:val="0"/>
                <w:color w:val="000000"/>
                <w:lang w:eastAsia="lv-LV"/>
              </w:rPr>
            </w:pPr>
            <w:r w:rsidRPr="001A3539">
              <w:rPr>
                <w:rFonts w:eastAsia="Times New Roman"/>
                <w:b w:val="0"/>
                <w:color w:val="000000"/>
                <w:lang w:eastAsia="lv-LV"/>
              </w:rPr>
              <w:t>8</w:t>
            </w:r>
          </w:p>
        </w:tc>
        <w:tc>
          <w:tcPr>
            <w:tcW w:w="9379" w:type="dxa"/>
            <w:tcBorders>
              <w:top w:val="nil"/>
              <w:left w:val="nil"/>
              <w:bottom w:val="single" w:sz="4" w:space="0" w:color="auto"/>
              <w:right w:val="single" w:sz="4" w:space="0" w:color="auto"/>
            </w:tcBorders>
            <w:shd w:val="clear" w:color="000000" w:fill="F2F2F2"/>
          </w:tcPr>
          <w:p w:rsidR="00031C5C" w:rsidRPr="001A3539" w:rsidRDefault="00031C5C" w:rsidP="00031C5C">
            <w:pPr>
              <w:numPr>
                <w:ilvl w:val="0"/>
                <w:numId w:val="1"/>
              </w:numPr>
              <w:spacing w:after="0" w:line="240" w:lineRule="auto"/>
              <w:ind w:left="322"/>
              <w:jc w:val="both"/>
              <w:rPr>
                <w:b w:val="0"/>
                <w:lang w:eastAsia="lv-LV"/>
              </w:rPr>
            </w:pPr>
            <w:r w:rsidRPr="001A3539">
              <w:rPr>
                <w:b w:val="0"/>
                <w:lang w:eastAsia="lv-LV"/>
              </w:rPr>
              <w:t>a</w:t>
            </w:r>
            <w:r w:rsidR="002D17FE" w:rsidRPr="001A3539">
              <w:rPr>
                <w:b w:val="0"/>
                <w:lang w:eastAsia="lv-LV"/>
              </w:rPr>
              <w:t>dministrē  PSR  iekšējo un ārējo</w:t>
            </w:r>
            <w:r w:rsidR="00534AC9" w:rsidRPr="001A3539">
              <w:rPr>
                <w:b w:val="0"/>
                <w:lang w:eastAsia="lv-LV"/>
              </w:rPr>
              <w:t xml:space="preserve"> lietotāju problēmu pieteikumus;</w:t>
            </w:r>
          </w:p>
          <w:p w:rsidR="00031C5C" w:rsidRPr="001A3539" w:rsidRDefault="00031C5C" w:rsidP="00031C5C">
            <w:pPr>
              <w:numPr>
                <w:ilvl w:val="0"/>
                <w:numId w:val="1"/>
              </w:numPr>
              <w:spacing w:after="0" w:line="240" w:lineRule="auto"/>
              <w:ind w:left="322"/>
              <w:jc w:val="both"/>
              <w:rPr>
                <w:b w:val="0"/>
                <w:lang w:eastAsia="lv-LV"/>
              </w:rPr>
            </w:pPr>
            <w:r w:rsidRPr="001A3539">
              <w:rPr>
                <w:b w:val="0"/>
                <w:lang w:eastAsia="lv-LV"/>
              </w:rPr>
              <w:t>s</w:t>
            </w:r>
            <w:r w:rsidR="002D17FE" w:rsidRPr="001A3539">
              <w:rPr>
                <w:b w:val="0"/>
                <w:lang w:eastAsia="lv-LV"/>
              </w:rPr>
              <w:t>niedz pirmā līmeņa atbalstu PSR ārējiem un iekšējiem lietotājiem, konsultācijas par sistēmas darbību un li</w:t>
            </w:r>
            <w:r w:rsidR="00534AC9" w:rsidRPr="001A3539">
              <w:rPr>
                <w:b w:val="0"/>
                <w:lang w:eastAsia="lv-LV"/>
              </w:rPr>
              <w:t>etošanu;</w:t>
            </w:r>
          </w:p>
          <w:p w:rsidR="00031C5C" w:rsidRPr="001A3539" w:rsidRDefault="00031C5C" w:rsidP="00031C5C">
            <w:pPr>
              <w:numPr>
                <w:ilvl w:val="0"/>
                <w:numId w:val="1"/>
              </w:numPr>
              <w:spacing w:after="0" w:line="240" w:lineRule="auto"/>
              <w:ind w:left="322"/>
              <w:jc w:val="both"/>
              <w:rPr>
                <w:b w:val="0"/>
                <w:lang w:eastAsia="lv-LV"/>
              </w:rPr>
            </w:pPr>
            <w:r w:rsidRPr="001A3539">
              <w:rPr>
                <w:b w:val="0"/>
                <w:lang w:eastAsia="lv-LV"/>
              </w:rPr>
              <w:t>v</w:t>
            </w:r>
            <w:r w:rsidR="002D17FE" w:rsidRPr="001A3539">
              <w:rPr>
                <w:b w:val="0"/>
                <w:lang w:eastAsia="lv-LV"/>
              </w:rPr>
              <w:t>ada resoru līmenī konstatēto kļūdu novēršanas procesu, uztur atgriezenisko saiti ar citu nozaru resoriem un informācijas sistēmas</w:t>
            </w:r>
            <w:r w:rsidR="00534AC9" w:rsidRPr="001A3539">
              <w:rPr>
                <w:b w:val="0"/>
                <w:lang w:eastAsia="lv-LV"/>
              </w:rPr>
              <w:t xml:space="preserve"> lietotājiem;</w:t>
            </w:r>
          </w:p>
          <w:p w:rsidR="002D17FE" w:rsidRPr="001A3539" w:rsidRDefault="00031C5C" w:rsidP="00031C5C">
            <w:pPr>
              <w:numPr>
                <w:ilvl w:val="0"/>
                <w:numId w:val="1"/>
              </w:numPr>
              <w:spacing w:after="0" w:line="240" w:lineRule="auto"/>
              <w:ind w:left="322"/>
              <w:jc w:val="both"/>
              <w:rPr>
                <w:b w:val="0"/>
                <w:lang w:eastAsia="lv-LV"/>
              </w:rPr>
            </w:pPr>
            <w:r w:rsidRPr="001A3539">
              <w:rPr>
                <w:b w:val="0"/>
                <w:lang w:eastAsia="lv-LV"/>
              </w:rPr>
              <w:t>v</w:t>
            </w:r>
            <w:r w:rsidR="002D17FE" w:rsidRPr="001A3539">
              <w:rPr>
                <w:b w:val="0"/>
                <w:lang w:eastAsia="lv-LV"/>
              </w:rPr>
              <w:t xml:space="preserve">eido darba uzdevumus informācijas un tehnisko resursu turētājiem, kontrolē to izpildes laiku, </w:t>
            </w:r>
            <w:proofErr w:type="spellStart"/>
            <w:r w:rsidR="002D17FE" w:rsidRPr="001A3539">
              <w:rPr>
                <w:b w:val="0"/>
                <w:lang w:eastAsia="lv-LV"/>
              </w:rPr>
              <w:t>monitorē</w:t>
            </w:r>
            <w:proofErr w:type="spellEnd"/>
            <w:r w:rsidR="002D17FE" w:rsidRPr="001A3539">
              <w:rPr>
                <w:b w:val="0"/>
                <w:lang w:eastAsia="lv-LV"/>
              </w:rPr>
              <w:t xml:space="preserve"> PSR izstrādātājiem uzdotu darbu izpildi atbilstoši līgumam.</w:t>
            </w:r>
          </w:p>
        </w:tc>
      </w:tr>
      <w:tr w:rsidR="002D17FE" w:rsidRPr="001A3539" w:rsidTr="008D285E">
        <w:trPr>
          <w:trHeight w:val="630"/>
          <w:jc w:val="center"/>
        </w:trPr>
        <w:tc>
          <w:tcPr>
            <w:tcW w:w="1540" w:type="dxa"/>
            <w:tcBorders>
              <w:top w:val="nil"/>
              <w:left w:val="single" w:sz="4" w:space="0" w:color="auto"/>
              <w:bottom w:val="single" w:sz="4" w:space="0" w:color="auto"/>
              <w:right w:val="single" w:sz="4" w:space="0" w:color="auto"/>
            </w:tcBorders>
            <w:shd w:val="clear" w:color="auto" w:fill="auto"/>
            <w:hideMark/>
          </w:tcPr>
          <w:p w:rsidR="002D17FE" w:rsidRPr="001A3539" w:rsidRDefault="002D17FE" w:rsidP="008D285E">
            <w:pPr>
              <w:spacing w:after="0" w:line="240" w:lineRule="auto"/>
              <w:rPr>
                <w:rFonts w:eastAsia="Times New Roman"/>
                <w:b w:val="0"/>
                <w:color w:val="000000"/>
                <w:lang w:eastAsia="lv-LV"/>
              </w:rPr>
            </w:pPr>
            <w:r w:rsidRPr="001A3539">
              <w:rPr>
                <w:rFonts w:eastAsia="Times New Roman"/>
                <w:b w:val="0"/>
                <w:color w:val="000000"/>
                <w:lang w:eastAsia="lv-LV"/>
              </w:rPr>
              <w:t xml:space="preserve">Vecākais eksperts </w:t>
            </w:r>
          </w:p>
        </w:tc>
        <w:tc>
          <w:tcPr>
            <w:tcW w:w="694" w:type="dxa"/>
            <w:tcBorders>
              <w:top w:val="nil"/>
              <w:left w:val="nil"/>
              <w:bottom w:val="single" w:sz="4" w:space="0" w:color="auto"/>
              <w:right w:val="single" w:sz="4" w:space="0" w:color="auto"/>
            </w:tcBorders>
            <w:shd w:val="clear" w:color="000000" w:fill="F2F2F2"/>
            <w:noWrap/>
            <w:vAlign w:val="center"/>
            <w:hideMark/>
          </w:tcPr>
          <w:p w:rsidR="002D17FE" w:rsidRPr="001A3539" w:rsidRDefault="002D17FE" w:rsidP="008D285E">
            <w:pPr>
              <w:spacing w:after="0" w:line="240" w:lineRule="auto"/>
              <w:jc w:val="center"/>
              <w:rPr>
                <w:rFonts w:eastAsia="Times New Roman"/>
                <w:b w:val="0"/>
                <w:color w:val="000000"/>
                <w:lang w:eastAsia="lv-LV"/>
              </w:rPr>
            </w:pPr>
            <w:r w:rsidRPr="001A3539">
              <w:rPr>
                <w:rFonts w:eastAsia="Times New Roman"/>
                <w:b w:val="0"/>
                <w:color w:val="000000"/>
                <w:lang w:eastAsia="lv-LV"/>
              </w:rPr>
              <w:t>1</w:t>
            </w:r>
          </w:p>
        </w:tc>
        <w:tc>
          <w:tcPr>
            <w:tcW w:w="700" w:type="dxa"/>
            <w:tcBorders>
              <w:top w:val="nil"/>
              <w:left w:val="nil"/>
              <w:bottom w:val="single" w:sz="4" w:space="0" w:color="auto"/>
              <w:right w:val="single" w:sz="4" w:space="0" w:color="auto"/>
            </w:tcBorders>
            <w:shd w:val="clear" w:color="000000" w:fill="F2F2F2"/>
            <w:noWrap/>
            <w:vAlign w:val="center"/>
            <w:hideMark/>
          </w:tcPr>
          <w:p w:rsidR="002D17FE" w:rsidRPr="001A3539" w:rsidRDefault="002D17FE" w:rsidP="008D285E">
            <w:pPr>
              <w:spacing w:after="0" w:line="240" w:lineRule="auto"/>
              <w:jc w:val="center"/>
              <w:rPr>
                <w:rFonts w:eastAsia="Times New Roman"/>
                <w:b w:val="0"/>
                <w:color w:val="000000"/>
                <w:lang w:eastAsia="lv-LV"/>
              </w:rPr>
            </w:pPr>
            <w:r w:rsidRPr="001A3539">
              <w:rPr>
                <w:rFonts w:eastAsia="Times New Roman"/>
                <w:b w:val="0"/>
                <w:color w:val="000000"/>
                <w:lang w:eastAsia="lv-LV"/>
              </w:rPr>
              <w:t>19.2.</w:t>
            </w:r>
          </w:p>
        </w:tc>
        <w:tc>
          <w:tcPr>
            <w:tcW w:w="805" w:type="dxa"/>
            <w:tcBorders>
              <w:top w:val="nil"/>
              <w:left w:val="nil"/>
              <w:bottom w:val="single" w:sz="4" w:space="0" w:color="auto"/>
              <w:right w:val="single" w:sz="4" w:space="0" w:color="auto"/>
            </w:tcBorders>
            <w:shd w:val="clear" w:color="000000" w:fill="F2F2F2"/>
            <w:noWrap/>
            <w:vAlign w:val="center"/>
            <w:hideMark/>
          </w:tcPr>
          <w:p w:rsidR="002D17FE" w:rsidRPr="001A3539" w:rsidRDefault="002D17FE" w:rsidP="008D285E">
            <w:pPr>
              <w:spacing w:after="0" w:line="240" w:lineRule="auto"/>
              <w:jc w:val="center"/>
              <w:rPr>
                <w:rFonts w:eastAsia="Times New Roman"/>
                <w:b w:val="0"/>
                <w:color w:val="000000"/>
                <w:lang w:eastAsia="lv-LV"/>
              </w:rPr>
            </w:pPr>
            <w:r w:rsidRPr="001A3539">
              <w:rPr>
                <w:rFonts w:eastAsia="Times New Roman"/>
                <w:b w:val="0"/>
                <w:color w:val="000000"/>
                <w:lang w:eastAsia="lv-LV"/>
              </w:rPr>
              <w:t>II</w:t>
            </w:r>
          </w:p>
        </w:tc>
        <w:tc>
          <w:tcPr>
            <w:tcW w:w="1072" w:type="dxa"/>
            <w:tcBorders>
              <w:top w:val="nil"/>
              <w:left w:val="nil"/>
              <w:bottom w:val="single" w:sz="4" w:space="0" w:color="auto"/>
              <w:right w:val="single" w:sz="4" w:space="0" w:color="auto"/>
            </w:tcBorders>
            <w:shd w:val="clear" w:color="000000" w:fill="F2F2F2"/>
            <w:noWrap/>
            <w:vAlign w:val="center"/>
            <w:hideMark/>
          </w:tcPr>
          <w:p w:rsidR="002D17FE" w:rsidRPr="001A3539" w:rsidRDefault="002D17FE" w:rsidP="008D285E">
            <w:pPr>
              <w:spacing w:after="0" w:line="240" w:lineRule="auto"/>
              <w:jc w:val="center"/>
              <w:rPr>
                <w:rFonts w:eastAsia="Times New Roman"/>
                <w:b w:val="0"/>
                <w:color w:val="000000"/>
                <w:lang w:eastAsia="lv-LV"/>
              </w:rPr>
            </w:pPr>
            <w:r w:rsidRPr="001A3539">
              <w:rPr>
                <w:rFonts w:eastAsia="Times New Roman"/>
                <w:b w:val="0"/>
                <w:color w:val="000000"/>
                <w:lang w:eastAsia="lv-LV"/>
              </w:rPr>
              <w:t>10</w:t>
            </w:r>
          </w:p>
        </w:tc>
        <w:tc>
          <w:tcPr>
            <w:tcW w:w="9379" w:type="dxa"/>
            <w:tcBorders>
              <w:top w:val="nil"/>
              <w:left w:val="nil"/>
              <w:bottom w:val="single" w:sz="4" w:space="0" w:color="auto"/>
              <w:right w:val="single" w:sz="4" w:space="0" w:color="auto"/>
            </w:tcBorders>
            <w:shd w:val="clear" w:color="000000" w:fill="F2F2F2"/>
          </w:tcPr>
          <w:p w:rsidR="002E5668" w:rsidRPr="001A3539" w:rsidRDefault="00534AC9" w:rsidP="002E5668">
            <w:pPr>
              <w:numPr>
                <w:ilvl w:val="0"/>
                <w:numId w:val="1"/>
              </w:numPr>
              <w:spacing w:after="0" w:line="240" w:lineRule="auto"/>
              <w:ind w:left="322"/>
              <w:jc w:val="both"/>
              <w:rPr>
                <w:b w:val="0"/>
                <w:lang w:eastAsia="lv-LV"/>
              </w:rPr>
            </w:pPr>
            <w:r w:rsidRPr="001A3539">
              <w:rPr>
                <w:b w:val="0"/>
                <w:lang w:eastAsia="lv-LV"/>
              </w:rPr>
              <w:t>a</w:t>
            </w:r>
            <w:r w:rsidR="002D17FE" w:rsidRPr="001A3539">
              <w:rPr>
                <w:b w:val="0"/>
                <w:lang w:eastAsia="lv-LV"/>
              </w:rPr>
              <w:t>dministrē P</w:t>
            </w:r>
            <w:r w:rsidRPr="001A3539">
              <w:rPr>
                <w:b w:val="0"/>
                <w:lang w:eastAsia="lv-LV"/>
              </w:rPr>
              <w:t>SR</w:t>
            </w:r>
            <w:r w:rsidR="002D17FE" w:rsidRPr="001A3539">
              <w:rPr>
                <w:b w:val="0"/>
                <w:lang w:eastAsia="lv-LV"/>
              </w:rPr>
              <w:t xml:space="preserve"> programmatūras aplikācijas fu</w:t>
            </w:r>
            <w:r w:rsidRPr="001A3539">
              <w:rPr>
                <w:b w:val="0"/>
                <w:lang w:eastAsia="lv-LV"/>
              </w:rPr>
              <w:t>nkcionalitāti;</w:t>
            </w:r>
          </w:p>
          <w:p w:rsidR="002E5668" w:rsidRPr="001A3539" w:rsidRDefault="002E5668" w:rsidP="002E5668">
            <w:pPr>
              <w:numPr>
                <w:ilvl w:val="0"/>
                <w:numId w:val="1"/>
              </w:numPr>
              <w:spacing w:after="0" w:line="240" w:lineRule="auto"/>
              <w:ind w:left="322"/>
              <w:jc w:val="both"/>
              <w:rPr>
                <w:b w:val="0"/>
                <w:lang w:eastAsia="lv-LV"/>
              </w:rPr>
            </w:pPr>
            <w:r w:rsidRPr="001A3539">
              <w:rPr>
                <w:b w:val="0"/>
                <w:lang w:eastAsia="lv-LV"/>
              </w:rPr>
              <w:t>k</w:t>
            </w:r>
            <w:r w:rsidR="002D17FE" w:rsidRPr="001A3539">
              <w:rPr>
                <w:b w:val="0"/>
                <w:lang w:eastAsia="lv-LV"/>
              </w:rPr>
              <w:t xml:space="preserve">ontrolē datu bāzē programmētos procesus, sniedz priekšlikumus par </w:t>
            </w:r>
            <w:r w:rsidRPr="001A3539">
              <w:rPr>
                <w:b w:val="0"/>
                <w:lang w:eastAsia="lv-LV"/>
              </w:rPr>
              <w:t>PSR darbību;</w:t>
            </w:r>
          </w:p>
          <w:p w:rsidR="002E5668" w:rsidRPr="001A3539" w:rsidRDefault="00C2269E" w:rsidP="002E5668">
            <w:pPr>
              <w:numPr>
                <w:ilvl w:val="0"/>
                <w:numId w:val="1"/>
              </w:numPr>
              <w:spacing w:after="0" w:line="240" w:lineRule="auto"/>
              <w:ind w:left="322"/>
              <w:jc w:val="both"/>
              <w:rPr>
                <w:b w:val="0"/>
                <w:lang w:eastAsia="lv-LV"/>
              </w:rPr>
            </w:pPr>
            <w:r w:rsidRPr="001A3539">
              <w:rPr>
                <w:b w:val="0"/>
                <w:lang w:eastAsia="lv-LV"/>
              </w:rPr>
              <w:t xml:space="preserve">novērš savas </w:t>
            </w:r>
            <w:r w:rsidR="002D17FE" w:rsidRPr="001A3539">
              <w:rPr>
                <w:b w:val="0"/>
                <w:lang w:eastAsia="lv-LV"/>
              </w:rPr>
              <w:t>kompetences ietvar</w:t>
            </w:r>
            <w:r w:rsidRPr="001A3539">
              <w:rPr>
                <w:b w:val="0"/>
                <w:lang w:eastAsia="lv-LV"/>
              </w:rPr>
              <w:t>os konstatētas problēmas</w:t>
            </w:r>
            <w:r w:rsidR="002D17FE" w:rsidRPr="001A3539">
              <w:rPr>
                <w:b w:val="0"/>
                <w:lang w:eastAsia="lv-LV"/>
              </w:rPr>
              <w:t xml:space="preserve">, </w:t>
            </w:r>
            <w:proofErr w:type="spellStart"/>
            <w:r w:rsidRPr="001A3539">
              <w:rPr>
                <w:b w:val="0"/>
                <w:lang w:eastAsia="lv-LV"/>
              </w:rPr>
              <w:t>eskalē</w:t>
            </w:r>
            <w:proofErr w:type="spellEnd"/>
            <w:r w:rsidRPr="001A3539">
              <w:rPr>
                <w:b w:val="0"/>
                <w:lang w:eastAsia="lv-LV"/>
              </w:rPr>
              <w:t xml:space="preserve"> neatrisinātās problēmas</w:t>
            </w:r>
            <w:r w:rsidR="002D17FE" w:rsidRPr="001A3539">
              <w:rPr>
                <w:b w:val="0"/>
                <w:lang w:eastAsia="lv-LV"/>
              </w:rPr>
              <w:t xml:space="preserve"> izstrādātājam un sistēmas administratoram</w:t>
            </w:r>
            <w:r w:rsidR="002E5668" w:rsidRPr="001A3539">
              <w:rPr>
                <w:b w:val="0"/>
                <w:lang w:eastAsia="lv-LV"/>
              </w:rPr>
              <w:t>;</w:t>
            </w:r>
          </w:p>
          <w:p w:rsidR="002E5668" w:rsidRPr="001A3539" w:rsidRDefault="00B84719" w:rsidP="002E5668">
            <w:pPr>
              <w:numPr>
                <w:ilvl w:val="0"/>
                <w:numId w:val="1"/>
              </w:numPr>
              <w:spacing w:after="0" w:line="240" w:lineRule="auto"/>
              <w:ind w:left="322"/>
              <w:jc w:val="both"/>
              <w:rPr>
                <w:b w:val="0"/>
                <w:lang w:eastAsia="lv-LV"/>
              </w:rPr>
            </w:pPr>
            <w:r w:rsidRPr="001A3539">
              <w:rPr>
                <w:b w:val="0"/>
                <w:lang w:eastAsia="lv-LV"/>
              </w:rPr>
              <w:t xml:space="preserve">apmāca un testē </w:t>
            </w:r>
            <w:r w:rsidR="002D17FE" w:rsidRPr="001A3539">
              <w:rPr>
                <w:b w:val="0"/>
                <w:lang w:eastAsia="lv-LV"/>
              </w:rPr>
              <w:t>PSR</w:t>
            </w:r>
            <w:r w:rsidRPr="001A3539">
              <w:rPr>
                <w:b w:val="0"/>
                <w:lang w:eastAsia="lv-LV"/>
              </w:rPr>
              <w:t xml:space="preserve"> lietotāja kandidātus, konsultē gala lietotāju</w:t>
            </w:r>
            <w:r w:rsidR="002D17FE" w:rsidRPr="001A3539">
              <w:rPr>
                <w:b w:val="0"/>
                <w:lang w:eastAsia="lv-LV"/>
              </w:rPr>
              <w:t xml:space="preserve"> sistēmas tehnisko resursu un informācij</w:t>
            </w:r>
            <w:r w:rsidR="002E5668" w:rsidRPr="001A3539">
              <w:rPr>
                <w:b w:val="0"/>
                <w:lang w:eastAsia="lv-LV"/>
              </w:rPr>
              <w:t>as resursu darbības jautājumos;</w:t>
            </w:r>
          </w:p>
          <w:p w:rsidR="002E5668" w:rsidRPr="001A3539" w:rsidRDefault="00B84719" w:rsidP="002E5668">
            <w:pPr>
              <w:numPr>
                <w:ilvl w:val="0"/>
                <w:numId w:val="1"/>
              </w:numPr>
              <w:spacing w:after="0" w:line="240" w:lineRule="auto"/>
              <w:ind w:left="322"/>
              <w:jc w:val="both"/>
              <w:rPr>
                <w:b w:val="0"/>
                <w:lang w:eastAsia="lv-LV"/>
              </w:rPr>
            </w:pPr>
            <w:r w:rsidRPr="001A3539">
              <w:rPr>
                <w:b w:val="0"/>
                <w:lang w:eastAsia="lv-LV"/>
              </w:rPr>
              <w:t xml:space="preserve">sagatavo </w:t>
            </w:r>
            <w:r w:rsidR="002D17FE" w:rsidRPr="001A3539">
              <w:rPr>
                <w:b w:val="0"/>
                <w:lang w:eastAsia="lv-LV"/>
              </w:rPr>
              <w:t>PSR i</w:t>
            </w:r>
            <w:r w:rsidRPr="001A3539">
              <w:rPr>
                <w:b w:val="0"/>
                <w:lang w:eastAsia="lv-LV"/>
              </w:rPr>
              <w:t>zmaiņu pieprasījumus izstrādātājiem, piedalās</w:t>
            </w:r>
            <w:r w:rsidR="002D17FE" w:rsidRPr="001A3539">
              <w:rPr>
                <w:b w:val="0"/>
                <w:lang w:eastAsia="lv-LV"/>
              </w:rPr>
              <w:t xml:space="preserve"> izmaiņu pieprasījumu izstrādes un testēšanas procesā, </w:t>
            </w:r>
            <w:r w:rsidRPr="001A3539">
              <w:rPr>
                <w:b w:val="0"/>
                <w:lang w:eastAsia="lv-LV"/>
              </w:rPr>
              <w:t xml:space="preserve">programmē </w:t>
            </w:r>
            <w:r w:rsidR="002D17FE" w:rsidRPr="001A3539">
              <w:rPr>
                <w:b w:val="0"/>
                <w:lang w:eastAsia="lv-LV"/>
              </w:rPr>
              <w:t>datu pieprasījumu SQL algorit</w:t>
            </w:r>
            <w:r w:rsidR="002E5668" w:rsidRPr="001A3539">
              <w:rPr>
                <w:b w:val="0"/>
                <w:lang w:eastAsia="lv-LV"/>
              </w:rPr>
              <w:t>mu</w:t>
            </w:r>
            <w:r w:rsidRPr="001A3539">
              <w:rPr>
                <w:b w:val="0"/>
                <w:lang w:eastAsia="lv-LV"/>
              </w:rPr>
              <w:t xml:space="preserve">s </w:t>
            </w:r>
            <w:r w:rsidR="002E5668" w:rsidRPr="001A3539">
              <w:rPr>
                <w:b w:val="0"/>
                <w:lang w:eastAsia="lv-LV"/>
              </w:rPr>
              <w:t>VIS datu bāzē;</w:t>
            </w:r>
          </w:p>
          <w:p w:rsidR="002E5668" w:rsidRPr="001A3539" w:rsidRDefault="00ED2CA6" w:rsidP="002E5668">
            <w:pPr>
              <w:numPr>
                <w:ilvl w:val="0"/>
                <w:numId w:val="1"/>
              </w:numPr>
              <w:spacing w:after="0" w:line="240" w:lineRule="auto"/>
              <w:ind w:left="322"/>
              <w:jc w:val="both"/>
              <w:rPr>
                <w:b w:val="0"/>
                <w:lang w:eastAsia="lv-LV"/>
              </w:rPr>
            </w:pPr>
            <w:r w:rsidRPr="001A3539">
              <w:rPr>
                <w:b w:val="0"/>
                <w:lang w:eastAsia="lv-LV"/>
              </w:rPr>
              <w:t xml:space="preserve">administrē un kontrolē </w:t>
            </w:r>
            <w:r w:rsidR="002D17FE" w:rsidRPr="001A3539">
              <w:rPr>
                <w:b w:val="0"/>
                <w:lang w:eastAsia="lv-LV"/>
              </w:rPr>
              <w:t>VIS Datu bāzes programmēto</w:t>
            </w:r>
            <w:r w:rsidRPr="001A3539">
              <w:rPr>
                <w:b w:val="0"/>
                <w:lang w:eastAsia="lv-LV"/>
              </w:rPr>
              <w:t>s</w:t>
            </w:r>
            <w:r w:rsidR="002D17FE" w:rsidRPr="001A3539">
              <w:rPr>
                <w:b w:val="0"/>
                <w:lang w:eastAsia="lv-LV"/>
              </w:rPr>
              <w:t xml:space="preserve"> proces</w:t>
            </w:r>
            <w:r w:rsidR="002E5668" w:rsidRPr="001A3539">
              <w:rPr>
                <w:b w:val="0"/>
                <w:lang w:eastAsia="lv-LV"/>
              </w:rPr>
              <w:t>u</w:t>
            </w:r>
            <w:r w:rsidRPr="001A3539">
              <w:rPr>
                <w:b w:val="0"/>
                <w:lang w:eastAsia="lv-LV"/>
              </w:rPr>
              <w:t>s</w:t>
            </w:r>
            <w:r w:rsidR="002E5668" w:rsidRPr="001A3539">
              <w:rPr>
                <w:b w:val="0"/>
                <w:lang w:eastAsia="lv-LV"/>
              </w:rPr>
              <w:t>;</w:t>
            </w:r>
          </w:p>
          <w:p w:rsidR="002D17FE" w:rsidRPr="001A3539" w:rsidRDefault="00CE233A" w:rsidP="002E5668">
            <w:pPr>
              <w:numPr>
                <w:ilvl w:val="0"/>
                <w:numId w:val="1"/>
              </w:numPr>
              <w:spacing w:after="0" w:line="240" w:lineRule="auto"/>
              <w:ind w:left="322"/>
              <w:jc w:val="both"/>
              <w:rPr>
                <w:b w:val="0"/>
                <w:lang w:eastAsia="lv-LV"/>
              </w:rPr>
            </w:pPr>
            <w:r w:rsidRPr="001A3539">
              <w:rPr>
                <w:b w:val="0"/>
                <w:lang w:eastAsia="lv-LV"/>
              </w:rPr>
              <w:t xml:space="preserve">kontrolē </w:t>
            </w:r>
            <w:r w:rsidR="002D17FE" w:rsidRPr="001A3539">
              <w:rPr>
                <w:b w:val="0"/>
                <w:lang w:eastAsia="lv-LV"/>
              </w:rPr>
              <w:t>VIS datu bāzes datu i</w:t>
            </w:r>
            <w:r w:rsidRPr="001A3539">
              <w:rPr>
                <w:b w:val="0"/>
                <w:lang w:eastAsia="lv-LV"/>
              </w:rPr>
              <w:t>ntegritāti, sadarbojas</w:t>
            </w:r>
            <w:r w:rsidR="002D17FE" w:rsidRPr="001A3539">
              <w:rPr>
                <w:b w:val="0"/>
                <w:lang w:eastAsia="lv-LV"/>
              </w:rPr>
              <w:t xml:space="preserve"> ar citu nozaru resoriem jaunā </w:t>
            </w:r>
            <w:r w:rsidR="002E5668" w:rsidRPr="001A3539">
              <w:rPr>
                <w:b w:val="0"/>
                <w:lang w:eastAsia="lv-LV"/>
              </w:rPr>
              <w:t>PSR</w:t>
            </w:r>
            <w:r w:rsidR="002D17FE" w:rsidRPr="001A3539">
              <w:rPr>
                <w:b w:val="0"/>
                <w:lang w:eastAsia="lv-LV"/>
              </w:rPr>
              <w:t xml:space="preserve"> modeļa izstrādē, ieviešanā un uzturēšanā.</w:t>
            </w:r>
          </w:p>
        </w:tc>
      </w:tr>
      <w:tr w:rsidR="002D17FE" w:rsidRPr="001A3539" w:rsidTr="008D285E">
        <w:trPr>
          <w:trHeight w:val="630"/>
          <w:jc w:val="center"/>
        </w:trPr>
        <w:tc>
          <w:tcPr>
            <w:tcW w:w="1540" w:type="dxa"/>
            <w:tcBorders>
              <w:top w:val="nil"/>
              <w:left w:val="single" w:sz="4" w:space="0" w:color="auto"/>
              <w:bottom w:val="single" w:sz="4" w:space="0" w:color="auto"/>
              <w:right w:val="single" w:sz="4" w:space="0" w:color="auto"/>
            </w:tcBorders>
            <w:shd w:val="clear" w:color="auto" w:fill="auto"/>
            <w:hideMark/>
          </w:tcPr>
          <w:p w:rsidR="002D17FE" w:rsidRPr="001A3539" w:rsidRDefault="002D17FE" w:rsidP="008D285E">
            <w:pPr>
              <w:spacing w:after="0" w:line="240" w:lineRule="auto"/>
              <w:rPr>
                <w:rFonts w:eastAsia="Times New Roman"/>
                <w:b w:val="0"/>
                <w:color w:val="000000"/>
                <w:lang w:eastAsia="lv-LV"/>
              </w:rPr>
            </w:pPr>
            <w:r w:rsidRPr="001A3539">
              <w:rPr>
                <w:rFonts w:eastAsia="Times New Roman"/>
                <w:b w:val="0"/>
                <w:color w:val="000000"/>
                <w:lang w:eastAsia="lv-LV"/>
              </w:rPr>
              <w:t xml:space="preserve">Vecākais eksperts </w:t>
            </w:r>
          </w:p>
        </w:tc>
        <w:tc>
          <w:tcPr>
            <w:tcW w:w="694" w:type="dxa"/>
            <w:tcBorders>
              <w:top w:val="nil"/>
              <w:left w:val="nil"/>
              <w:bottom w:val="single" w:sz="4" w:space="0" w:color="auto"/>
              <w:right w:val="single" w:sz="4" w:space="0" w:color="auto"/>
            </w:tcBorders>
            <w:shd w:val="clear" w:color="000000" w:fill="F2F2F2"/>
            <w:noWrap/>
            <w:vAlign w:val="center"/>
            <w:hideMark/>
          </w:tcPr>
          <w:p w:rsidR="002D17FE" w:rsidRPr="001A3539" w:rsidRDefault="002D17FE" w:rsidP="008D285E">
            <w:pPr>
              <w:spacing w:after="0" w:line="240" w:lineRule="auto"/>
              <w:jc w:val="center"/>
              <w:rPr>
                <w:rFonts w:eastAsia="Times New Roman"/>
                <w:b w:val="0"/>
                <w:color w:val="000000"/>
                <w:lang w:eastAsia="lv-LV"/>
              </w:rPr>
            </w:pPr>
            <w:r w:rsidRPr="001A3539">
              <w:rPr>
                <w:rFonts w:eastAsia="Times New Roman"/>
                <w:b w:val="0"/>
                <w:color w:val="000000"/>
                <w:lang w:eastAsia="lv-LV"/>
              </w:rPr>
              <w:t>1</w:t>
            </w:r>
          </w:p>
        </w:tc>
        <w:tc>
          <w:tcPr>
            <w:tcW w:w="700" w:type="dxa"/>
            <w:tcBorders>
              <w:top w:val="nil"/>
              <w:left w:val="nil"/>
              <w:bottom w:val="single" w:sz="4" w:space="0" w:color="auto"/>
              <w:right w:val="single" w:sz="4" w:space="0" w:color="auto"/>
            </w:tcBorders>
            <w:shd w:val="clear" w:color="000000" w:fill="F2F2F2"/>
            <w:noWrap/>
            <w:vAlign w:val="center"/>
            <w:hideMark/>
          </w:tcPr>
          <w:p w:rsidR="002D17FE" w:rsidRPr="001A3539" w:rsidRDefault="002D17FE" w:rsidP="008D285E">
            <w:pPr>
              <w:spacing w:after="0" w:line="240" w:lineRule="auto"/>
              <w:jc w:val="center"/>
              <w:rPr>
                <w:rFonts w:eastAsia="Times New Roman"/>
                <w:b w:val="0"/>
                <w:color w:val="000000"/>
                <w:lang w:eastAsia="lv-LV"/>
              </w:rPr>
            </w:pPr>
            <w:r w:rsidRPr="001A3539">
              <w:rPr>
                <w:rFonts w:eastAsia="Times New Roman"/>
                <w:b w:val="0"/>
                <w:color w:val="000000"/>
                <w:lang w:eastAsia="lv-LV"/>
              </w:rPr>
              <w:t>12.1.</w:t>
            </w:r>
          </w:p>
        </w:tc>
        <w:tc>
          <w:tcPr>
            <w:tcW w:w="805" w:type="dxa"/>
            <w:tcBorders>
              <w:top w:val="nil"/>
              <w:left w:val="nil"/>
              <w:bottom w:val="single" w:sz="4" w:space="0" w:color="auto"/>
              <w:right w:val="single" w:sz="4" w:space="0" w:color="auto"/>
            </w:tcBorders>
            <w:shd w:val="clear" w:color="000000" w:fill="F2F2F2"/>
            <w:noWrap/>
            <w:vAlign w:val="center"/>
            <w:hideMark/>
          </w:tcPr>
          <w:p w:rsidR="002D17FE" w:rsidRPr="001A3539" w:rsidRDefault="002D17FE" w:rsidP="008D285E">
            <w:pPr>
              <w:spacing w:after="0" w:line="240" w:lineRule="auto"/>
              <w:jc w:val="center"/>
              <w:rPr>
                <w:rFonts w:eastAsia="Times New Roman"/>
                <w:b w:val="0"/>
                <w:color w:val="000000"/>
                <w:lang w:eastAsia="lv-LV"/>
              </w:rPr>
            </w:pPr>
            <w:r w:rsidRPr="001A3539">
              <w:rPr>
                <w:rFonts w:eastAsia="Times New Roman"/>
                <w:b w:val="0"/>
                <w:color w:val="000000"/>
                <w:lang w:eastAsia="lv-LV"/>
              </w:rPr>
              <w:t>IIA</w:t>
            </w:r>
          </w:p>
        </w:tc>
        <w:tc>
          <w:tcPr>
            <w:tcW w:w="1072" w:type="dxa"/>
            <w:tcBorders>
              <w:top w:val="nil"/>
              <w:left w:val="nil"/>
              <w:bottom w:val="single" w:sz="4" w:space="0" w:color="auto"/>
              <w:right w:val="single" w:sz="4" w:space="0" w:color="auto"/>
            </w:tcBorders>
            <w:shd w:val="clear" w:color="000000" w:fill="F2F2F2"/>
            <w:noWrap/>
            <w:vAlign w:val="center"/>
            <w:hideMark/>
          </w:tcPr>
          <w:p w:rsidR="002D17FE" w:rsidRPr="001A3539" w:rsidRDefault="002D17FE" w:rsidP="008D285E">
            <w:pPr>
              <w:spacing w:after="0" w:line="240" w:lineRule="auto"/>
              <w:jc w:val="center"/>
              <w:rPr>
                <w:rFonts w:eastAsia="Times New Roman"/>
                <w:b w:val="0"/>
                <w:color w:val="000000"/>
                <w:lang w:eastAsia="lv-LV"/>
              </w:rPr>
            </w:pPr>
            <w:r w:rsidRPr="001A3539">
              <w:rPr>
                <w:rFonts w:eastAsia="Times New Roman"/>
                <w:b w:val="0"/>
                <w:color w:val="000000"/>
                <w:lang w:eastAsia="lv-LV"/>
              </w:rPr>
              <w:t>9</w:t>
            </w:r>
          </w:p>
        </w:tc>
        <w:tc>
          <w:tcPr>
            <w:tcW w:w="9379" w:type="dxa"/>
            <w:tcBorders>
              <w:top w:val="nil"/>
              <w:left w:val="nil"/>
              <w:bottom w:val="single" w:sz="4" w:space="0" w:color="auto"/>
              <w:right w:val="single" w:sz="4" w:space="0" w:color="auto"/>
            </w:tcBorders>
            <w:shd w:val="clear" w:color="000000" w:fill="F2F2F2"/>
          </w:tcPr>
          <w:p w:rsidR="00BB590B" w:rsidRPr="001A3539" w:rsidRDefault="00974287" w:rsidP="00A02358">
            <w:pPr>
              <w:numPr>
                <w:ilvl w:val="0"/>
                <w:numId w:val="1"/>
              </w:numPr>
              <w:spacing w:after="0" w:line="240" w:lineRule="auto"/>
              <w:ind w:left="322"/>
              <w:jc w:val="both"/>
              <w:rPr>
                <w:b w:val="0"/>
                <w:lang w:eastAsia="lv-LV"/>
              </w:rPr>
            </w:pPr>
            <w:r w:rsidRPr="001A3539">
              <w:rPr>
                <w:b w:val="0"/>
                <w:lang w:eastAsia="lv-LV"/>
              </w:rPr>
              <w:t xml:space="preserve">personificēti </w:t>
            </w:r>
            <w:r w:rsidR="00A02358" w:rsidRPr="001A3539">
              <w:rPr>
                <w:b w:val="0"/>
                <w:lang w:eastAsia="lv-LV"/>
              </w:rPr>
              <w:t xml:space="preserve">uzskaita, aprēķina un analizē </w:t>
            </w:r>
            <w:r w:rsidR="002D17FE" w:rsidRPr="001A3539">
              <w:rPr>
                <w:b w:val="0"/>
                <w:lang w:eastAsia="lv-LV"/>
              </w:rPr>
              <w:t>pašnodarbināto personu veselības apdrošināšanas o</w:t>
            </w:r>
            <w:r w:rsidRPr="001A3539">
              <w:rPr>
                <w:b w:val="0"/>
                <w:lang w:eastAsia="lv-LV"/>
              </w:rPr>
              <w:t>bligātās iemaksas</w:t>
            </w:r>
            <w:r w:rsidR="00BB590B" w:rsidRPr="001A3539">
              <w:rPr>
                <w:b w:val="0"/>
                <w:lang w:eastAsia="lv-LV"/>
              </w:rPr>
              <w:t>;</w:t>
            </w:r>
          </w:p>
          <w:p w:rsidR="00BB590B" w:rsidRPr="001A3539" w:rsidRDefault="00974287" w:rsidP="00BB590B">
            <w:pPr>
              <w:numPr>
                <w:ilvl w:val="0"/>
                <w:numId w:val="1"/>
              </w:numPr>
              <w:spacing w:after="0" w:line="240" w:lineRule="auto"/>
              <w:ind w:left="322"/>
              <w:jc w:val="both"/>
              <w:rPr>
                <w:b w:val="0"/>
                <w:lang w:eastAsia="lv-LV"/>
              </w:rPr>
            </w:pPr>
            <w:r w:rsidRPr="001A3539">
              <w:rPr>
                <w:b w:val="0"/>
                <w:lang w:eastAsia="lv-LV"/>
              </w:rPr>
              <w:t xml:space="preserve">personificēti uzskaita, aprēķina un analizē </w:t>
            </w:r>
            <w:r w:rsidR="000443E2" w:rsidRPr="001A3539">
              <w:rPr>
                <w:b w:val="0"/>
                <w:lang w:eastAsia="lv-LV"/>
              </w:rPr>
              <w:t>valsts veselības apdrošināšanas brīvprātīgās iemaksas un vienreizējos maksājumus</w:t>
            </w:r>
            <w:r w:rsidR="00BB590B" w:rsidRPr="001A3539">
              <w:rPr>
                <w:b w:val="0"/>
                <w:lang w:eastAsia="lv-LV"/>
              </w:rPr>
              <w:t>;</w:t>
            </w:r>
          </w:p>
          <w:p w:rsidR="00BB590B" w:rsidRPr="001A3539" w:rsidRDefault="00974287" w:rsidP="00BB590B">
            <w:pPr>
              <w:numPr>
                <w:ilvl w:val="0"/>
                <w:numId w:val="1"/>
              </w:numPr>
              <w:spacing w:after="0" w:line="240" w:lineRule="auto"/>
              <w:ind w:left="322"/>
              <w:jc w:val="both"/>
              <w:rPr>
                <w:b w:val="0"/>
                <w:lang w:eastAsia="lv-LV"/>
              </w:rPr>
            </w:pPr>
            <w:r w:rsidRPr="001A3539">
              <w:rPr>
                <w:b w:val="0"/>
                <w:lang w:eastAsia="lv-LV"/>
              </w:rPr>
              <w:t xml:space="preserve">analizē </w:t>
            </w:r>
            <w:r w:rsidR="002D17FE" w:rsidRPr="001A3539">
              <w:rPr>
                <w:b w:val="0"/>
                <w:lang w:eastAsia="lv-LV"/>
              </w:rPr>
              <w:t>ekonomisko</w:t>
            </w:r>
            <w:r w:rsidRPr="001A3539">
              <w:rPr>
                <w:b w:val="0"/>
                <w:lang w:eastAsia="lv-LV"/>
              </w:rPr>
              <w:t>s</w:t>
            </w:r>
            <w:r w:rsidR="002D17FE" w:rsidRPr="001A3539">
              <w:rPr>
                <w:b w:val="0"/>
                <w:lang w:eastAsia="lv-LV"/>
              </w:rPr>
              <w:t xml:space="preserve"> un finanšu rādītāju</w:t>
            </w:r>
            <w:r w:rsidRPr="001A3539">
              <w:rPr>
                <w:b w:val="0"/>
                <w:lang w:eastAsia="lv-LV"/>
              </w:rPr>
              <w:t xml:space="preserve">s </w:t>
            </w:r>
            <w:r w:rsidR="002D17FE" w:rsidRPr="001A3539">
              <w:rPr>
                <w:b w:val="0"/>
                <w:lang w:eastAsia="lv-LV"/>
              </w:rPr>
              <w:t>dažādos griezumos</w:t>
            </w:r>
            <w:r w:rsidR="00BB590B" w:rsidRPr="001A3539">
              <w:rPr>
                <w:b w:val="0"/>
                <w:lang w:eastAsia="lv-LV"/>
              </w:rPr>
              <w:t>;</w:t>
            </w:r>
          </w:p>
          <w:p w:rsidR="002D17FE" w:rsidRPr="001A3539" w:rsidRDefault="00257562" w:rsidP="00257562">
            <w:pPr>
              <w:numPr>
                <w:ilvl w:val="0"/>
                <w:numId w:val="1"/>
              </w:numPr>
              <w:spacing w:after="0" w:line="240" w:lineRule="auto"/>
              <w:ind w:left="322"/>
              <w:jc w:val="both"/>
              <w:rPr>
                <w:b w:val="0"/>
                <w:lang w:eastAsia="lv-LV"/>
              </w:rPr>
            </w:pPr>
            <w:r w:rsidRPr="001A3539">
              <w:rPr>
                <w:b w:val="0"/>
                <w:lang w:eastAsia="lv-LV"/>
              </w:rPr>
              <w:t xml:space="preserve">plāno </w:t>
            </w:r>
            <w:r w:rsidR="002D17FE" w:rsidRPr="001A3539">
              <w:rPr>
                <w:b w:val="0"/>
                <w:lang w:eastAsia="lv-LV"/>
              </w:rPr>
              <w:t xml:space="preserve">speciālā veselības budžeta </w:t>
            </w:r>
            <w:r w:rsidR="00BB590B" w:rsidRPr="001A3539">
              <w:rPr>
                <w:b w:val="0"/>
                <w:lang w:eastAsia="lv-LV"/>
              </w:rPr>
              <w:t>ieņēmumu</w:t>
            </w:r>
            <w:r w:rsidRPr="001A3539">
              <w:rPr>
                <w:b w:val="0"/>
                <w:lang w:eastAsia="lv-LV"/>
              </w:rPr>
              <w:t>s</w:t>
            </w:r>
            <w:r w:rsidR="00BB590B" w:rsidRPr="001A3539">
              <w:rPr>
                <w:b w:val="0"/>
                <w:lang w:eastAsia="lv-LV"/>
              </w:rPr>
              <w:t xml:space="preserve"> un izdevumu</w:t>
            </w:r>
            <w:r w:rsidRPr="001A3539">
              <w:rPr>
                <w:b w:val="0"/>
                <w:lang w:eastAsia="lv-LV"/>
              </w:rPr>
              <w:t xml:space="preserve">s, kā arī kontrolē ieņēmumu un izdevumu </w:t>
            </w:r>
            <w:r w:rsidR="00BB590B" w:rsidRPr="001A3539">
              <w:rPr>
                <w:b w:val="0"/>
                <w:lang w:eastAsia="lv-LV"/>
              </w:rPr>
              <w:t>izpildes</w:t>
            </w:r>
            <w:r w:rsidR="002D17FE" w:rsidRPr="001A3539">
              <w:rPr>
                <w:b w:val="0"/>
                <w:lang w:eastAsia="lv-LV"/>
              </w:rPr>
              <w:t>.</w:t>
            </w:r>
          </w:p>
        </w:tc>
      </w:tr>
      <w:tr w:rsidR="002D17FE" w:rsidRPr="001A3539" w:rsidTr="008D285E">
        <w:trPr>
          <w:trHeight w:val="885"/>
          <w:jc w:val="center"/>
        </w:trPr>
        <w:tc>
          <w:tcPr>
            <w:tcW w:w="1540" w:type="dxa"/>
            <w:tcBorders>
              <w:top w:val="nil"/>
              <w:left w:val="single" w:sz="4" w:space="0" w:color="auto"/>
              <w:bottom w:val="single" w:sz="4" w:space="0" w:color="auto"/>
              <w:right w:val="single" w:sz="4" w:space="0" w:color="auto"/>
            </w:tcBorders>
            <w:shd w:val="clear" w:color="auto" w:fill="auto"/>
            <w:hideMark/>
          </w:tcPr>
          <w:p w:rsidR="002D17FE" w:rsidRPr="001A3539" w:rsidRDefault="002D17FE" w:rsidP="008D285E">
            <w:pPr>
              <w:spacing w:after="0" w:line="240" w:lineRule="auto"/>
              <w:rPr>
                <w:rFonts w:eastAsia="Times New Roman"/>
                <w:b w:val="0"/>
                <w:color w:val="000000"/>
                <w:lang w:eastAsia="lv-LV"/>
              </w:rPr>
            </w:pPr>
            <w:r w:rsidRPr="001A3539">
              <w:rPr>
                <w:rFonts w:eastAsia="Times New Roman"/>
                <w:b w:val="0"/>
                <w:color w:val="000000"/>
                <w:lang w:eastAsia="lv-LV"/>
              </w:rPr>
              <w:lastRenderedPageBreak/>
              <w:t>Klientu apkalpošanas speciālists</w:t>
            </w:r>
          </w:p>
        </w:tc>
        <w:tc>
          <w:tcPr>
            <w:tcW w:w="694" w:type="dxa"/>
            <w:tcBorders>
              <w:top w:val="nil"/>
              <w:left w:val="nil"/>
              <w:bottom w:val="single" w:sz="4" w:space="0" w:color="auto"/>
              <w:right w:val="single" w:sz="4" w:space="0" w:color="auto"/>
            </w:tcBorders>
            <w:shd w:val="clear" w:color="000000" w:fill="F2F2F2"/>
            <w:noWrap/>
            <w:vAlign w:val="center"/>
            <w:hideMark/>
          </w:tcPr>
          <w:p w:rsidR="002D17FE" w:rsidRPr="001A3539" w:rsidRDefault="002D17FE" w:rsidP="008D285E">
            <w:pPr>
              <w:spacing w:after="0" w:line="240" w:lineRule="auto"/>
              <w:jc w:val="center"/>
              <w:rPr>
                <w:rFonts w:eastAsia="Times New Roman"/>
                <w:b w:val="0"/>
                <w:color w:val="000000"/>
                <w:lang w:eastAsia="lv-LV"/>
              </w:rPr>
            </w:pPr>
            <w:r w:rsidRPr="001A3539">
              <w:rPr>
                <w:rFonts w:eastAsia="Times New Roman"/>
                <w:b w:val="0"/>
                <w:color w:val="000000"/>
                <w:lang w:eastAsia="lv-LV"/>
              </w:rPr>
              <w:t>1</w:t>
            </w:r>
          </w:p>
        </w:tc>
        <w:tc>
          <w:tcPr>
            <w:tcW w:w="700" w:type="dxa"/>
            <w:tcBorders>
              <w:top w:val="nil"/>
              <w:left w:val="nil"/>
              <w:bottom w:val="single" w:sz="4" w:space="0" w:color="auto"/>
              <w:right w:val="single" w:sz="4" w:space="0" w:color="auto"/>
            </w:tcBorders>
            <w:shd w:val="clear" w:color="000000" w:fill="F2F2F2"/>
            <w:noWrap/>
            <w:vAlign w:val="center"/>
            <w:hideMark/>
          </w:tcPr>
          <w:p w:rsidR="002D17FE" w:rsidRPr="001A3539" w:rsidRDefault="002D17FE" w:rsidP="008D285E">
            <w:pPr>
              <w:spacing w:after="0" w:line="240" w:lineRule="auto"/>
              <w:jc w:val="center"/>
              <w:rPr>
                <w:rFonts w:eastAsia="Times New Roman"/>
                <w:b w:val="0"/>
                <w:color w:val="000000"/>
                <w:lang w:eastAsia="lv-LV"/>
              </w:rPr>
            </w:pPr>
            <w:r w:rsidRPr="001A3539">
              <w:rPr>
                <w:rFonts w:eastAsia="Times New Roman"/>
                <w:b w:val="0"/>
                <w:color w:val="000000"/>
                <w:lang w:eastAsia="lv-LV"/>
              </w:rPr>
              <w:t>23</w:t>
            </w:r>
          </w:p>
        </w:tc>
        <w:tc>
          <w:tcPr>
            <w:tcW w:w="805" w:type="dxa"/>
            <w:tcBorders>
              <w:top w:val="nil"/>
              <w:left w:val="nil"/>
              <w:bottom w:val="single" w:sz="4" w:space="0" w:color="auto"/>
              <w:right w:val="single" w:sz="4" w:space="0" w:color="auto"/>
            </w:tcBorders>
            <w:shd w:val="clear" w:color="000000" w:fill="F2F2F2"/>
            <w:noWrap/>
            <w:vAlign w:val="center"/>
            <w:hideMark/>
          </w:tcPr>
          <w:p w:rsidR="002D17FE" w:rsidRPr="001A3539" w:rsidRDefault="002D17FE" w:rsidP="008D285E">
            <w:pPr>
              <w:spacing w:after="0" w:line="240" w:lineRule="auto"/>
              <w:jc w:val="center"/>
              <w:rPr>
                <w:rFonts w:eastAsia="Times New Roman"/>
                <w:b w:val="0"/>
                <w:color w:val="000000"/>
                <w:lang w:eastAsia="lv-LV"/>
              </w:rPr>
            </w:pPr>
            <w:r w:rsidRPr="001A3539">
              <w:rPr>
                <w:rFonts w:eastAsia="Times New Roman"/>
                <w:b w:val="0"/>
                <w:color w:val="000000"/>
                <w:lang w:eastAsia="lv-LV"/>
              </w:rPr>
              <w:t>IIB</w:t>
            </w:r>
          </w:p>
        </w:tc>
        <w:tc>
          <w:tcPr>
            <w:tcW w:w="1072" w:type="dxa"/>
            <w:tcBorders>
              <w:top w:val="nil"/>
              <w:left w:val="nil"/>
              <w:bottom w:val="single" w:sz="4" w:space="0" w:color="auto"/>
              <w:right w:val="single" w:sz="4" w:space="0" w:color="auto"/>
            </w:tcBorders>
            <w:shd w:val="clear" w:color="000000" w:fill="F2F2F2"/>
            <w:noWrap/>
            <w:vAlign w:val="center"/>
            <w:hideMark/>
          </w:tcPr>
          <w:p w:rsidR="002D17FE" w:rsidRPr="001A3539" w:rsidRDefault="002D17FE" w:rsidP="008D285E">
            <w:pPr>
              <w:spacing w:after="0" w:line="240" w:lineRule="auto"/>
              <w:jc w:val="center"/>
              <w:rPr>
                <w:rFonts w:eastAsia="Times New Roman"/>
                <w:b w:val="0"/>
                <w:color w:val="000000"/>
                <w:lang w:eastAsia="lv-LV"/>
              </w:rPr>
            </w:pPr>
            <w:r w:rsidRPr="001A3539">
              <w:rPr>
                <w:rFonts w:eastAsia="Times New Roman"/>
                <w:b w:val="0"/>
                <w:color w:val="000000"/>
                <w:lang w:eastAsia="lv-LV"/>
              </w:rPr>
              <w:t>6</w:t>
            </w:r>
          </w:p>
        </w:tc>
        <w:tc>
          <w:tcPr>
            <w:tcW w:w="9379" w:type="dxa"/>
            <w:tcBorders>
              <w:top w:val="nil"/>
              <w:left w:val="nil"/>
              <w:bottom w:val="single" w:sz="4" w:space="0" w:color="auto"/>
              <w:right w:val="single" w:sz="4" w:space="0" w:color="auto"/>
            </w:tcBorders>
            <w:shd w:val="clear" w:color="000000" w:fill="F2F2F2"/>
          </w:tcPr>
          <w:p w:rsidR="001B366C" w:rsidRPr="001A3539" w:rsidRDefault="001B366C" w:rsidP="001B366C">
            <w:pPr>
              <w:numPr>
                <w:ilvl w:val="0"/>
                <w:numId w:val="1"/>
              </w:numPr>
              <w:spacing w:after="0" w:line="240" w:lineRule="auto"/>
              <w:ind w:left="322"/>
              <w:jc w:val="both"/>
              <w:rPr>
                <w:b w:val="0"/>
              </w:rPr>
            </w:pPr>
            <w:r w:rsidRPr="001A3539">
              <w:rPr>
                <w:rFonts w:eastAsia="Times New Roman"/>
                <w:b w:val="0"/>
                <w:color w:val="000000"/>
                <w:lang w:eastAsia="lv-LV"/>
              </w:rPr>
              <w:t>p</w:t>
            </w:r>
            <w:r w:rsidR="002D17FE" w:rsidRPr="001A3539">
              <w:rPr>
                <w:rFonts w:eastAsia="Times New Roman"/>
                <w:b w:val="0"/>
                <w:color w:val="000000"/>
                <w:lang w:eastAsia="lv-LV"/>
              </w:rPr>
              <w:t xml:space="preserve">ieņem, reģistrē personu iesniegumus par šo </w:t>
            </w:r>
            <w:r w:rsidR="002D17FE" w:rsidRPr="001A3539">
              <w:rPr>
                <w:b w:val="0"/>
              </w:rPr>
              <w:t>personu statusu veselības aprūpes pakalpojumu saņēmēju reģistrā</w:t>
            </w:r>
            <w:r w:rsidRPr="001A3539">
              <w:rPr>
                <w:b w:val="0"/>
              </w:rPr>
              <w:t>;</w:t>
            </w:r>
          </w:p>
          <w:p w:rsidR="001B366C" w:rsidRPr="001A3539" w:rsidRDefault="001B366C" w:rsidP="001B366C">
            <w:pPr>
              <w:numPr>
                <w:ilvl w:val="0"/>
                <w:numId w:val="1"/>
              </w:numPr>
              <w:spacing w:after="0" w:line="240" w:lineRule="auto"/>
              <w:ind w:left="322"/>
              <w:jc w:val="both"/>
              <w:rPr>
                <w:b w:val="0"/>
              </w:rPr>
            </w:pPr>
            <w:r w:rsidRPr="001A3539">
              <w:rPr>
                <w:b w:val="0"/>
              </w:rPr>
              <w:t>r</w:t>
            </w:r>
            <w:r w:rsidR="002D17FE" w:rsidRPr="001A3539">
              <w:rPr>
                <w:b w:val="0"/>
              </w:rPr>
              <w:t>eģistrē un nosūta personām atbildes dokumentus un administratīvos aktus pakalpojumu saņēmēju reģistru jautājumos</w:t>
            </w:r>
            <w:r w:rsidRPr="001A3539">
              <w:rPr>
                <w:b w:val="0"/>
              </w:rPr>
              <w:t>;</w:t>
            </w:r>
          </w:p>
          <w:p w:rsidR="001B366C" w:rsidRPr="001A3539" w:rsidRDefault="001B366C" w:rsidP="001B366C">
            <w:pPr>
              <w:numPr>
                <w:ilvl w:val="0"/>
                <w:numId w:val="1"/>
              </w:numPr>
              <w:spacing w:after="0" w:line="240" w:lineRule="auto"/>
              <w:ind w:left="322"/>
              <w:jc w:val="both"/>
              <w:rPr>
                <w:b w:val="0"/>
              </w:rPr>
            </w:pPr>
            <w:r w:rsidRPr="001A3539">
              <w:rPr>
                <w:b w:val="0"/>
              </w:rPr>
              <w:t>k</w:t>
            </w:r>
            <w:r w:rsidR="002D17FE" w:rsidRPr="001A3539">
              <w:rPr>
                <w:b w:val="0"/>
              </w:rPr>
              <w:t>ontrolē dokumentu izpildes termiņu</w:t>
            </w:r>
            <w:r w:rsidRPr="001A3539">
              <w:rPr>
                <w:b w:val="0"/>
              </w:rPr>
              <w:t>;</w:t>
            </w:r>
          </w:p>
          <w:p w:rsidR="002D17FE" w:rsidRPr="001A3539" w:rsidRDefault="001B366C" w:rsidP="001B366C">
            <w:pPr>
              <w:numPr>
                <w:ilvl w:val="0"/>
                <w:numId w:val="1"/>
              </w:numPr>
              <w:spacing w:after="0" w:line="240" w:lineRule="auto"/>
              <w:ind w:left="322"/>
              <w:jc w:val="both"/>
              <w:rPr>
                <w:b w:val="0"/>
              </w:rPr>
            </w:pPr>
            <w:r w:rsidRPr="001A3539">
              <w:rPr>
                <w:b w:val="0"/>
              </w:rPr>
              <w:t>v</w:t>
            </w:r>
            <w:r w:rsidR="002D17FE" w:rsidRPr="001A3539">
              <w:rPr>
                <w:b w:val="0"/>
              </w:rPr>
              <w:t>eic pienākumus, kas saistīti ar dokumentu sistematizāciju.</w:t>
            </w:r>
          </w:p>
        </w:tc>
      </w:tr>
      <w:tr w:rsidR="002D17FE" w:rsidRPr="001A3539" w:rsidTr="008D285E">
        <w:trPr>
          <w:trHeight w:val="885"/>
          <w:jc w:val="center"/>
        </w:trPr>
        <w:tc>
          <w:tcPr>
            <w:tcW w:w="1540" w:type="dxa"/>
            <w:tcBorders>
              <w:top w:val="nil"/>
              <w:left w:val="single" w:sz="4" w:space="0" w:color="auto"/>
              <w:bottom w:val="single" w:sz="4" w:space="0" w:color="auto"/>
              <w:right w:val="single" w:sz="4" w:space="0" w:color="auto"/>
            </w:tcBorders>
            <w:shd w:val="clear" w:color="000000" w:fill="E5E0EC"/>
            <w:noWrap/>
            <w:vAlign w:val="center"/>
            <w:hideMark/>
          </w:tcPr>
          <w:p w:rsidR="002D17FE" w:rsidRPr="001A3539" w:rsidRDefault="002D17FE" w:rsidP="008D285E">
            <w:pPr>
              <w:spacing w:after="0" w:line="240" w:lineRule="auto"/>
              <w:jc w:val="center"/>
              <w:rPr>
                <w:rFonts w:eastAsia="Times New Roman"/>
                <w:bCs/>
                <w:color w:val="000000"/>
                <w:lang w:eastAsia="lv-LV"/>
              </w:rPr>
            </w:pPr>
            <w:r w:rsidRPr="001A3539">
              <w:rPr>
                <w:rFonts w:eastAsia="Times New Roman"/>
                <w:bCs/>
                <w:color w:val="000000"/>
                <w:lang w:eastAsia="lv-LV"/>
              </w:rPr>
              <w:t>KOPĀ</w:t>
            </w:r>
          </w:p>
        </w:tc>
        <w:tc>
          <w:tcPr>
            <w:tcW w:w="694" w:type="dxa"/>
            <w:tcBorders>
              <w:top w:val="nil"/>
              <w:left w:val="nil"/>
              <w:bottom w:val="single" w:sz="4" w:space="0" w:color="auto"/>
              <w:right w:val="single" w:sz="4" w:space="0" w:color="auto"/>
            </w:tcBorders>
            <w:shd w:val="clear" w:color="000000" w:fill="E5E0EC"/>
            <w:noWrap/>
            <w:vAlign w:val="center"/>
            <w:hideMark/>
          </w:tcPr>
          <w:p w:rsidR="002D17FE" w:rsidRPr="001A3539" w:rsidRDefault="002D17FE" w:rsidP="008D285E">
            <w:pPr>
              <w:spacing w:after="0" w:line="240" w:lineRule="auto"/>
              <w:jc w:val="center"/>
              <w:rPr>
                <w:rFonts w:eastAsia="Times New Roman"/>
                <w:bCs/>
                <w:color w:val="000000"/>
                <w:lang w:eastAsia="lv-LV"/>
              </w:rPr>
            </w:pPr>
            <w:r w:rsidRPr="001A3539">
              <w:rPr>
                <w:rFonts w:eastAsia="Times New Roman"/>
                <w:bCs/>
                <w:color w:val="000000"/>
                <w:lang w:eastAsia="lv-LV"/>
              </w:rPr>
              <w:t>8</w:t>
            </w:r>
          </w:p>
        </w:tc>
        <w:tc>
          <w:tcPr>
            <w:tcW w:w="700" w:type="dxa"/>
            <w:tcBorders>
              <w:top w:val="nil"/>
              <w:left w:val="nil"/>
              <w:bottom w:val="single" w:sz="4" w:space="0" w:color="auto"/>
              <w:right w:val="single" w:sz="4" w:space="0" w:color="auto"/>
            </w:tcBorders>
            <w:shd w:val="clear" w:color="000000" w:fill="E5E0EC"/>
            <w:noWrap/>
            <w:vAlign w:val="center"/>
            <w:hideMark/>
          </w:tcPr>
          <w:p w:rsidR="002D17FE" w:rsidRPr="001A3539" w:rsidRDefault="002D17FE" w:rsidP="008D285E">
            <w:pPr>
              <w:spacing w:after="0" w:line="240" w:lineRule="auto"/>
              <w:jc w:val="center"/>
              <w:rPr>
                <w:rFonts w:eastAsia="Times New Roman"/>
                <w:bCs/>
                <w:color w:val="000000"/>
                <w:lang w:eastAsia="lv-LV"/>
              </w:rPr>
            </w:pPr>
            <w:r w:rsidRPr="001A3539">
              <w:rPr>
                <w:rFonts w:eastAsia="Times New Roman"/>
                <w:bCs/>
                <w:color w:val="000000"/>
                <w:lang w:eastAsia="lv-LV"/>
              </w:rPr>
              <w:t>x</w:t>
            </w:r>
          </w:p>
        </w:tc>
        <w:tc>
          <w:tcPr>
            <w:tcW w:w="805" w:type="dxa"/>
            <w:tcBorders>
              <w:top w:val="nil"/>
              <w:left w:val="nil"/>
              <w:bottom w:val="single" w:sz="4" w:space="0" w:color="auto"/>
              <w:right w:val="single" w:sz="4" w:space="0" w:color="auto"/>
            </w:tcBorders>
            <w:shd w:val="clear" w:color="000000" w:fill="E5E0EC"/>
            <w:noWrap/>
            <w:vAlign w:val="center"/>
            <w:hideMark/>
          </w:tcPr>
          <w:p w:rsidR="002D17FE" w:rsidRPr="001A3539" w:rsidRDefault="002D17FE" w:rsidP="008D285E">
            <w:pPr>
              <w:spacing w:after="0" w:line="240" w:lineRule="auto"/>
              <w:jc w:val="center"/>
              <w:rPr>
                <w:rFonts w:eastAsia="Times New Roman"/>
                <w:bCs/>
                <w:color w:val="000000"/>
                <w:lang w:eastAsia="lv-LV"/>
              </w:rPr>
            </w:pPr>
            <w:r w:rsidRPr="001A3539">
              <w:rPr>
                <w:rFonts w:eastAsia="Times New Roman"/>
                <w:bCs/>
                <w:color w:val="000000"/>
                <w:lang w:eastAsia="lv-LV"/>
              </w:rPr>
              <w:t>x</w:t>
            </w:r>
          </w:p>
        </w:tc>
        <w:tc>
          <w:tcPr>
            <w:tcW w:w="1072" w:type="dxa"/>
            <w:tcBorders>
              <w:top w:val="nil"/>
              <w:left w:val="nil"/>
              <w:bottom w:val="single" w:sz="4" w:space="0" w:color="auto"/>
              <w:right w:val="single" w:sz="4" w:space="0" w:color="auto"/>
            </w:tcBorders>
            <w:shd w:val="clear" w:color="000000" w:fill="E5E0EC"/>
            <w:noWrap/>
            <w:vAlign w:val="center"/>
            <w:hideMark/>
          </w:tcPr>
          <w:p w:rsidR="002D17FE" w:rsidRPr="001A3539" w:rsidRDefault="002D17FE" w:rsidP="008D285E">
            <w:pPr>
              <w:spacing w:after="0" w:line="240" w:lineRule="auto"/>
              <w:jc w:val="center"/>
              <w:rPr>
                <w:rFonts w:eastAsia="Times New Roman"/>
                <w:bCs/>
                <w:color w:val="000000"/>
                <w:lang w:eastAsia="lv-LV"/>
              </w:rPr>
            </w:pPr>
            <w:r w:rsidRPr="001A3539">
              <w:rPr>
                <w:rFonts w:eastAsia="Times New Roman"/>
                <w:bCs/>
                <w:color w:val="000000"/>
                <w:lang w:eastAsia="lv-LV"/>
              </w:rPr>
              <w:t>x</w:t>
            </w:r>
          </w:p>
        </w:tc>
        <w:tc>
          <w:tcPr>
            <w:tcW w:w="9379" w:type="dxa"/>
            <w:tcBorders>
              <w:top w:val="nil"/>
              <w:left w:val="nil"/>
              <w:bottom w:val="single" w:sz="4" w:space="0" w:color="auto"/>
              <w:right w:val="single" w:sz="4" w:space="0" w:color="auto"/>
            </w:tcBorders>
            <w:shd w:val="clear" w:color="000000" w:fill="E5E0EC"/>
          </w:tcPr>
          <w:p w:rsidR="002D17FE" w:rsidRPr="001A3539" w:rsidRDefault="002D17FE" w:rsidP="008D285E">
            <w:pPr>
              <w:spacing w:after="0" w:line="240" w:lineRule="auto"/>
              <w:jc w:val="center"/>
              <w:rPr>
                <w:rFonts w:eastAsia="Times New Roman"/>
                <w:bCs/>
                <w:color w:val="000000"/>
                <w:lang w:eastAsia="lv-LV"/>
              </w:rPr>
            </w:pPr>
          </w:p>
        </w:tc>
      </w:tr>
    </w:tbl>
    <w:p w:rsidR="002D17FE" w:rsidRPr="001A3539" w:rsidRDefault="002D17FE" w:rsidP="002D17FE">
      <w:pPr>
        <w:jc w:val="center"/>
      </w:pPr>
    </w:p>
    <w:p w:rsidR="00A15B80" w:rsidRPr="001A3539" w:rsidRDefault="001A3539" w:rsidP="00A15B80">
      <w:pPr>
        <w:jc w:val="both"/>
        <w:rPr>
          <w:b w:val="0"/>
        </w:rPr>
      </w:pPr>
      <w:r w:rsidRPr="001A3539">
        <w:rPr>
          <w:b w:val="0"/>
        </w:rPr>
        <w:tab/>
        <w:t>Veselības ministre</w:t>
      </w:r>
      <w:r>
        <w:rPr>
          <w:b w:val="0"/>
        </w:rPr>
        <w:tab/>
      </w:r>
      <w:r>
        <w:rPr>
          <w:b w:val="0"/>
        </w:rPr>
        <w:tab/>
      </w:r>
      <w:r>
        <w:rPr>
          <w:b w:val="0"/>
        </w:rPr>
        <w:tab/>
      </w:r>
      <w:r>
        <w:rPr>
          <w:b w:val="0"/>
        </w:rPr>
        <w:tab/>
      </w:r>
      <w:r>
        <w:rPr>
          <w:b w:val="0"/>
        </w:rPr>
        <w:tab/>
      </w:r>
      <w:r>
        <w:rPr>
          <w:b w:val="0"/>
        </w:rPr>
        <w:tab/>
      </w:r>
      <w:proofErr w:type="spellStart"/>
      <w:r>
        <w:rPr>
          <w:b w:val="0"/>
        </w:rPr>
        <w:t>I.Circene</w:t>
      </w:r>
      <w:proofErr w:type="spellEnd"/>
    </w:p>
    <w:p w:rsidR="001A3539" w:rsidRPr="001A3539" w:rsidRDefault="001A3539" w:rsidP="006158E1">
      <w:pPr>
        <w:spacing w:after="0" w:line="240" w:lineRule="auto"/>
        <w:jc w:val="both"/>
        <w:rPr>
          <w:b w:val="0"/>
        </w:rPr>
      </w:pPr>
    </w:p>
    <w:p w:rsidR="006158E1" w:rsidRPr="006158E1" w:rsidRDefault="00FE33CF" w:rsidP="006158E1">
      <w:pPr>
        <w:spacing w:after="0" w:line="240" w:lineRule="auto"/>
        <w:jc w:val="both"/>
        <w:rPr>
          <w:b w:val="0"/>
          <w:sz w:val="20"/>
        </w:rPr>
      </w:pPr>
      <w:r>
        <w:rPr>
          <w:b w:val="0"/>
          <w:sz w:val="20"/>
        </w:rPr>
        <w:t>11.01.2013 15:46</w:t>
      </w:r>
    </w:p>
    <w:p w:rsidR="006158E1" w:rsidRPr="006158E1" w:rsidRDefault="001A3539" w:rsidP="006158E1">
      <w:pPr>
        <w:spacing w:after="0" w:line="240" w:lineRule="auto"/>
        <w:jc w:val="both"/>
        <w:rPr>
          <w:b w:val="0"/>
          <w:sz w:val="20"/>
        </w:rPr>
      </w:pPr>
      <w:r>
        <w:rPr>
          <w:b w:val="0"/>
          <w:sz w:val="20"/>
        </w:rPr>
        <w:t>837</w:t>
      </w:r>
    </w:p>
    <w:p w:rsidR="006158E1" w:rsidRPr="006158E1" w:rsidRDefault="006158E1" w:rsidP="006158E1">
      <w:pPr>
        <w:spacing w:after="0" w:line="240" w:lineRule="auto"/>
        <w:jc w:val="both"/>
        <w:rPr>
          <w:b w:val="0"/>
          <w:sz w:val="20"/>
        </w:rPr>
      </w:pPr>
      <w:r w:rsidRPr="006158E1">
        <w:rPr>
          <w:b w:val="0"/>
          <w:sz w:val="20"/>
        </w:rPr>
        <w:t>Inese Andersone</w:t>
      </w:r>
    </w:p>
    <w:p w:rsidR="006158E1" w:rsidRPr="006158E1" w:rsidRDefault="006158E1" w:rsidP="006158E1">
      <w:pPr>
        <w:spacing w:after="0" w:line="240" w:lineRule="auto"/>
        <w:jc w:val="both"/>
        <w:rPr>
          <w:b w:val="0"/>
          <w:sz w:val="20"/>
        </w:rPr>
      </w:pPr>
      <w:r w:rsidRPr="006158E1">
        <w:rPr>
          <w:b w:val="0"/>
          <w:sz w:val="20"/>
        </w:rPr>
        <w:t>tālr. 67876187</w:t>
      </w:r>
    </w:p>
    <w:p w:rsidR="006158E1" w:rsidRPr="006158E1" w:rsidRDefault="006158E1" w:rsidP="006158E1">
      <w:pPr>
        <w:spacing w:after="0"/>
        <w:rPr>
          <w:b w:val="0"/>
          <w:sz w:val="18"/>
        </w:rPr>
      </w:pPr>
      <w:r w:rsidRPr="006158E1">
        <w:rPr>
          <w:b w:val="0"/>
          <w:sz w:val="20"/>
        </w:rPr>
        <w:t>Inese.Andersone@vm.gov.lv</w:t>
      </w:r>
    </w:p>
    <w:p w:rsidR="006158E1" w:rsidRPr="006158E1" w:rsidRDefault="006158E1" w:rsidP="00A15B80">
      <w:pPr>
        <w:jc w:val="both"/>
        <w:rPr>
          <w:b w:val="0"/>
        </w:rPr>
      </w:pPr>
    </w:p>
    <w:sectPr w:rsidR="006158E1" w:rsidRPr="006158E1" w:rsidSect="005B7929">
      <w:headerReference w:type="default" r:id="rId7"/>
      <w:footerReference w:type="default" r:id="rId8"/>
      <w:footerReference w:type="first" r:id="rId9"/>
      <w:pgSz w:w="16838" w:h="11906" w:orient="landscape"/>
      <w:pgMar w:top="1701"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F5D" w:rsidRDefault="00E71F5D" w:rsidP="002D17FE">
      <w:pPr>
        <w:spacing w:after="0" w:line="240" w:lineRule="auto"/>
      </w:pPr>
      <w:r>
        <w:separator/>
      </w:r>
    </w:p>
  </w:endnote>
  <w:endnote w:type="continuationSeparator" w:id="0">
    <w:p w:rsidR="00E71F5D" w:rsidRDefault="00E71F5D" w:rsidP="002D17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B80" w:rsidRPr="00A15B80" w:rsidRDefault="00290D7C" w:rsidP="00A15B80">
    <w:pPr>
      <w:spacing w:after="0" w:line="240" w:lineRule="auto"/>
      <w:rPr>
        <w:b w:val="0"/>
        <w:bCs/>
        <w:sz w:val="20"/>
        <w:szCs w:val="20"/>
      </w:rPr>
    </w:pPr>
    <w:r>
      <w:rPr>
        <w:b w:val="0"/>
        <w:sz w:val="20"/>
        <w:szCs w:val="20"/>
      </w:rPr>
      <w:t>VMKoncp7_11</w:t>
    </w:r>
    <w:r w:rsidR="00A15B80">
      <w:rPr>
        <w:b w:val="0"/>
        <w:sz w:val="20"/>
        <w:szCs w:val="20"/>
      </w:rPr>
      <w:t>0113</w:t>
    </w:r>
    <w:r w:rsidR="00A15B80" w:rsidRPr="00A15B80">
      <w:rPr>
        <w:b w:val="0"/>
        <w:sz w:val="20"/>
        <w:szCs w:val="20"/>
      </w:rPr>
      <w:t xml:space="preserve">_VA_fin; </w:t>
    </w:r>
    <w:r w:rsidR="00A15B80">
      <w:rPr>
        <w:b w:val="0"/>
        <w:bCs/>
        <w:sz w:val="20"/>
        <w:szCs w:val="20"/>
      </w:rPr>
      <w:t>Informācija par nepieciešamajām štata vietām Nacionālā veselības dienesta institucionālās kapacitātes stiprināšanai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B80" w:rsidRPr="00A15B80" w:rsidRDefault="00290D7C" w:rsidP="00A15B80">
    <w:pPr>
      <w:spacing w:after="0" w:line="240" w:lineRule="auto"/>
      <w:rPr>
        <w:b w:val="0"/>
        <w:bCs/>
        <w:sz w:val="20"/>
        <w:szCs w:val="20"/>
      </w:rPr>
    </w:pPr>
    <w:r>
      <w:rPr>
        <w:b w:val="0"/>
        <w:sz w:val="20"/>
        <w:szCs w:val="20"/>
      </w:rPr>
      <w:t>VMKoncp7_11</w:t>
    </w:r>
    <w:r w:rsidR="00A15B80">
      <w:rPr>
        <w:b w:val="0"/>
        <w:sz w:val="20"/>
        <w:szCs w:val="20"/>
      </w:rPr>
      <w:t>0113</w:t>
    </w:r>
    <w:r w:rsidR="00A15B80" w:rsidRPr="00A15B80">
      <w:rPr>
        <w:b w:val="0"/>
        <w:sz w:val="20"/>
        <w:szCs w:val="20"/>
      </w:rPr>
      <w:t xml:space="preserve">_VA_fin; </w:t>
    </w:r>
    <w:r w:rsidR="00A15B80">
      <w:rPr>
        <w:b w:val="0"/>
        <w:bCs/>
        <w:sz w:val="20"/>
        <w:szCs w:val="20"/>
      </w:rPr>
      <w:t>Informācija par nepieciešamajām štata vietām Nacionālā veselības dienesta institucionālās kapacitātes stiprināšanai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F5D" w:rsidRDefault="00E71F5D" w:rsidP="002D17FE">
      <w:pPr>
        <w:spacing w:after="0" w:line="240" w:lineRule="auto"/>
      </w:pPr>
      <w:r>
        <w:separator/>
      </w:r>
    </w:p>
  </w:footnote>
  <w:footnote w:type="continuationSeparator" w:id="0">
    <w:p w:rsidR="00E71F5D" w:rsidRDefault="00E71F5D" w:rsidP="002D17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rPr>
      <w:id w:val="4481891"/>
      <w:docPartObj>
        <w:docPartGallery w:val="Page Numbers (Top of Page)"/>
        <w:docPartUnique/>
      </w:docPartObj>
    </w:sdtPr>
    <w:sdtContent>
      <w:p w:rsidR="005B7929" w:rsidRPr="00A15B80" w:rsidRDefault="00076E43">
        <w:pPr>
          <w:pStyle w:val="Galvene"/>
          <w:jc w:val="center"/>
          <w:rPr>
            <w:b w:val="0"/>
          </w:rPr>
        </w:pPr>
        <w:r w:rsidRPr="00A15B80">
          <w:rPr>
            <w:b w:val="0"/>
          </w:rPr>
          <w:fldChar w:fldCharType="begin"/>
        </w:r>
        <w:r w:rsidR="005B7929" w:rsidRPr="00A15B80">
          <w:rPr>
            <w:b w:val="0"/>
          </w:rPr>
          <w:instrText xml:space="preserve"> PAGE   \* MERGEFORMAT </w:instrText>
        </w:r>
        <w:r w:rsidRPr="00A15B80">
          <w:rPr>
            <w:b w:val="0"/>
          </w:rPr>
          <w:fldChar w:fldCharType="separate"/>
        </w:r>
        <w:r w:rsidR="00FE33CF">
          <w:rPr>
            <w:b w:val="0"/>
            <w:noProof/>
          </w:rPr>
          <w:t>4</w:t>
        </w:r>
        <w:r w:rsidRPr="00A15B80">
          <w:rPr>
            <w:b w:val="0"/>
          </w:rPr>
          <w:fldChar w:fldCharType="end"/>
        </w:r>
      </w:p>
    </w:sdtContent>
  </w:sdt>
  <w:p w:rsidR="00DF582D" w:rsidRDefault="00DF582D" w:rsidP="00D91431">
    <w:pPr>
      <w:pStyle w:val="Galvene"/>
      <w:tabs>
        <w:tab w:val="clear" w:pos="4153"/>
        <w:tab w:val="clear" w:pos="8306"/>
        <w:tab w:val="center" w:pos="7285"/>
        <w:tab w:val="right" w:pos="14570"/>
      </w:tabs>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135F2E"/>
    <w:multiLevelType w:val="hybridMultilevel"/>
    <w:tmpl w:val="14B49F70"/>
    <w:lvl w:ilvl="0" w:tplc="ED465EB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241"/>
  <w:characterSpacingControl w:val="doNotCompress"/>
  <w:hdrShapeDefaults>
    <o:shapedefaults v:ext="edit" spidmax="11265"/>
  </w:hdrShapeDefaults>
  <w:footnotePr>
    <w:footnote w:id="-1"/>
    <w:footnote w:id="0"/>
  </w:footnotePr>
  <w:endnotePr>
    <w:endnote w:id="-1"/>
    <w:endnote w:id="0"/>
  </w:endnotePr>
  <w:compat/>
  <w:rsids>
    <w:rsidRoot w:val="006201B0"/>
    <w:rsid w:val="00031C5C"/>
    <w:rsid w:val="000443E2"/>
    <w:rsid w:val="00076E43"/>
    <w:rsid w:val="000C6A75"/>
    <w:rsid w:val="001201A3"/>
    <w:rsid w:val="001340DA"/>
    <w:rsid w:val="001A3539"/>
    <w:rsid w:val="001A56B5"/>
    <w:rsid w:val="001B366C"/>
    <w:rsid w:val="00257562"/>
    <w:rsid w:val="00264C0C"/>
    <w:rsid w:val="00290D7C"/>
    <w:rsid w:val="002D17FE"/>
    <w:rsid w:val="002E5668"/>
    <w:rsid w:val="004C0071"/>
    <w:rsid w:val="00520CA4"/>
    <w:rsid w:val="00534AC9"/>
    <w:rsid w:val="00541C2D"/>
    <w:rsid w:val="005B7929"/>
    <w:rsid w:val="006158E1"/>
    <w:rsid w:val="006201B0"/>
    <w:rsid w:val="007553BC"/>
    <w:rsid w:val="007B453C"/>
    <w:rsid w:val="007F2224"/>
    <w:rsid w:val="00831BB7"/>
    <w:rsid w:val="00844C9A"/>
    <w:rsid w:val="008A5E5F"/>
    <w:rsid w:val="008D285E"/>
    <w:rsid w:val="0095245D"/>
    <w:rsid w:val="00956B9F"/>
    <w:rsid w:val="00974287"/>
    <w:rsid w:val="00976EBE"/>
    <w:rsid w:val="009A7B78"/>
    <w:rsid w:val="00A02358"/>
    <w:rsid w:val="00A15B80"/>
    <w:rsid w:val="00A531EB"/>
    <w:rsid w:val="00AA7CC5"/>
    <w:rsid w:val="00AB1AEB"/>
    <w:rsid w:val="00B416B7"/>
    <w:rsid w:val="00B84719"/>
    <w:rsid w:val="00BA6400"/>
    <w:rsid w:val="00BB590B"/>
    <w:rsid w:val="00C2269E"/>
    <w:rsid w:val="00CB2D5A"/>
    <w:rsid w:val="00CE233A"/>
    <w:rsid w:val="00D70979"/>
    <w:rsid w:val="00D91431"/>
    <w:rsid w:val="00DF582D"/>
    <w:rsid w:val="00E71F5D"/>
    <w:rsid w:val="00ED2CA6"/>
    <w:rsid w:val="00FE33CF"/>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9A7B78"/>
    <w:pPr>
      <w:spacing w:after="200" w:line="276" w:lineRule="auto"/>
    </w:pPr>
    <w:rPr>
      <w:b/>
      <w:sz w:val="24"/>
      <w:szCs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ais"/>
    <w:link w:val="GalveneRakstz"/>
    <w:uiPriority w:val="99"/>
    <w:unhideWhenUsed/>
    <w:rsid w:val="002D17FE"/>
    <w:pPr>
      <w:tabs>
        <w:tab w:val="center" w:pos="4153"/>
        <w:tab w:val="right" w:pos="8306"/>
      </w:tabs>
    </w:pPr>
  </w:style>
  <w:style w:type="character" w:customStyle="1" w:styleId="GalveneRakstz">
    <w:name w:val="Galvene Rakstz."/>
    <w:basedOn w:val="Noklusjumarindkopasfonts"/>
    <w:link w:val="Galvene"/>
    <w:uiPriority w:val="99"/>
    <w:rsid w:val="002D17FE"/>
    <w:rPr>
      <w:b/>
      <w:sz w:val="24"/>
      <w:szCs w:val="24"/>
      <w:lang w:eastAsia="en-US"/>
    </w:rPr>
  </w:style>
  <w:style w:type="paragraph" w:styleId="Kjene">
    <w:name w:val="footer"/>
    <w:basedOn w:val="Parastais"/>
    <w:link w:val="KjeneRakstz"/>
    <w:uiPriority w:val="99"/>
    <w:unhideWhenUsed/>
    <w:rsid w:val="002D17FE"/>
    <w:pPr>
      <w:tabs>
        <w:tab w:val="center" w:pos="4153"/>
        <w:tab w:val="right" w:pos="8306"/>
      </w:tabs>
    </w:pPr>
  </w:style>
  <w:style w:type="character" w:customStyle="1" w:styleId="KjeneRakstz">
    <w:name w:val="Kājene Rakstz."/>
    <w:basedOn w:val="Noklusjumarindkopasfonts"/>
    <w:link w:val="Kjene"/>
    <w:uiPriority w:val="99"/>
    <w:rsid w:val="002D17FE"/>
    <w:rPr>
      <w:b/>
      <w:sz w:val="24"/>
      <w:szCs w:val="24"/>
      <w:lang w:eastAsia="en-US"/>
    </w:rPr>
  </w:style>
  <w:style w:type="paragraph" w:styleId="Balonteksts">
    <w:name w:val="Balloon Text"/>
    <w:basedOn w:val="Parastais"/>
    <w:link w:val="BalontekstsRakstz"/>
    <w:uiPriority w:val="99"/>
    <w:semiHidden/>
    <w:unhideWhenUsed/>
    <w:rsid w:val="00DF582D"/>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F582D"/>
    <w:rPr>
      <w:rFonts w:ascii="Tahoma" w:hAnsi="Tahoma" w:cs="Tahoma"/>
      <w:b/>
      <w:sz w:val="16"/>
      <w:szCs w:val="16"/>
      <w:lang w:eastAsia="en-US"/>
    </w:rPr>
  </w:style>
</w:styles>
</file>

<file path=word/webSettings.xml><?xml version="1.0" encoding="utf-8"?>
<w:webSettings xmlns:r="http://schemas.openxmlformats.org/officeDocument/2006/relationships" xmlns:w="http://schemas.openxmlformats.org/wordprocessingml/2006/main">
  <w:divs>
    <w:div w:id="488835255">
      <w:bodyDiv w:val="1"/>
      <w:marLeft w:val="0"/>
      <w:marRight w:val="0"/>
      <w:marTop w:val="0"/>
      <w:marBottom w:val="0"/>
      <w:divBdr>
        <w:top w:val="none" w:sz="0" w:space="0" w:color="auto"/>
        <w:left w:val="none" w:sz="0" w:space="0" w:color="auto"/>
        <w:bottom w:val="none" w:sz="0" w:space="0" w:color="auto"/>
        <w:right w:val="none" w:sz="0" w:space="0" w:color="auto"/>
      </w:divBdr>
    </w:div>
    <w:div w:id="63899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4257</Words>
  <Characters>2428</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7.pielikums Ministru kabineta koncepcijas projektam par veselības aprūpes sistēmas finansēšanas modeli "Informācija par nepieciešamajām štata vietām Nacionālā veselības dienesta institucionālās kapacitātes stiprināšanai"</vt:lpstr>
      <vt:lpstr/>
    </vt:vector>
  </TitlesOfParts>
  <Company>Veselības ministrija</Company>
  <LinksUpToDate>false</LinksUpToDate>
  <CharactersWithSpaces>6672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7.pielikums Ministru kabineta koncepcijas projektam par veselības aprūpes sistēmas finansēšanas modeli "Informācija par nepieciešamajām štata vietām Nacionālā veselības dienesta institucionālās kapacitātes stiprināšanai"</dc:title>
  <dc:subject>pielikums</dc:subject>
  <dc:creator>Inese Andersone</dc:creator>
  <cp:keywords/>
  <dc:description>Budžeta un investīciju departamenta_x000d_
Finanšu analīzes un investīciju koordinācijas nodaļas vadītāja Inese Andersone_x000d_
tālr. 67876187_x000d_
inese.andersone@vm.gov.lv</dc:description>
  <cp:lastModifiedBy>iandersone</cp:lastModifiedBy>
  <cp:revision>19</cp:revision>
  <dcterms:created xsi:type="dcterms:W3CDTF">2013-01-10T15:38:00Z</dcterms:created>
  <dcterms:modified xsi:type="dcterms:W3CDTF">2013-01-11T13:46:00Z</dcterms:modified>
</cp:coreProperties>
</file>