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6CEC" w14:textId="77777777" w:rsidR="00A72EC1" w:rsidRPr="0035107F" w:rsidRDefault="002B086E" w:rsidP="00A72EC1">
      <w:pPr>
        <w:widowControl/>
        <w:spacing w:after="0" w:line="240" w:lineRule="auto"/>
        <w:contextualSpacing/>
        <w:jc w:val="center"/>
        <w:outlineLvl w:val="1"/>
        <w:rPr>
          <w:rFonts w:ascii="Times New Roman" w:eastAsia="Times New Roman" w:hAnsi="Times New Roman"/>
          <w:b/>
          <w:sz w:val="28"/>
          <w:szCs w:val="28"/>
          <w:lang w:eastAsia="lv-LV" w:bidi="lo-LA"/>
        </w:rPr>
      </w:pPr>
      <w:r w:rsidRPr="0035107F">
        <w:rPr>
          <w:rFonts w:ascii="Times New Roman" w:eastAsia="Times New Roman" w:hAnsi="Times New Roman"/>
          <w:b/>
          <w:sz w:val="28"/>
          <w:szCs w:val="28"/>
          <w:lang w:eastAsia="lv-LV" w:bidi="lo-LA"/>
        </w:rPr>
        <w:t>Tehnoloģiju iesniegumu vērtēšanas kritēriji</w:t>
      </w:r>
    </w:p>
    <w:p w14:paraId="2C656A95" w14:textId="77777777" w:rsidR="00A72EC1" w:rsidRPr="0035107F" w:rsidRDefault="00A72EC1" w:rsidP="00A72EC1">
      <w:pPr>
        <w:widowControl/>
        <w:spacing w:after="0" w:line="240" w:lineRule="auto"/>
        <w:contextualSpacing/>
        <w:jc w:val="both"/>
        <w:rPr>
          <w:rFonts w:ascii="Times New Roman" w:eastAsia="Times New Roman" w:hAnsi="Times New Roman"/>
          <w:sz w:val="28"/>
          <w:szCs w:val="28"/>
          <w:lang w:eastAsia="lv-LV" w:bidi="lo-LA"/>
        </w:rPr>
      </w:pPr>
    </w:p>
    <w:tbl>
      <w:tblPr>
        <w:tblStyle w:val="TableGrid1"/>
        <w:tblW w:w="15168" w:type="dxa"/>
        <w:tblInd w:w="-147" w:type="dxa"/>
        <w:tblLook w:val="04A0" w:firstRow="1" w:lastRow="0" w:firstColumn="1" w:lastColumn="0" w:noHBand="0" w:noVBand="1"/>
      </w:tblPr>
      <w:tblGrid>
        <w:gridCol w:w="613"/>
        <w:gridCol w:w="3535"/>
        <w:gridCol w:w="11020"/>
      </w:tblGrid>
      <w:tr w:rsidR="00BD5F7A" w14:paraId="1922DA6F" w14:textId="77777777" w:rsidTr="00A72EC1">
        <w:trPr>
          <w:tblHeader/>
        </w:trPr>
        <w:tc>
          <w:tcPr>
            <w:tcW w:w="613" w:type="dxa"/>
            <w:vAlign w:val="center"/>
          </w:tcPr>
          <w:p w14:paraId="49B6AF98" w14:textId="77777777" w:rsidR="00A72EC1" w:rsidRPr="0035107F" w:rsidRDefault="002B086E" w:rsidP="000618EE">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Nr.</w:t>
            </w:r>
          </w:p>
        </w:tc>
        <w:tc>
          <w:tcPr>
            <w:tcW w:w="3535" w:type="dxa"/>
            <w:vAlign w:val="center"/>
          </w:tcPr>
          <w:p w14:paraId="007B2F6B" w14:textId="77777777" w:rsidR="00A72EC1" w:rsidRPr="0035107F" w:rsidRDefault="002B086E" w:rsidP="000618EE">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Kritērijs</w:t>
            </w:r>
          </w:p>
        </w:tc>
        <w:tc>
          <w:tcPr>
            <w:tcW w:w="11020" w:type="dxa"/>
            <w:vAlign w:val="center"/>
          </w:tcPr>
          <w:p w14:paraId="10D6BD24" w14:textId="77777777" w:rsidR="00A72EC1" w:rsidRPr="0035107F" w:rsidRDefault="002B086E" w:rsidP="000618EE">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Vērtēšanas metodika</w:t>
            </w:r>
          </w:p>
        </w:tc>
      </w:tr>
      <w:tr w:rsidR="00BD5F7A" w14:paraId="5A6A4A3B" w14:textId="77777777" w:rsidTr="00A72EC1">
        <w:tc>
          <w:tcPr>
            <w:tcW w:w="613" w:type="dxa"/>
          </w:tcPr>
          <w:p w14:paraId="692296D2"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6F00EB36"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 attiecas uz veselības aprūpes pakalpojumu sniegšanu vienā vai vairākās prioritārajās veselības aprūpes jomās?</w:t>
            </w:r>
          </w:p>
        </w:tc>
        <w:tc>
          <w:tcPr>
            <w:tcW w:w="11020" w:type="dxa"/>
          </w:tcPr>
          <w:p w14:paraId="114C74F3"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Novērtē, vai tehnoloģija izmantojama veselības aprūpes pakalpojumu sniegšanai sirds un asinsvadu, onkoloģijas, bērnu (sākot no perinatālā un </w:t>
            </w:r>
            <w:proofErr w:type="spellStart"/>
            <w:r w:rsidRPr="0035107F">
              <w:rPr>
                <w:rFonts w:ascii="Times New Roman" w:eastAsia="Times New Roman" w:hAnsi="Times New Roman"/>
                <w:sz w:val="28"/>
                <w:szCs w:val="28"/>
                <w:lang w:bidi="lo-LA"/>
              </w:rPr>
              <w:t>neonatālā</w:t>
            </w:r>
            <w:proofErr w:type="spellEnd"/>
            <w:r w:rsidRPr="0035107F">
              <w:rPr>
                <w:rFonts w:ascii="Times New Roman" w:eastAsia="Times New Roman" w:hAnsi="Times New Roman"/>
                <w:sz w:val="28"/>
                <w:szCs w:val="28"/>
                <w:lang w:bidi="lo-LA"/>
              </w:rPr>
              <w:t xml:space="preserve"> perioda) aprūpes un garīgās (psihiskās) veselības jomās, vai atbilst pasākumiem Covid-19 pandēmijas seku mazināšanai un  vai atbilst “Latvijas Atveseļošanas un noturības mehānisma plānā”</w:t>
            </w:r>
            <w:r>
              <w:rPr>
                <w:rStyle w:val="FootnoteReference"/>
                <w:sz w:val="28"/>
                <w:szCs w:val="28"/>
                <w:lang w:bidi="lo-LA"/>
              </w:rPr>
              <w:footnoteReference w:id="1"/>
            </w:r>
            <w:r w:rsidRPr="0035107F">
              <w:rPr>
                <w:rFonts w:ascii="Times New Roman" w:eastAsia="Times New Roman" w:hAnsi="Times New Roman"/>
                <w:sz w:val="28"/>
                <w:szCs w:val="28"/>
                <w:lang w:bidi="lo-LA"/>
              </w:rPr>
              <w:t xml:space="preserve"> komponentē “Veselība” noteiktajām prioritātēm.</w:t>
            </w:r>
          </w:p>
          <w:p w14:paraId="3D2F4B58" w14:textId="77777777" w:rsidR="00A72EC1" w:rsidRPr="0035107F" w:rsidRDefault="00A72EC1" w:rsidP="000618EE">
            <w:pPr>
              <w:widowControl/>
              <w:contextualSpacing/>
              <w:jc w:val="both"/>
              <w:rPr>
                <w:rFonts w:ascii="Times New Roman" w:eastAsia="Times New Roman" w:hAnsi="Times New Roman"/>
                <w:sz w:val="28"/>
                <w:szCs w:val="28"/>
                <w:lang w:bidi="lo-LA"/>
              </w:rPr>
            </w:pPr>
          </w:p>
        </w:tc>
      </w:tr>
      <w:tr w:rsidR="00BD5F7A" w14:paraId="45719765" w14:textId="77777777" w:rsidTr="00A72EC1">
        <w:tc>
          <w:tcPr>
            <w:tcW w:w="613" w:type="dxa"/>
          </w:tcPr>
          <w:p w14:paraId="3AAE9C6A"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57B36653"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 izmantojama veselības aprūpes pakalpojumu sniegšanai atbilstoši ārstniecības iestādes līmenim?</w:t>
            </w:r>
          </w:p>
        </w:tc>
        <w:tc>
          <w:tcPr>
            <w:tcW w:w="11020" w:type="dxa"/>
          </w:tcPr>
          <w:p w14:paraId="18695380"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Novērtē, vai tehnoloģija izmantojama veselības aprūpes pakalpojumu sniegšanai atbilstoši Veselības ministrijas informatīvajā ziņojumā “Par slimnīcu sniegto pakalpojumu atbilstību noteiktam slimnīcu līmenim” un darba grupas medicīnisko ierīču racionāla ģeogrāfiskā izvietojuma noteikšanai un pieejamības uzlabošanai ziņojumā noteiktajam. </w:t>
            </w:r>
          </w:p>
          <w:p w14:paraId="1BB504B5"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Papildus novērtē vai iesnieguma iesniedzējs apliecinājis, ka tehnoloģijas tehniskie parametri un funkcijas nepieciešamas pakalpojuma sniegšanai atbilstoši slimnīcas līmenim.</w:t>
            </w:r>
          </w:p>
          <w:p w14:paraId="0A8257DE"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Izvērtē medicīnas tehnoloģijas izmantošanu gan ambulatoro, gan stacionāro veselības aprūpes pakalpojumu sniegšanai.</w:t>
            </w:r>
          </w:p>
        </w:tc>
      </w:tr>
      <w:tr w:rsidR="00BD5F7A" w14:paraId="720F3FDA" w14:textId="77777777" w:rsidTr="00A72EC1">
        <w:tc>
          <w:tcPr>
            <w:tcW w:w="613" w:type="dxa"/>
          </w:tcPr>
          <w:p w14:paraId="31C9DCED"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282D44C5"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noslogojums būs pietiekams?</w:t>
            </w:r>
          </w:p>
        </w:tc>
        <w:tc>
          <w:tcPr>
            <w:tcW w:w="11020" w:type="dxa"/>
          </w:tcPr>
          <w:p w14:paraId="6BB3F6C8"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tehnoloģijas izmantošana plānota efektīvi – vismaz 70%</w:t>
            </w:r>
            <w:r>
              <w:rPr>
                <w:rStyle w:val="FootnoteReference"/>
                <w:sz w:val="28"/>
                <w:szCs w:val="28"/>
                <w:lang w:bidi="lo-LA"/>
              </w:rPr>
              <w:footnoteReference w:id="2"/>
            </w:r>
            <w:r w:rsidRPr="0035107F">
              <w:rPr>
                <w:rFonts w:ascii="Times New Roman" w:eastAsia="Times New Roman" w:hAnsi="Times New Roman"/>
                <w:sz w:val="28"/>
                <w:szCs w:val="28"/>
                <w:lang w:bidi="lo-LA"/>
              </w:rPr>
              <w:t xml:space="preserve"> no tehnoloģijas veiktspējas vismaz 2 016 stundas gadā (ja tehnoloģijas izmantošanas specifika neparedz savādāku izmantošanas laiku), un tam ir / tiek plānots atbilstošs valsts pasūtījums.</w:t>
            </w:r>
          </w:p>
        </w:tc>
      </w:tr>
      <w:tr w:rsidR="00BD5F7A" w14:paraId="4FB0DFEA" w14:textId="77777777" w:rsidTr="00A72EC1">
        <w:tc>
          <w:tcPr>
            <w:tcW w:w="613" w:type="dxa"/>
          </w:tcPr>
          <w:p w14:paraId="4E118F4C"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12B32F41"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plānotās izmaksas ir atbilstošas?</w:t>
            </w:r>
          </w:p>
        </w:tc>
        <w:tc>
          <w:tcPr>
            <w:tcW w:w="11020" w:type="dxa"/>
          </w:tcPr>
          <w:p w14:paraId="7F287F84"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tehnoloģijas indikatīvi plānotās iegādes izmaksas  ir samērīgas tehnoloģijas līmenim, ņemot vērā tehnoloģijas vidējo tirgus vērtību, kā arī</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izmaksas ir uzrādītas atbilstoši pastāvošajai tirgus situācijai un iepirkuma ietvaros tiks nodrošināta godīga konkurence.</w:t>
            </w:r>
          </w:p>
        </w:tc>
      </w:tr>
      <w:tr w:rsidR="00BD5F7A" w14:paraId="386F8135" w14:textId="77777777" w:rsidTr="00A72EC1">
        <w:trPr>
          <w:trHeight w:val="924"/>
        </w:trPr>
        <w:tc>
          <w:tcPr>
            <w:tcW w:w="613" w:type="dxa"/>
          </w:tcPr>
          <w:p w14:paraId="4F8B02AD"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22F28B8E"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esošā tehnoloģija ir nolietojusies? (ja attiecināms)</w:t>
            </w:r>
          </w:p>
        </w:tc>
        <w:tc>
          <w:tcPr>
            <w:tcW w:w="11020" w:type="dxa"/>
          </w:tcPr>
          <w:p w14:paraId="4DE07EDB"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Gadījumā, ja paredzēts nomainīt jau esošu tehnoloģiju, novērtē, vai esošā tehnoloģija ir pietiekami nolietojusies (morāli un fiziski, vai arī tās izmantošana vairs nav finansiāli efektīva).</w:t>
            </w:r>
          </w:p>
        </w:tc>
      </w:tr>
      <w:tr w:rsidR="00BD5F7A" w14:paraId="196BFDD9" w14:textId="77777777" w:rsidTr="00A72EC1">
        <w:tc>
          <w:tcPr>
            <w:tcW w:w="613" w:type="dxa"/>
          </w:tcPr>
          <w:p w14:paraId="28BCAC71"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69302AE3"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ārstniecības iestādei ir atbilstošs ārstniecības personāls, lai nodrošinātu tehnoloģijas pilnvērtīgu izmantošanu? </w:t>
            </w:r>
          </w:p>
        </w:tc>
        <w:tc>
          <w:tcPr>
            <w:tcW w:w="11020" w:type="dxa"/>
          </w:tcPr>
          <w:p w14:paraId="77EA3D5F"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ārstniecības iestādei ir atbilstošs ārstniecības personāls darbam ar attiecīgo tehnoloģiju vai arī ārstniecības personāls tiks apmācīts darbam ar attiecīgo tehnoloģiju līdz tehnoloģijas darbības uzsākšanai.</w:t>
            </w:r>
          </w:p>
          <w:p w14:paraId="70416FD4" w14:textId="77777777" w:rsidR="00A72EC1" w:rsidRPr="0035107F" w:rsidRDefault="00A72EC1" w:rsidP="000618EE">
            <w:pPr>
              <w:widowControl/>
              <w:contextualSpacing/>
              <w:jc w:val="both"/>
              <w:rPr>
                <w:rFonts w:ascii="Times New Roman" w:eastAsia="Times New Roman" w:hAnsi="Times New Roman"/>
                <w:sz w:val="28"/>
                <w:szCs w:val="28"/>
                <w:lang w:bidi="lo-LA"/>
              </w:rPr>
            </w:pPr>
          </w:p>
        </w:tc>
      </w:tr>
      <w:tr w:rsidR="00BD5F7A" w14:paraId="704C5926" w14:textId="77777777" w:rsidTr="00A72EC1">
        <w:tc>
          <w:tcPr>
            <w:tcW w:w="613" w:type="dxa"/>
          </w:tcPr>
          <w:p w14:paraId="5EF61B9D"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228E2F34"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iegāde ir pamatota uz alternatīvu analīzes pamata?</w:t>
            </w:r>
          </w:p>
        </w:tc>
        <w:tc>
          <w:tcPr>
            <w:tcW w:w="11020" w:type="dxa"/>
          </w:tcPr>
          <w:p w14:paraId="43B59736"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tehnoloģijas iegāde ir izvēlēta uz alternatīvu analīzes pamata, izvērtējot iegādes prioritāti salīdzinot ar pārējām ārstniecības iestādes attīstības vajadzībām.</w:t>
            </w:r>
          </w:p>
          <w:p w14:paraId="2876CABC" w14:textId="77777777" w:rsidR="00A72EC1" w:rsidRPr="0035107F" w:rsidRDefault="00A72EC1" w:rsidP="000618EE">
            <w:pPr>
              <w:widowControl/>
              <w:contextualSpacing/>
              <w:jc w:val="both"/>
              <w:rPr>
                <w:rFonts w:ascii="Times New Roman" w:eastAsia="Times New Roman" w:hAnsi="Times New Roman"/>
                <w:sz w:val="28"/>
                <w:szCs w:val="28"/>
                <w:lang w:bidi="lo-LA"/>
              </w:rPr>
            </w:pPr>
          </w:p>
        </w:tc>
      </w:tr>
      <w:tr w:rsidR="00BD5F7A" w14:paraId="12106C87" w14:textId="77777777" w:rsidTr="00A72EC1">
        <w:tc>
          <w:tcPr>
            <w:tcW w:w="613" w:type="dxa"/>
          </w:tcPr>
          <w:p w14:paraId="3C04F241"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24CE6D60"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plānojot tehnoloģijas iegādi ir veikts apkalpes teritorijas tirgus izpētes process, ievērojot tirgus aizsardzības principu.</w:t>
            </w:r>
          </w:p>
        </w:tc>
        <w:tc>
          <w:tcPr>
            <w:tcW w:w="11020" w:type="dxa"/>
          </w:tcPr>
          <w:p w14:paraId="1E46B379"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iesniegumā norādīts apkalpes teritorijas tirgus izpēte par pieejamajām tehnoloģijām, tostarp privāto veselības aprūpes pakalpojumu sektorā. Vai ir veiktas sarunas ar Nacionālo veselības dienestu par apkalpes teritorijā esošajiem pakalpojumu sniedzējiem, kas nodrošina valsts apmaksātos pakalpojumus, kas nodrošināmi ar konkrēto tehnoloģiju. Vai veikta vajadzības analīze.</w:t>
            </w:r>
          </w:p>
          <w:p w14:paraId="195FFA42" w14:textId="77777777" w:rsidR="00A72EC1" w:rsidRPr="0035107F" w:rsidRDefault="00A72EC1" w:rsidP="000618EE">
            <w:pPr>
              <w:widowControl/>
              <w:contextualSpacing/>
              <w:jc w:val="both"/>
              <w:rPr>
                <w:rFonts w:ascii="Times New Roman" w:eastAsia="Times New Roman" w:hAnsi="Times New Roman"/>
                <w:sz w:val="28"/>
                <w:szCs w:val="28"/>
                <w:lang w:bidi="lo-LA"/>
              </w:rPr>
            </w:pPr>
          </w:p>
        </w:tc>
      </w:tr>
      <w:tr w:rsidR="00BD5F7A" w14:paraId="526A9087" w14:textId="77777777" w:rsidTr="00A72EC1">
        <w:tc>
          <w:tcPr>
            <w:tcW w:w="613" w:type="dxa"/>
          </w:tcPr>
          <w:p w14:paraId="1B203383" w14:textId="77777777" w:rsidR="00A72EC1" w:rsidRPr="0035107F" w:rsidRDefault="00A72EC1" w:rsidP="000618EE">
            <w:pPr>
              <w:widowControl/>
              <w:numPr>
                <w:ilvl w:val="0"/>
                <w:numId w:val="2"/>
              </w:numPr>
              <w:contextualSpacing/>
              <w:jc w:val="both"/>
              <w:rPr>
                <w:rFonts w:ascii="Times New Roman" w:eastAsia="Times New Roman" w:hAnsi="Times New Roman"/>
                <w:sz w:val="28"/>
                <w:szCs w:val="28"/>
                <w:lang w:bidi="lo-LA"/>
              </w:rPr>
            </w:pPr>
          </w:p>
        </w:tc>
        <w:tc>
          <w:tcPr>
            <w:tcW w:w="3535" w:type="dxa"/>
          </w:tcPr>
          <w:p w14:paraId="3D64F278"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tehnoloģijas iegāde ir attiecināma uz ar Veselības ministrijas 2020.gada 9.janvārī rīkojumu Nr.5 izveidotās darba grupas “Darba grupas medicīnisko ierīču racionāla ģeogrāfiskā izvietojuma noteikšanai un pieejamības uzlabošanai” ziņojumā minēto tehnoloģijas </w:t>
            </w:r>
            <w:proofErr w:type="spellStart"/>
            <w:r w:rsidRPr="0035107F">
              <w:rPr>
                <w:rFonts w:ascii="Times New Roman" w:eastAsia="Times New Roman" w:hAnsi="Times New Roman"/>
                <w:sz w:val="28"/>
                <w:szCs w:val="28"/>
                <w:lang w:bidi="lo-LA"/>
              </w:rPr>
              <w:t>izvērtējumu</w:t>
            </w:r>
            <w:proofErr w:type="spellEnd"/>
          </w:p>
        </w:tc>
        <w:tc>
          <w:tcPr>
            <w:tcW w:w="11020" w:type="dxa"/>
          </w:tcPr>
          <w:p w14:paraId="64B6C32D" w14:textId="77777777" w:rsidR="00A72EC1" w:rsidRPr="0035107F" w:rsidRDefault="002B086E" w:rsidP="000618EE">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Novērtē, vai iesniegumā saskaņojumā noteiktā tehnoloģija atbilst ar Veselības ministrijas 2020.gada 9.janvārī rīkojumu Nr.5 izveidotās darba grupas “Darba grupas medicīnisko ierīču racionāla ģeogrāfiskā izvietojuma noteikšanai un pieejamības uzlabošanai” ziņojumā minēto tehnoloģiju </w:t>
            </w:r>
            <w:proofErr w:type="spellStart"/>
            <w:r w:rsidRPr="0035107F">
              <w:rPr>
                <w:rFonts w:ascii="Times New Roman" w:eastAsia="Times New Roman" w:hAnsi="Times New Roman"/>
                <w:sz w:val="28"/>
                <w:szCs w:val="28"/>
                <w:lang w:bidi="lo-LA"/>
              </w:rPr>
              <w:t>izvērtējumu</w:t>
            </w:r>
            <w:proofErr w:type="spellEnd"/>
            <w:r w:rsidRPr="0035107F">
              <w:rPr>
                <w:rFonts w:ascii="Times New Roman" w:eastAsia="Times New Roman" w:hAnsi="Times New Roman"/>
                <w:sz w:val="28"/>
                <w:szCs w:val="28"/>
                <w:lang w:bidi="lo-LA"/>
              </w:rPr>
              <w:t>.</w:t>
            </w:r>
          </w:p>
        </w:tc>
      </w:tr>
    </w:tbl>
    <w:p w14:paraId="178986EE" w14:textId="1BDFFDAD" w:rsidR="00776C3F" w:rsidRDefault="00776C3F" w:rsidP="00A72EC1">
      <w:pPr>
        <w:tabs>
          <w:tab w:val="left" w:pos="3680"/>
        </w:tabs>
      </w:pPr>
    </w:p>
    <w:p w14:paraId="26F4624D" w14:textId="086BE59D" w:rsidR="00776C3F" w:rsidRDefault="00776C3F" w:rsidP="001450BC"/>
    <w:sectPr w:rsidR="00776C3F" w:rsidSect="00A72EC1">
      <w:headerReference w:type="even" r:id="rId8"/>
      <w:headerReference w:type="default" r:id="rId9"/>
      <w:headerReference w:type="first" r:id="rId10"/>
      <w:pgSz w:w="16838" w:h="11906" w:orient="landscape" w:code="9"/>
      <w:pgMar w:top="1276" w:right="1418" w:bottom="709"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0942" w14:textId="77777777" w:rsidR="00180543" w:rsidRDefault="002B086E">
      <w:pPr>
        <w:spacing w:after="0" w:line="240" w:lineRule="auto"/>
      </w:pPr>
      <w:r>
        <w:separator/>
      </w:r>
    </w:p>
  </w:endnote>
  <w:endnote w:type="continuationSeparator" w:id="0">
    <w:p w14:paraId="23139F58" w14:textId="77777777" w:rsidR="00180543" w:rsidRDefault="002B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1555" w14:textId="77777777" w:rsidR="00BD5F7A" w:rsidRDefault="002B086E">
      <w:pPr>
        <w:spacing w:after="0" w:line="240" w:lineRule="auto"/>
      </w:pPr>
      <w:r>
        <w:separator/>
      </w:r>
    </w:p>
  </w:footnote>
  <w:footnote w:type="continuationSeparator" w:id="0">
    <w:p w14:paraId="572E1583" w14:textId="77777777" w:rsidR="00BD5F7A" w:rsidRDefault="002B086E">
      <w:pPr>
        <w:spacing w:after="0" w:line="240" w:lineRule="auto"/>
      </w:pPr>
      <w:r>
        <w:continuationSeparator/>
      </w:r>
    </w:p>
  </w:footnote>
  <w:footnote w:id="1">
    <w:p w14:paraId="5D377C8F" w14:textId="77777777" w:rsidR="00A72EC1" w:rsidRPr="00E854D6" w:rsidRDefault="002B086E" w:rsidP="00A72EC1">
      <w:pPr>
        <w:pStyle w:val="FootnoteText"/>
        <w:rPr>
          <w:lang w:val="lv-LV"/>
        </w:rPr>
      </w:pPr>
      <w:r>
        <w:rPr>
          <w:rStyle w:val="FootnoteReference"/>
        </w:rPr>
        <w:footnoteRef/>
      </w:r>
      <w:r>
        <w:t xml:space="preserve"> </w:t>
      </w:r>
      <w:hyperlink r:id="rId1" w:history="1">
        <w:r w:rsidRPr="00E854D6">
          <w:rPr>
            <w:rStyle w:val="Hyperlink"/>
          </w:rPr>
          <w:t>https://likumi.lv/ta/id/322858-par-latvijas-atveselosanas-un-noturibas-mehanisma-planu</w:t>
        </w:r>
      </w:hyperlink>
    </w:p>
  </w:footnote>
  <w:footnote w:id="2">
    <w:p w14:paraId="34B25AE8" w14:textId="77777777" w:rsidR="00A72EC1" w:rsidRPr="0012579D" w:rsidRDefault="002B086E" w:rsidP="00A72EC1">
      <w:pPr>
        <w:pStyle w:val="FootnoteText"/>
        <w:rPr>
          <w:lang w:val="lv-LV"/>
        </w:rPr>
      </w:pPr>
      <w:r w:rsidRPr="00E854D6">
        <w:rPr>
          <w:rStyle w:val="FootnoteReference"/>
        </w:rPr>
        <w:footnoteRef/>
      </w:r>
      <w:r w:rsidRPr="005F13EE">
        <w:rPr>
          <w:lang w:val="lv-LV"/>
        </w:rPr>
        <w:t xml:space="preserve"> </w:t>
      </w:r>
      <w:r w:rsidRPr="00E854D6">
        <w:rPr>
          <w:lang w:val="lv-LV"/>
        </w:rPr>
        <w:t>Izņemot gadījumus, ka medicīnas tehnoloģija ir noteikta obligātajās prasībās, tomēr nenodrošina 70% noslodzi.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805A" w14:textId="77777777" w:rsidR="004E4BBB" w:rsidRPr="00647193" w:rsidRDefault="002B086E" w:rsidP="004E4BBB">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594" w14:textId="77777777" w:rsidR="00B53687" w:rsidRDefault="00B53687" w:rsidP="004E4B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7509" w14:textId="379C2A41" w:rsidR="001450BC" w:rsidRPr="00E043BD" w:rsidRDefault="002B086E" w:rsidP="001450BC">
    <w:pPr>
      <w:spacing w:after="0" w:line="240" w:lineRule="auto"/>
      <w:jc w:val="right"/>
      <w:rPr>
        <w:rFonts w:ascii="Times New Roman" w:hAnsi="Times New Roman"/>
        <w:sz w:val="24"/>
        <w:szCs w:val="24"/>
      </w:rPr>
    </w:pPr>
    <w:r>
      <w:rPr>
        <w:rFonts w:ascii="Times New Roman" w:hAnsi="Times New Roman"/>
        <w:sz w:val="24"/>
        <w:szCs w:val="24"/>
      </w:rPr>
      <w:t>1. Pielikums</w:t>
    </w:r>
  </w:p>
  <w:p w14:paraId="00518E93" w14:textId="759F63EE" w:rsidR="001450BC" w:rsidRDefault="002B086E" w:rsidP="001450BC">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00F57FE1" w:rsidRPr="00F57FE1">
      <w:rPr>
        <w:rFonts w:ascii="Times New Roman" w:eastAsia="Times New Roman" w:hAnsi="Times New Roman"/>
        <w:noProof/>
        <w:sz w:val="24"/>
        <w:szCs w:val="24"/>
        <w:u w:val="single"/>
      </w:rPr>
      <w:t>22.09.2022</w:t>
    </w:r>
  </w:p>
  <w:p w14:paraId="53D748A3" w14:textId="20FCF8EA" w:rsidR="001450BC" w:rsidRPr="001450BC" w:rsidRDefault="002B086E" w:rsidP="001450BC">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IeNA/32</w:t>
    </w:r>
  </w:p>
  <w:p w14:paraId="050A67A4" w14:textId="77777777" w:rsidR="00BA6FC7" w:rsidRDefault="00BA6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849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264463"/>
    <w:multiLevelType w:val="hybridMultilevel"/>
    <w:tmpl w:val="BFAEFB6C"/>
    <w:lvl w:ilvl="0" w:tplc="0E00697C">
      <w:start w:val="1"/>
      <w:numFmt w:val="decimal"/>
      <w:lvlText w:val="%1."/>
      <w:lvlJc w:val="left"/>
      <w:pPr>
        <w:ind w:left="720" w:hanging="360"/>
      </w:pPr>
      <w:rPr>
        <w:rFonts w:hint="default"/>
      </w:rPr>
    </w:lvl>
    <w:lvl w:ilvl="1" w:tplc="41BACA66" w:tentative="1">
      <w:start w:val="1"/>
      <w:numFmt w:val="lowerLetter"/>
      <w:lvlText w:val="%2."/>
      <w:lvlJc w:val="left"/>
      <w:pPr>
        <w:ind w:left="1440" w:hanging="360"/>
      </w:pPr>
    </w:lvl>
    <w:lvl w:ilvl="2" w:tplc="233406F4" w:tentative="1">
      <w:start w:val="1"/>
      <w:numFmt w:val="lowerRoman"/>
      <w:lvlText w:val="%3."/>
      <w:lvlJc w:val="right"/>
      <w:pPr>
        <w:ind w:left="2160" w:hanging="180"/>
      </w:pPr>
    </w:lvl>
    <w:lvl w:ilvl="3" w:tplc="26641C26" w:tentative="1">
      <w:start w:val="1"/>
      <w:numFmt w:val="decimal"/>
      <w:lvlText w:val="%4."/>
      <w:lvlJc w:val="left"/>
      <w:pPr>
        <w:ind w:left="2880" w:hanging="360"/>
      </w:pPr>
    </w:lvl>
    <w:lvl w:ilvl="4" w:tplc="33AC9BE4" w:tentative="1">
      <w:start w:val="1"/>
      <w:numFmt w:val="lowerLetter"/>
      <w:lvlText w:val="%5."/>
      <w:lvlJc w:val="left"/>
      <w:pPr>
        <w:ind w:left="3600" w:hanging="360"/>
      </w:pPr>
    </w:lvl>
    <w:lvl w:ilvl="5" w:tplc="00087B60" w:tentative="1">
      <w:start w:val="1"/>
      <w:numFmt w:val="lowerRoman"/>
      <w:lvlText w:val="%6."/>
      <w:lvlJc w:val="right"/>
      <w:pPr>
        <w:ind w:left="4320" w:hanging="180"/>
      </w:pPr>
    </w:lvl>
    <w:lvl w:ilvl="6" w:tplc="A39E8C86" w:tentative="1">
      <w:start w:val="1"/>
      <w:numFmt w:val="decimal"/>
      <w:lvlText w:val="%7."/>
      <w:lvlJc w:val="left"/>
      <w:pPr>
        <w:ind w:left="5040" w:hanging="360"/>
      </w:pPr>
    </w:lvl>
    <w:lvl w:ilvl="7" w:tplc="511E78FA" w:tentative="1">
      <w:start w:val="1"/>
      <w:numFmt w:val="lowerLetter"/>
      <w:lvlText w:val="%8."/>
      <w:lvlJc w:val="left"/>
      <w:pPr>
        <w:ind w:left="5760" w:hanging="360"/>
      </w:pPr>
    </w:lvl>
    <w:lvl w:ilvl="8" w:tplc="90AE0E84" w:tentative="1">
      <w:start w:val="1"/>
      <w:numFmt w:val="lowerRoman"/>
      <w:lvlText w:val="%9."/>
      <w:lvlJc w:val="right"/>
      <w:pPr>
        <w:ind w:left="6480" w:hanging="180"/>
      </w:pPr>
    </w:lvl>
  </w:abstractNum>
  <w:num w:numId="1" w16cid:durableId="1221481987">
    <w:abstractNumId w:val="1"/>
  </w:num>
  <w:num w:numId="2" w16cid:durableId="20398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618EE"/>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579D"/>
    <w:rsid w:val="00127A26"/>
    <w:rsid w:val="001321DF"/>
    <w:rsid w:val="00134E5B"/>
    <w:rsid w:val="001364E3"/>
    <w:rsid w:val="001450BC"/>
    <w:rsid w:val="001553D6"/>
    <w:rsid w:val="001632CE"/>
    <w:rsid w:val="00166EC1"/>
    <w:rsid w:val="001753BE"/>
    <w:rsid w:val="00177683"/>
    <w:rsid w:val="0018054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086E"/>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107F"/>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13EE"/>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2EB1"/>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2EC1"/>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5F7A"/>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54D6"/>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character" w:styleId="Hyperlink">
    <w:name w:val="Hyperlink"/>
    <w:basedOn w:val="DefaultParagraphFont"/>
    <w:uiPriority w:val="99"/>
    <w:unhideWhenUsed/>
    <w:rsid w:val="00A72EC1"/>
    <w:rPr>
      <w:color w:val="0000FF" w:themeColor="hyperlink"/>
      <w:u w:val="single"/>
    </w:rPr>
  </w:style>
  <w:style w:type="table" w:customStyle="1" w:styleId="TableGrid1">
    <w:name w:val="Table Grid1"/>
    <w:basedOn w:val="TableNormal"/>
    <w:next w:val="TableGrid"/>
    <w:rsid w:val="00A72EC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72EC1"/>
    <w:pPr>
      <w:widowControl/>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A72EC1"/>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A72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858-par-latvijas-atveselosanas-un-noturibas-mehanisma-pl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2556</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Kristīne Straume</cp:lastModifiedBy>
  <cp:revision>2</cp:revision>
  <dcterms:created xsi:type="dcterms:W3CDTF">2023-07-25T08:35:00Z</dcterms:created>
  <dcterms:modified xsi:type="dcterms:W3CDTF">2023-07-25T08:35:00Z</dcterms:modified>
</cp:coreProperties>
</file>