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13362" w14:textId="280D0BFF" w:rsidR="00350BF4" w:rsidRPr="00163CFD" w:rsidRDefault="00350BF4" w:rsidP="00255595">
      <w:pPr>
        <w:spacing w:before="120" w:after="0" w:line="240" w:lineRule="auto"/>
        <w:rPr>
          <w:rFonts w:ascii="Times New Roman" w:hAnsi="Times New Roman" w:cs="Times New Roman"/>
          <w:sz w:val="24"/>
          <w:szCs w:val="24"/>
        </w:rPr>
      </w:pPr>
    </w:p>
    <w:p w14:paraId="524A62E2" w14:textId="0AC05983" w:rsidR="00AB2BF4" w:rsidRPr="00163CFD" w:rsidRDefault="00AB2BF4" w:rsidP="00255595">
      <w:pPr>
        <w:spacing w:before="120" w:after="0" w:line="240" w:lineRule="auto"/>
        <w:rPr>
          <w:rFonts w:ascii="Times New Roman" w:hAnsi="Times New Roman" w:cs="Times New Roman"/>
          <w:sz w:val="24"/>
          <w:szCs w:val="24"/>
        </w:rPr>
      </w:pPr>
    </w:p>
    <w:p w14:paraId="1036AF2A" w14:textId="1CEA970E" w:rsidR="00AB2BF4" w:rsidRPr="00163CFD" w:rsidRDefault="00AB2BF4" w:rsidP="00255595">
      <w:pPr>
        <w:spacing w:before="120" w:after="0" w:line="240" w:lineRule="auto"/>
        <w:rPr>
          <w:rFonts w:ascii="Times New Roman" w:hAnsi="Times New Roman" w:cs="Times New Roman"/>
          <w:sz w:val="24"/>
          <w:szCs w:val="24"/>
        </w:rPr>
      </w:pPr>
    </w:p>
    <w:p w14:paraId="6EB1C1C9" w14:textId="346423B9" w:rsidR="00AB2BF4" w:rsidRPr="00163CFD" w:rsidRDefault="00AB2BF4" w:rsidP="00255595">
      <w:pPr>
        <w:spacing w:before="120" w:after="0" w:line="240" w:lineRule="auto"/>
        <w:rPr>
          <w:rFonts w:ascii="Times New Roman" w:hAnsi="Times New Roman" w:cs="Times New Roman"/>
          <w:sz w:val="24"/>
          <w:szCs w:val="24"/>
        </w:rPr>
      </w:pPr>
    </w:p>
    <w:p w14:paraId="00BB32AC" w14:textId="2893A862" w:rsidR="00AB2BF4" w:rsidRPr="00415222" w:rsidRDefault="00AB2BF4" w:rsidP="00255595">
      <w:pPr>
        <w:spacing w:before="120" w:after="0" w:line="240" w:lineRule="auto"/>
        <w:rPr>
          <w:rFonts w:ascii="Times New Roman" w:hAnsi="Times New Roman" w:cs="Times New Roman"/>
          <w:b/>
          <w:bCs/>
          <w:sz w:val="24"/>
          <w:szCs w:val="24"/>
        </w:rPr>
      </w:pPr>
    </w:p>
    <w:p w14:paraId="5EFAA7BE" w14:textId="77777777" w:rsidR="00415222" w:rsidRDefault="00465D40" w:rsidP="00415222">
      <w:pPr>
        <w:spacing w:before="120" w:after="0" w:line="240" w:lineRule="auto"/>
        <w:jc w:val="center"/>
        <w:rPr>
          <w:rFonts w:ascii="Times New Roman" w:hAnsi="Times New Roman" w:cs="Times New Roman"/>
          <w:b/>
          <w:bCs/>
          <w:sz w:val="24"/>
          <w:szCs w:val="24"/>
        </w:rPr>
      </w:pPr>
      <w:r w:rsidRPr="00415222">
        <w:rPr>
          <w:rFonts w:ascii="Times New Roman" w:hAnsi="Times New Roman" w:cs="Times New Roman"/>
          <w:b/>
          <w:bCs/>
          <w:sz w:val="24"/>
          <w:szCs w:val="24"/>
        </w:rPr>
        <w:t xml:space="preserve">Informatīvais ziņojums </w:t>
      </w:r>
      <w:r w:rsidR="00415222">
        <w:rPr>
          <w:rFonts w:ascii="Times New Roman" w:hAnsi="Times New Roman" w:cs="Times New Roman"/>
          <w:b/>
          <w:bCs/>
          <w:sz w:val="24"/>
          <w:szCs w:val="24"/>
        </w:rPr>
        <w:t xml:space="preserve"> </w:t>
      </w:r>
    </w:p>
    <w:p w14:paraId="4C4BE951" w14:textId="0563C148" w:rsidR="00E25E30" w:rsidRPr="00415222" w:rsidRDefault="00465D40" w:rsidP="00415222">
      <w:pPr>
        <w:spacing w:before="120" w:after="0" w:line="240" w:lineRule="auto"/>
        <w:jc w:val="center"/>
        <w:rPr>
          <w:rFonts w:ascii="Times New Roman" w:hAnsi="Times New Roman" w:cs="Times New Roman"/>
          <w:b/>
          <w:bCs/>
          <w:sz w:val="24"/>
          <w:szCs w:val="24"/>
        </w:rPr>
      </w:pPr>
      <w:r w:rsidRPr="00415222">
        <w:rPr>
          <w:rFonts w:ascii="Times New Roman" w:hAnsi="Times New Roman" w:cs="Times New Roman"/>
          <w:b/>
          <w:bCs/>
          <w:sz w:val="24"/>
          <w:szCs w:val="24"/>
        </w:rPr>
        <w:t xml:space="preserve">“Par Eiropas Savienības Atveseļošanas un noturības mehānisma plāna 4.komponentes “Veselība” 4.1. reformu un investīciju virziena “Kvalitatīvu un izmaksu efektīvu integrētu veselības aprūpes pakalpojumu pieejamība un veselības aprūpes sistēmas gatavība pakalpojumu nodrošināšanai epidemioloģiskajās krīzēs” </w:t>
      </w:r>
      <w:bookmarkStart w:id="0" w:name="_Hlk92897910"/>
      <w:r w:rsidRPr="00415222">
        <w:rPr>
          <w:rFonts w:ascii="Times New Roman" w:hAnsi="Times New Roman" w:cs="Times New Roman"/>
          <w:b/>
          <w:bCs/>
          <w:sz w:val="24"/>
          <w:szCs w:val="24"/>
        </w:rPr>
        <w:t>4.1.</w:t>
      </w:r>
      <w:r w:rsidR="00221C54" w:rsidRPr="00415222">
        <w:rPr>
          <w:rFonts w:ascii="Times New Roman" w:hAnsi="Times New Roman" w:cs="Times New Roman"/>
          <w:b/>
          <w:bCs/>
          <w:sz w:val="24"/>
          <w:szCs w:val="24"/>
        </w:rPr>
        <w:t>1.1.i. investīcijas “Atbalsts sabiedrības veselības pētījumu veikšanai</w:t>
      </w:r>
      <w:r w:rsidRPr="00415222">
        <w:rPr>
          <w:rFonts w:ascii="Times New Roman" w:hAnsi="Times New Roman" w:cs="Times New Roman"/>
          <w:b/>
          <w:bCs/>
          <w:sz w:val="24"/>
          <w:szCs w:val="24"/>
        </w:rPr>
        <w:t>”</w:t>
      </w:r>
      <w:bookmarkEnd w:id="0"/>
      <w:r w:rsidR="00415222">
        <w:rPr>
          <w:rFonts w:ascii="Times New Roman" w:hAnsi="Times New Roman" w:cs="Times New Roman"/>
          <w:b/>
          <w:bCs/>
          <w:sz w:val="24"/>
          <w:szCs w:val="24"/>
        </w:rPr>
        <w:t xml:space="preserve"> </w:t>
      </w:r>
      <w:r w:rsidRPr="00415222">
        <w:rPr>
          <w:rFonts w:ascii="Times New Roman" w:hAnsi="Times New Roman" w:cs="Times New Roman"/>
          <w:b/>
          <w:bCs/>
          <w:sz w:val="24"/>
          <w:szCs w:val="24"/>
        </w:rPr>
        <w:t xml:space="preserve"> īstenošanu”</w:t>
      </w:r>
      <w:r w:rsidR="00E25E30" w:rsidRPr="00163CFD">
        <w:rPr>
          <w:rFonts w:ascii="Times New Roman" w:hAnsi="Times New Roman" w:cs="Times New Roman"/>
          <w:sz w:val="24"/>
          <w:szCs w:val="24"/>
        </w:rPr>
        <w:br w:type="page"/>
      </w:r>
    </w:p>
    <w:p w14:paraId="3C672FD2" w14:textId="7798312F" w:rsidR="0055505F" w:rsidRPr="00163CFD" w:rsidRDefault="00E25E30" w:rsidP="00255595">
      <w:pPr>
        <w:spacing w:before="120" w:after="0" w:line="240" w:lineRule="auto"/>
        <w:jc w:val="center"/>
        <w:rPr>
          <w:rFonts w:ascii="Times New Roman" w:hAnsi="Times New Roman" w:cs="Times New Roman"/>
          <w:sz w:val="24"/>
          <w:szCs w:val="24"/>
        </w:rPr>
      </w:pPr>
      <w:r w:rsidRPr="00163CFD">
        <w:rPr>
          <w:rFonts w:ascii="Times New Roman" w:hAnsi="Times New Roman" w:cs="Times New Roman"/>
          <w:sz w:val="24"/>
          <w:szCs w:val="24"/>
        </w:rPr>
        <w:lastRenderedPageBreak/>
        <w:t>SATURS</w:t>
      </w:r>
    </w:p>
    <w:sdt>
      <w:sdtPr>
        <w:rPr>
          <w:rFonts w:asciiTheme="minorHAnsi" w:eastAsiaTheme="minorHAnsi" w:hAnsiTheme="minorHAnsi" w:cs="Times New Roman"/>
          <w:sz w:val="24"/>
          <w:szCs w:val="24"/>
          <w:lang w:val="lv-LV"/>
        </w:rPr>
        <w:id w:val="-439601559"/>
        <w:docPartObj>
          <w:docPartGallery w:val="Table of Contents"/>
          <w:docPartUnique/>
        </w:docPartObj>
      </w:sdtPr>
      <w:sdtEndPr/>
      <w:sdtContent>
        <w:p w14:paraId="5DA25C83" w14:textId="1DB0FD5A" w:rsidR="0055505F" w:rsidRPr="000B7CC2" w:rsidRDefault="0055505F" w:rsidP="00255595">
          <w:pPr>
            <w:pStyle w:val="TOCHeading"/>
            <w:spacing w:before="120" w:line="240" w:lineRule="auto"/>
            <w:rPr>
              <w:rFonts w:cs="Times New Roman"/>
              <w:sz w:val="24"/>
              <w:szCs w:val="24"/>
              <w:lang w:val="lv-LV"/>
            </w:rPr>
          </w:pPr>
        </w:p>
        <w:p w14:paraId="5C3E3C7A" w14:textId="0A2439DB" w:rsidR="000B7CC2" w:rsidRPr="000B7CC2" w:rsidRDefault="0055505F">
          <w:pPr>
            <w:pStyle w:val="TOC1"/>
            <w:rPr>
              <w:rFonts w:ascii="Times New Roman" w:eastAsiaTheme="minorEastAsia" w:hAnsi="Times New Roman" w:cs="Times New Roman"/>
              <w:noProof/>
              <w:sz w:val="24"/>
              <w:szCs w:val="24"/>
              <w:lang w:eastAsia="lv-LV"/>
            </w:rPr>
          </w:pPr>
          <w:r w:rsidRPr="000B7CC2">
            <w:rPr>
              <w:rFonts w:ascii="Times New Roman" w:hAnsi="Times New Roman" w:cs="Times New Roman"/>
              <w:sz w:val="24"/>
              <w:szCs w:val="24"/>
            </w:rPr>
            <w:fldChar w:fldCharType="begin"/>
          </w:r>
          <w:r w:rsidRPr="000B7CC2">
            <w:rPr>
              <w:rFonts w:ascii="Times New Roman" w:hAnsi="Times New Roman" w:cs="Times New Roman"/>
              <w:sz w:val="24"/>
              <w:szCs w:val="24"/>
            </w:rPr>
            <w:instrText xml:space="preserve"> TOC \o "1-3" \h \z \u </w:instrText>
          </w:r>
          <w:r w:rsidRPr="000B7CC2">
            <w:rPr>
              <w:rFonts w:ascii="Times New Roman" w:hAnsi="Times New Roman" w:cs="Times New Roman"/>
              <w:sz w:val="24"/>
              <w:szCs w:val="24"/>
            </w:rPr>
            <w:fldChar w:fldCharType="separate"/>
          </w:r>
          <w:hyperlink w:anchor="_Toc110002929" w:history="1">
            <w:r w:rsidR="000B7CC2" w:rsidRPr="000B7CC2">
              <w:rPr>
                <w:rStyle w:val="Hyperlink"/>
                <w:rFonts w:ascii="Times New Roman" w:eastAsia="Times New Roman" w:hAnsi="Times New Roman" w:cs="Times New Roman"/>
                <w:noProof/>
                <w:sz w:val="24"/>
                <w:szCs w:val="24"/>
              </w:rPr>
              <w:t>1.</w:t>
            </w:r>
            <w:r w:rsidR="000B7CC2" w:rsidRPr="000B7CC2">
              <w:rPr>
                <w:rFonts w:ascii="Times New Roman" w:eastAsiaTheme="minorEastAsia" w:hAnsi="Times New Roman" w:cs="Times New Roman"/>
                <w:noProof/>
                <w:sz w:val="24"/>
                <w:szCs w:val="24"/>
                <w:lang w:eastAsia="lv-LV"/>
              </w:rPr>
              <w:tab/>
            </w:r>
            <w:r w:rsidR="000B7CC2" w:rsidRPr="000B7CC2">
              <w:rPr>
                <w:rStyle w:val="Hyperlink"/>
                <w:rFonts w:ascii="Times New Roman" w:eastAsia="Times New Roman" w:hAnsi="Times New Roman" w:cs="Times New Roman"/>
                <w:noProof/>
                <w:sz w:val="24"/>
                <w:szCs w:val="24"/>
              </w:rPr>
              <w:t>Ievads</w:t>
            </w:r>
            <w:r w:rsidR="000B7CC2" w:rsidRPr="000B7CC2">
              <w:rPr>
                <w:rFonts w:ascii="Times New Roman" w:hAnsi="Times New Roman" w:cs="Times New Roman"/>
                <w:noProof/>
                <w:webHidden/>
                <w:sz w:val="24"/>
                <w:szCs w:val="24"/>
              </w:rPr>
              <w:tab/>
            </w:r>
            <w:r w:rsidR="000B7CC2" w:rsidRPr="000B7CC2">
              <w:rPr>
                <w:rFonts w:ascii="Times New Roman" w:hAnsi="Times New Roman" w:cs="Times New Roman"/>
                <w:noProof/>
                <w:webHidden/>
                <w:sz w:val="24"/>
                <w:szCs w:val="24"/>
              </w:rPr>
              <w:fldChar w:fldCharType="begin"/>
            </w:r>
            <w:r w:rsidR="000B7CC2" w:rsidRPr="000B7CC2">
              <w:rPr>
                <w:rFonts w:ascii="Times New Roman" w:hAnsi="Times New Roman" w:cs="Times New Roman"/>
                <w:noProof/>
                <w:webHidden/>
                <w:sz w:val="24"/>
                <w:szCs w:val="24"/>
              </w:rPr>
              <w:instrText xml:space="preserve"> PAGEREF _Toc110002929 \h </w:instrText>
            </w:r>
            <w:r w:rsidR="000B7CC2" w:rsidRPr="000B7CC2">
              <w:rPr>
                <w:rFonts w:ascii="Times New Roman" w:hAnsi="Times New Roman" w:cs="Times New Roman"/>
                <w:noProof/>
                <w:webHidden/>
                <w:sz w:val="24"/>
                <w:szCs w:val="24"/>
              </w:rPr>
            </w:r>
            <w:r w:rsidR="000B7CC2" w:rsidRPr="000B7CC2">
              <w:rPr>
                <w:rFonts w:ascii="Times New Roman" w:hAnsi="Times New Roman" w:cs="Times New Roman"/>
                <w:noProof/>
                <w:webHidden/>
                <w:sz w:val="24"/>
                <w:szCs w:val="24"/>
              </w:rPr>
              <w:fldChar w:fldCharType="separate"/>
            </w:r>
            <w:r w:rsidR="000B7CC2" w:rsidRPr="000B7CC2">
              <w:rPr>
                <w:rFonts w:ascii="Times New Roman" w:hAnsi="Times New Roman" w:cs="Times New Roman"/>
                <w:noProof/>
                <w:webHidden/>
                <w:sz w:val="24"/>
                <w:szCs w:val="24"/>
              </w:rPr>
              <w:t>3</w:t>
            </w:r>
            <w:r w:rsidR="000B7CC2" w:rsidRPr="000B7CC2">
              <w:rPr>
                <w:rFonts w:ascii="Times New Roman" w:hAnsi="Times New Roman" w:cs="Times New Roman"/>
                <w:noProof/>
                <w:webHidden/>
                <w:sz w:val="24"/>
                <w:szCs w:val="24"/>
              </w:rPr>
              <w:fldChar w:fldCharType="end"/>
            </w:r>
          </w:hyperlink>
        </w:p>
        <w:p w14:paraId="5AA2FB58" w14:textId="002F22C0" w:rsidR="000B7CC2" w:rsidRPr="000B7CC2" w:rsidRDefault="005354C0">
          <w:pPr>
            <w:pStyle w:val="TOC1"/>
            <w:rPr>
              <w:rFonts w:ascii="Times New Roman" w:eastAsiaTheme="minorEastAsia" w:hAnsi="Times New Roman" w:cs="Times New Roman"/>
              <w:noProof/>
              <w:sz w:val="24"/>
              <w:szCs w:val="24"/>
              <w:lang w:eastAsia="lv-LV"/>
            </w:rPr>
          </w:pPr>
          <w:hyperlink w:anchor="_Toc110002930" w:history="1">
            <w:r w:rsidR="000B7CC2" w:rsidRPr="000B7CC2">
              <w:rPr>
                <w:rStyle w:val="Hyperlink"/>
                <w:rFonts w:ascii="Times New Roman" w:eastAsia="Times New Roman" w:hAnsi="Times New Roman" w:cs="Times New Roman"/>
                <w:noProof/>
                <w:sz w:val="24"/>
                <w:szCs w:val="24"/>
              </w:rPr>
              <w:t>2.</w:t>
            </w:r>
            <w:r w:rsidR="000B7CC2" w:rsidRPr="000B7CC2">
              <w:rPr>
                <w:rFonts w:ascii="Times New Roman" w:eastAsiaTheme="minorEastAsia" w:hAnsi="Times New Roman" w:cs="Times New Roman"/>
                <w:noProof/>
                <w:sz w:val="24"/>
                <w:szCs w:val="24"/>
                <w:lang w:eastAsia="lv-LV"/>
              </w:rPr>
              <w:tab/>
            </w:r>
            <w:r w:rsidR="000B7CC2" w:rsidRPr="000B7CC2">
              <w:rPr>
                <w:rStyle w:val="Hyperlink"/>
                <w:rFonts w:ascii="Times New Roman" w:eastAsia="Times New Roman" w:hAnsi="Times New Roman" w:cs="Times New Roman"/>
                <w:noProof/>
                <w:sz w:val="24"/>
                <w:szCs w:val="24"/>
              </w:rPr>
              <w:t>Investīcijas mērķis un atskaites punkti</w:t>
            </w:r>
            <w:r w:rsidR="000B7CC2" w:rsidRPr="000B7CC2">
              <w:rPr>
                <w:rFonts w:ascii="Times New Roman" w:hAnsi="Times New Roman" w:cs="Times New Roman"/>
                <w:noProof/>
                <w:webHidden/>
                <w:sz w:val="24"/>
                <w:szCs w:val="24"/>
              </w:rPr>
              <w:tab/>
            </w:r>
            <w:r w:rsidR="000B7CC2" w:rsidRPr="000B7CC2">
              <w:rPr>
                <w:rFonts w:ascii="Times New Roman" w:hAnsi="Times New Roman" w:cs="Times New Roman"/>
                <w:noProof/>
                <w:webHidden/>
                <w:sz w:val="24"/>
                <w:szCs w:val="24"/>
              </w:rPr>
              <w:fldChar w:fldCharType="begin"/>
            </w:r>
            <w:r w:rsidR="000B7CC2" w:rsidRPr="000B7CC2">
              <w:rPr>
                <w:rFonts w:ascii="Times New Roman" w:hAnsi="Times New Roman" w:cs="Times New Roman"/>
                <w:noProof/>
                <w:webHidden/>
                <w:sz w:val="24"/>
                <w:szCs w:val="24"/>
              </w:rPr>
              <w:instrText xml:space="preserve"> PAGEREF _Toc110002930 \h </w:instrText>
            </w:r>
            <w:r w:rsidR="000B7CC2" w:rsidRPr="000B7CC2">
              <w:rPr>
                <w:rFonts w:ascii="Times New Roman" w:hAnsi="Times New Roman" w:cs="Times New Roman"/>
                <w:noProof/>
                <w:webHidden/>
                <w:sz w:val="24"/>
                <w:szCs w:val="24"/>
              </w:rPr>
            </w:r>
            <w:r w:rsidR="000B7CC2" w:rsidRPr="000B7CC2">
              <w:rPr>
                <w:rFonts w:ascii="Times New Roman" w:hAnsi="Times New Roman" w:cs="Times New Roman"/>
                <w:noProof/>
                <w:webHidden/>
                <w:sz w:val="24"/>
                <w:szCs w:val="24"/>
              </w:rPr>
              <w:fldChar w:fldCharType="separate"/>
            </w:r>
            <w:r w:rsidR="000B7CC2" w:rsidRPr="000B7CC2">
              <w:rPr>
                <w:rFonts w:ascii="Times New Roman" w:hAnsi="Times New Roman" w:cs="Times New Roman"/>
                <w:noProof/>
                <w:webHidden/>
                <w:sz w:val="24"/>
                <w:szCs w:val="24"/>
              </w:rPr>
              <w:t>4</w:t>
            </w:r>
            <w:r w:rsidR="000B7CC2" w:rsidRPr="000B7CC2">
              <w:rPr>
                <w:rFonts w:ascii="Times New Roman" w:hAnsi="Times New Roman" w:cs="Times New Roman"/>
                <w:noProof/>
                <w:webHidden/>
                <w:sz w:val="24"/>
                <w:szCs w:val="24"/>
              </w:rPr>
              <w:fldChar w:fldCharType="end"/>
            </w:r>
          </w:hyperlink>
        </w:p>
        <w:p w14:paraId="399155CE" w14:textId="79E7FC71" w:rsidR="000B7CC2" w:rsidRPr="000B7CC2" w:rsidRDefault="005354C0">
          <w:pPr>
            <w:pStyle w:val="TOC1"/>
            <w:rPr>
              <w:rFonts w:ascii="Times New Roman" w:eastAsiaTheme="minorEastAsia" w:hAnsi="Times New Roman" w:cs="Times New Roman"/>
              <w:noProof/>
              <w:sz w:val="24"/>
              <w:szCs w:val="24"/>
              <w:lang w:eastAsia="lv-LV"/>
            </w:rPr>
          </w:pPr>
          <w:hyperlink w:anchor="_Toc110002931" w:history="1">
            <w:r w:rsidR="000B7CC2" w:rsidRPr="000B7CC2">
              <w:rPr>
                <w:rStyle w:val="Hyperlink"/>
                <w:rFonts w:ascii="Times New Roman" w:eastAsia="Times New Roman" w:hAnsi="Times New Roman" w:cs="Times New Roman"/>
                <w:noProof/>
                <w:sz w:val="24"/>
                <w:szCs w:val="24"/>
              </w:rPr>
              <w:t>3.</w:t>
            </w:r>
            <w:r w:rsidR="000B7CC2" w:rsidRPr="000B7CC2">
              <w:rPr>
                <w:rFonts w:ascii="Times New Roman" w:eastAsiaTheme="minorEastAsia" w:hAnsi="Times New Roman" w:cs="Times New Roman"/>
                <w:noProof/>
                <w:sz w:val="24"/>
                <w:szCs w:val="24"/>
                <w:lang w:eastAsia="lv-LV"/>
              </w:rPr>
              <w:tab/>
            </w:r>
            <w:r w:rsidR="000B7CC2" w:rsidRPr="000B7CC2">
              <w:rPr>
                <w:rStyle w:val="Hyperlink"/>
                <w:rFonts w:ascii="Times New Roman" w:eastAsia="Times New Roman" w:hAnsi="Times New Roman" w:cs="Times New Roman"/>
                <w:noProof/>
                <w:sz w:val="24"/>
                <w:szCs w:val="24"/>
              </w:rPr>
              <w:t>Rādītāji</w:t>
            </w:r>
            <w:r w:rsidR="000B7CC2" w:rsidRPr="000B7CC2">
              <w:rPr>
                <w:rFonts w:ascii="Times New Roman" w:hAnsi="Times New Roman" w:cs="Times New Roman"/>
                <w:noProof/>
                <w:webHidden/>
                <w:sz w:val="24"/>
                <w:szCs w:val="24"/>
              </w:rPr>
              <w:tab/>
            </w:r>
            <w:r w:rsidR="000B7CC2" w:rsidRPr="000B7CC2">
              <w:rPr>
                <w:rFonts w:ascii="Times New Roman" w:hAnsi="Times New Roman" w:cs="Times New Roman"/>
                <w:noProof/>
                <w:webHidden/>
                <w:sz w:val="24"/>
                <w:szCs w:val="24"/>
              </w:rPr>
              <w:fldChar w:fldCharType="begin"/>
            </w:r>
            <w:r w:rsidR="000B7CC2" w:rsidRPr="000B7CC2">
              <w:rPr>
                <w:rFonts w:ascii="Times New Roman" w:hAnsi="Times New Roman" w:cs="Times New Roman"/>
                <w:noProof/>
                <w:webHidden/>
                <w:sz w:val="24"/>
                <w:szCs w:val="24"/>
              </w:rPr>
              <w:instrText xml:space="preserve"> PAGEREF _Toc110002931 \h </w:instrText>
            </w:r>
            <w:r w:rsidR="000B7CC2" w:rsidRPr="000B7CC2">
              <w:rPr>
                <w:rFonts w:ascii="Times New Roman" w:hAnsi="Times New Roman" w:cs="Times New Roman"/>
                <w:noProof/>
                <w:webHidden/>
                <w:sz w:val="24"/>
                <w:szCs w:val="24"/>
              </w:rPr>
            </w:r>
            <w:r w:rsidR="000B7CC2" w:rsidRPr="000B7CC2">
              <w:rPr>
                <w:rFonts w:ascii="Times New Roman" w:hAnsi="Times New Roman" w:cs="Times New Roman"/>
                <w:noProof/>
                <w:webHidden/>
                <w:sz w:val="24"/>
                <w:szCs w:val="24"/>
              </w:rPr>
              <w:fldChar w:fldCharType="separate"/>
            </w:r>
            <w:r w:rsidR="000B7CC2" w:rsidRPr="000B7CC2">
              <w:rPr>
                <w:rFonts w:ascii="Times New Roman" w:hAnsi="Times New Roman" w:cs="Times New Roman"/>
                <w:noProof/>
                <w:webHidden/>
                <w:sz w:val="24"/>
                <w:szCs w:val="24"/>
              </w:rPr>
              <w:t>5</w:t>
            </w:r>
            <w:r w:rsidR="000B7CC2" w:rsidRPr="000B7CC2">
              <w:rPr>
                <w:rFonts w:ascii="Times New Roman" w:hAnsi="Times New Roman" w:cs="Times New Roman"/>
                <w:noProof/>
                <w:webHidden/>
                <w:sz w:val="24"/>
                <w:szCs w:val="24"/>
              </w:rPr>
              <w:fldChar w:fldCharType="end"/>
            </w:r>
          </w:hyperlink>
        </w:p>
        <w:p w14:paraId="17959CD3" w14:textId="269B27E9" w:rsidR="000B7CC2" w:rsidRPr="000B7CC2" w:rsidRDefault="005354C0">
          <w:pPr>
            <w:pStyle w:val="TOC1"/>
            <w:rPr>
              <w:rFonts w:ascii="Times New Roman" w:eastAsiaTheme="minorEastAsia" w:hAnsi="Times New Roman" w:cs="Times New Roman"/>
              <w:noProof/>
              <w:sz w:val="24"/>
              <w:szCs w:val="24"/>
              <w:lang w:eastAsia="lv-LV"/>
            </w:rPr>
          </w:pPr>
          <w:hyperlink w:anchor="_Toc110002932" w:history="1">
            <w:r w:rsidR="000B7CC2" w:rsidRPr="000B7CC2">
              <w:rPr>
                <w:rStyle w:val="Hyperlink"/>
                <w:rFonts w:ascii="Times New Roman" w:eastAsia="Times New Roman" w:hAnsi="Times New Roman" w:cs="Times New Roman"/>
                <w:noProof/>
                <w:sz w:val="24"/>
                <w:szCs w:val="24"/>
              </w:rPr>
              <w:t>4.</w:t>
            </w:r>
            <w:r w:rsidR="000B7CC2" w:rsidRPr="000B7CC2">
              <w:rPr>
                <w:rFonts w:ascii="Times New Roman" w:eastAsiaTheme="minorEastAsia" w:hAnsi="Times New Roman" w:cs="Times New Roman"/>
                <w:noProof/>
                <w:sz w:val="24"/>
                <w:szCs w:val="24"/>
                <w:lang w:eastAsia="lv-LV"/>
              </w:rPr>
              <w:tab/>
            </w:r>
            <w:r w:rsidR="000B7CC2" w:rsidRPr="000B7CC2">
              <w:rPr>
                <w:rStyle w:val="Hyperlink"/>
                <w:rFonts w:ascii="Times New Roman" w:eastAsia="Times New Roman" w:hAnsi="Times New Roman" w:cs="Times New Roman"/>
                <w:noProof/>
                <w:sz w:val="24"/>
                <w:szCs w:val="24"/>
              </w:rPr>
              <w:t>Finansējums</w:t>
            </w:r>
            <w:r w:rsidR="000B7CC2" w:rsidRPr="000B7CC2">
              <w:rPr>
                <w:rFonts w:ascii="Times New Roman" w:hAnsi="Times New Roman" w:cs="Times New Roman"/>
                <w:noProof/>
                <w:webHidden/>
                <w:sz w:val="24"/>
                <w:szCs w:val="24"/>
              </w:rPr>
              <w:tab/>
            </w:r>
            <w:r w:rsidR="000B7CC2" w:rsidRPr="000B7CC2">
              <w:rPr>
                <w:rFonts w:ascii="Times New Roman" w:hAnsi="Times New Roman" w:cs="Times New Roman"/>
                <w:noProof/>
                <w:webHidden/>
                <w:sz w:val="24"/>
                <w:szCs w:val="24"/>
              </w:rPr>
              <w:fldChar w:fldCharType="begin"/>
            </w:r>
            <w:r w:rsidR="000B7CC2" w:rsidRPr="000B7CC2">
              <w:rPr>
                <w:rFonts w:ascii="Times New Roman" w:hAnsi="Times New Roman" w:cs="Times New Roman"/>
                <w:noProof/>
                <w:webHidden/>
                <w:sz w:val="24"/>
                <w:szCs w:val="24"/>
              </w:rPr>
              <w:instrText xml:space="preserve"> PAGEREF _Toc110002932 \h </w:instrText>
            </w:r>
            <w:r w:rsidR="000B7CC2" w:rsidRPr="000B7CC2">
              <w:rPr>
                <w:rFonts w:ascii="Times New Roman" w:hAnsi="Times New Roman" w:cs="Times New Roman"/>
                <w:noProof/>
                <w:webHidden/>
                <w:sz w:val="24"/>
                <w:szCs w:val="24"/>
              </w:rPr>
            </w:r>
            <w:r w:rsidR="000B7CC2" w:rsidRPr="000B7CC2">
              <w:rPr>
                <w:rFonts w:ascii="Times New Roman" w:hAnsi="Times New Roman" w:cs="Times New Roman"/>
                <w:noProof/>
                <w:webHidden/>
                <w:sz w:val="24"/>
                <w:szCs w:val="24"/>
              </w:rPr>
              <w:fldChar w:fldCharType="separate"/>
            </w:r>
            <w:r w:rsidR="000B7CC2" w:rsidRPr="000B7CC2">
              <w:rPr>
                <w:rFonts w:ascii="Times New Roman" w:hAnsi="Times New Roman" w:cs="Times New Roman"/>
                <w:noProof/>
                <w:webHidden/>
                <w:sz w:val="24"/>
                <w:szCs w:val="24"/>
              </w:rPr>
              <w:t>7</w:t>
            </w:r>
            <w:r w:rsidR="000B7CC2" w:rsidRPr="000B7CC2">
              <w:rPr>
                <w:rFonts w:ascii="Times New Roman" w:hAnsi="Times New Roman" w:cs="Times New Roman"/>
                <w:noProof/>
                <w:webHidden/>
                <w:sz w:val="24"/>
                <w:szCs w:val="24"/>
              </w:rPr>
              <w:fldChar w:fldCharType="end"/>
            </w:r>
          </w:hyperlink>
        </w:p>
        <w:p w14:paraId="61AE0E16" w14:textId="4FEDC325" w:rsidR="000B7CC2" w:rsidRPr="000B7CC2" w:rsidRDefault="005354C0">
          <w:pPr>
            <w:pStyle w:val="TOC1"/>
            <w:rPr>
              <w:rFonts w:ascii="Times New Roman" w:eastAsiaTheme="minorEastAsia" w:hAnsi="Times New Roman" w:cs="Times New Roman"/>
              <w:noProof/>
              <w:sz w:val="24"/>
              <w:szCs w:val="24"/>
              <w:lang w:eastAsia="lv-LV"/>
            </w:rPr>
          </w:pPr>
          <w:hyperlink w:anchor="_Toc110002933" w:history="1">
            <w:r w:rsidR="000B7CC2" w:rsidRPr="000B7CC2">
              <w:rPr>
                <w:rStyle w:val="Hyperlink"/>
                <w:rFonts w:ascii="Times New Roman" w:eastAsia="Times New Roman" w:hAnsi="Times New Roman" w:cs="Times New Roman"/>
                <w:noProof/>
                <w:sz w:val="24"/>
                <w:szCs w:val="24"/>
              </w:rPr>
              <w:t>5.</w:t>
            </w:r>
            <w:r w:rsidR="000B7CC2" w:rsidRPr="000B7CC2">
              <w:rPr>
                <w:rFonts w:ascii="Times New Roman" w:eastAsiaTheme="minorEastAsia" w:hAnsi="Times New Roman" w:cs="Times New Roman"/>
                <w:noProof/>
                <w:sz w:val="24"/>
                <w:szCs w:val="24"/>
                <w:lang w:eastAsia="lv-LV"/>
              </w:rPr>
              <w:tab/>
            </w:r>
            <w:r w:rsidR="000B7CC2" w:rsidRPr="000B7CC2">
              <w:rPr>
                <w:rStyle w:val="Hyperlink"/>
                <w:rFonts w:ascii="Times New Roman" w:eastAsia="Times New Roman" w:hAnsi="Times New Roman" w:cs="Times New Roman"/>
                <w:noProof/>
                <w:sz w:val="24"/>
                <w:szCs w:val="24"/>
              </w:rPr>
              <w:t>Valsts atbalsts</w:t>
            </w:r>
            <w:r w:rsidR="000B7CC2" w:rsidRPr="000B7CC2">
              <w:rPr>
                <w:rFonts w:ascii="Times New Roman" w:hAnsi="Times New Roman" w:cs="Times New Roman"/>
                <w:noProof/>
                <w:webHidden/>
                <w:sz w:val="24"/>
                <w:szCs w:val="24"/>
              </w:rPr>
              <w:tab/>
            </w:r>
            <w:r w:rsidR="000B7CC2" w:rsidRPr="000B7CC2">
              <w:rPr>
                <w:rFonts w:ascii="Times New Roman" w:hAnsi="Times New Roman" w:cs="Times New Roman"/>
                <w:noProof/>
                <w:webHidden/>
                <w:sz w:val="24"/>
                <w:szCs w:val="24"/>
              </w:rPr>
              <w:fldChar w:fldCharType="begin"/>
            </w:r>
            <w:r w:rsidR="000B7CC2" w:rsidRPr="000B7CC2">
              <w:rPr>
                <w:rFonts w:ascii="Times New Roman" w:hAnsi="Times New Roman" w:cs="Times New Roman"/>
                <w:noProof/>
                <w:webHidden/>
                <w:sz w:val="24"/>
                <w:szCs w:val="24"/>
              </w:rPr>
              <w:instrText xml:space="preserve"> PAGEREF _Toc110002933 \h </w:instrText>
            </w:r>
            <w:r w:rsidR="000B7CC2" w:rsidRPr="000B7CC2">
              <w:rPr>
                <w:rFonts w:ascii="Times New Roman" w:hAnsi="Times New Roman" w:cs="Times New Roman"/>
                <w:noProof/>
                <w:webHidden/>
                <w:sz w:val="24"/>
                <w:szCs w:val="24"/>
              </w:rPr>
            </w:r>
            <w:r w:rsidR="000B7CC2" w:rsidRPr="000B7CC2">
              <w:rPr>
                <w:rFonts w:ascii="Times New Roman" w:hAnsi="Times New Roman" w:cs="Times New Roman"/>
                <w:noProof/>
                <w:webHidden/>
                <w:sz w:val="24"/>
                <w:szCs w:val="24"/>
              </w:rPr>
              <w:fldChar w:fldCharType="separate"/>
            </w:r>
            <w:r w:rsidR="000B7CC2" w:rsidRPr="000B7CC2">
              <w:rPr>
                <w:rFonts w:ascii="Times New Roman" w:hAnsi="Times New Roman" w:cs="Times New Roman"/>
                <w:noProof/>
                <w:webHidden/>
                <w:sz w:val="24"/>
                <w:szCs w:val="24"/>
              </w:rPr>
              <w:t>7</w:t>
            </w:r>
            <w:r w:rsidR="000B7CC2" w:rsidRPr="000B7CC2">
              <w:rPr>
                <w:rFonts w:ascii="Times New Roman" w:hAnsi="Times New Roman" w:cs="Times New Roman"/>
                <w:noProof/>
                <w:webHidden/>
                <w:sz w:val="24"/>
                <w:szCs w:val="24"/>
              </w:rPr>
              <w:fldChar w:fldCharType="end"/>
            </w:r>
          </w:hyperlink>
        </w:p>
        <w:p w14:paraId="6D5F4E1C" w14:textId="4486F8E9" w:rsidR="000B7CC2" w:rsidRPr="000B7CC2" w:rsidRDefault="005354C0">
          <w:pPr>
            <w:pStyle w:val="TOC1"/>
            <w:rPr>
              <w:rFonts w:ascii="Times New Roman" w:eastAsiaTheme="minorEastAsia" w:hAnsi="Times New Roman" w:cs="Times New Roman"/>
              <w:noProof/>
              <w:sz w:val="24"/>
              <w:szCs w:val="24"/>
              <w:lang w:eastAsia="lv-LV"/>
            </w:rPr>
          </w:pPr>
          <w:hyperlink w:anchor="_Toc110002934" w:history="1">
            <w:r w:rsidR="000B7CC2" w:rsidRPr="000B7CC2">
              <w:rPr>
                <w:rStyle w:val="Hyperlink"/>
                <w:rFonts w:ascii="Times New Roman" w:eastAsia="Times New Roman" w:hAnsi="Times New Roman" w:cs="Times New Roman"/>
                <w:noProof/>
                <w:sz w:val="24"/>
                <w:szCs w:val="24"/>
              </w:rPr>
              <w:t>6.</w:t>
            </w:r>
            <w:r w:rsidR="000B7CC2" w:rsidRPr="000B7CC2">
              <w:rPr>
                <w:rFonts w:ascii="Times New Roman" w:eastAsiaTheme="minorEastAsia" w:hAnsi="Times New Roman" w:cs="Times New Roman"/>
                <w:noProof/>
                <w:sz w:val="24"/>
                <w:szCs w:val="24"/>
                <w:lang w:eastAsia="lv-LV"/>
              </w:rPr>
              <w:tab/>
            </w:r>
            <w:r w:rsidR="000B7CC2" w:rsidRPr="000B7CC2">
              <w:rPr>
                <w:rStyle w:val="Hyperlink"/>
                <w:rFonts w:ascii="Times New Roman" w:eastAsia="Times New Roman" w:hAnsi="Times New Roman" w:cs="Times New Roman"/>
                <w:noProof/>
                <w:sz w:val="24"/>
                <w:szCs w:val="24"/>
              </w:rPr>
              <w:t>Atbalstāmās darbības un attiecināmās izmaksas</w:t>
            </w:r>
            <w:r w:rsidR="000B7CC2" w:rsidRPr="000B7CC2">
              <w:rPr>
                <w:rFonts w:ascii="Times New Roman" w:hAnsi="Times New Roman" w:cs="Times New Roman"/>
                <w:noProof/>
                <w:webHidden/>
                <w:sz w:val="24"/>
                <w:szCs w:val="24"/>
              </w:rPr>
              <w:tab/>
            </w:r>
            <w:r w:rsidR="000B7CC2" w:rsidRPr="000B7CC2">
              <w:rPr>
                <w:rFonts w:ascii="Times New Roman" w:hAnsi="Times New Roman" w:cs="Times New Roman"/>
                <w:noProof/>
                <w:webHidden/>
                <w:sz w:val="24"/>
                <w:szCs w:val="24"/>
              </w:rPr>
              <w:fldChar w:fldCharType="begin"/>
            </w:r>
            <w:r w:rsidR="000B7CC2" w:rsidRPr="000B7CC2">
              <w:rPr>
                <w:rFonts w:ascii="Times New Roman" w:hAnsi="Times New Roman" w:cs="Times New Roman"/>
                <w:noProof/>
                <w:webHidden/>
                <w:sz w:val="24"/>
                <w:szCs w:val="24"/>
              </w:rPr>
              <w:instrText xml:space="preserve"> PAGEREF _Toc110002934 \h </w:instrText>
            </w:r>
            <w:r w:rsidR="000B7CC2" w:rsidRPr="000B7CC2">
              <w:rPr>
                <w:rFonts w:ascii="Times New Roman" w:hAnsi="Times New Roman" w:cs="Times New Roman"/>
                <w:noProof/>
                <w:webHidden/>
                <w:sz w:val="24"/>
                <w:szCs w:val="24"/>
              </w:rPr>
            </w:r>
            <w:r w:rsidR="000B7CC2" w:rsidRPr="000B7CC2">
              <w:rPr>
                <w:rFonts w:ascii="Times New Roman" w:hAnsi="Times New Roman" w:cs="Times New Roman"/>
                <w:noProof/>
                <w:webHidden/>
                <w:sz w:val="24"/>
                <w:szCs w:val="24"/>
              </w:rPr>
              <w:fldChar w:fldCharType="separate"/>
            </w:r>
            <w:r w:rsidR="000B7CC2" w:rsidRPr="000B7CC2">
              <w:rPr>
                <w:rFonts w:ascii="Times New Roman" w:hAnsi="Times New Roman" w:cs="Times New Roman"/>
                <w:noProof/>
                <w:webHidden/>
                <w:sz w:val="24"/>
                <w:szCs w:val="24"/>
              </w:rPr>
              <w:t>8</w:t>
            </w:r>
            <w:r w:rsidR="000B7CC2" w:rsidRPr="000B7CC2">
              <w:rPr>
                <w:rFonts w:ascii="Times New Roman" w:hAnsi="Times New Roman" w:cs="Times New Roman"/>
                <w:noProof/>
                <w:webHidden/>
                <w:sz w:val="24"/>
                <w:szCs w:val="24"/>
              </w:rPr>
              <w:fldChar w:fldCharType="end"/>
            </w:r>
          </w:hyperlink>
        </w:p>
        <w:p w14:paraId="7C448C7E" w14:textId="4F5E5514" w:rsidR="000B7CC2" w:rsidRPr="000B7CC2" w:rsidRDefault="005354C0">
          <w:pPr>
            <w:pStyle w:val="TOC1"/>
            <w:rPr>
              <w:rFonts w:ascii="Times New Roman" w:eastAsiaTheme="minorEastAsia" w:hAnsi="Times New Roman" w:cs="Times New Roman"/>
              <w:noProof/>
              <w:sz w:val="24"/>
              <w:szCs w:val="24"/>
              <w:lang w:eastAsia="lv-LV"/>
            </w:rPr>
          </w:pPr>
          <w:hyperlink w:anchor="_Toc110002935" w:history="1">
            <w:r w:rsidR="000B7CC2" w:rsidRPr="000B7CC2">
              <w:rPr>
                <w:rStyle w:val="Hyperlink"/>
                <w:rFonts w:ascii="Times New Roman" w:eastAsia="Times New Roman" w:hAnsi="Times New Roman" w:cs="Times New Roman"/>
                <w:noProof/>
                <w:sz w:val="24"/>
                <w:szCs w:val="24"/>
              </w:rPr>
              <w:t>7.</w:t>
            </w:r>
            <w:r w:rsidR="000B7CC2" w:rsidRPr="000B7CC2">
              <w:rPr>
                <w:rFonts w:ascii="Times New Roman" w:eastAsiaTheme="minorEastAsia" w:hAnsi="Times New Roman" w:cs="Times New Roman"/>
                <w:noProof/>
                <w:sz w:val="24"/>
                <w:szCs w:val="24"/>
                <w:lang w:eastAsia="lv-LV"/>
              </w:rPr>
              <w:tab/>
            </w:r>
            <w:r w:rsidR="000B7CC2" w:rsidRPr="000B7CC2">
              <w:rPr>
                <w:rStyle w:val="Hyperlink"/>
                <w:rFonts w:ascii="Times New Roman" w:eastAsia="Times New Roman" w:hAnsi="Times New Roman" w:cs="Times New Roman"/>
                <w:noProof/>
                <w:sz w:val="24"/>
                <w:szCs w:val="24"/>
              </w:rPr>
              <w:t>Investīcijas atskaites punkta īstenošanas nosacījumi un finansējuma saņēmēja pienākumi</w:t>
            </w:r>
            <w:r w:rsidR="000B7CC2" w:rsidRPr="000B7CC2">
              <w:rPr>
                <w:rFonts w:ascii="Times New Roman" w:hAnsi="Times New Roman" w:cs="Times New Roman"/>
                <w:noProof/>
                <w:webHidden/>
                <w:sz w:val="24"/>
                <w:szCs w:val="24"/>
              </w:rPr>
              <w:tab/>
            </w:r>
            <w:r w:rsidR="000B7CC2" w:rsidRPr="000B7CC2">
              <w:rPr>
                <w:rFonts w:ascii="Times New Roman" w:hAnsi="Times New Roman" w:cs="Times New Roman"/>
                <w:noProof/>
                <w:webHidden/>
                <w:sz w:val="24"/>
                <w:szCs w:val="24"/>
              </w:rPr>
              <w:fldChar w:fldCharType="begin"/>
            </w:r>
            <w:r w:rsidR="000B7CC2" w:rsidRPr="000B7CC2">
              <w:rPr>
                <w:rFonts w:ascii="Times New Roman" w:hAnsi="Times New Roman" w:cs="Times New Roman"/>
                <w:noProof/>
                <w:webHidden/>
                <w:sz w:val="24"/>
                <w:szCs w:val="24"/>
              </w:rPr>
              <w:instrText xml:space="preserve"> PAGEREF _Toc110002935 \h </w:instrText>
            </w:r>
            <w:r w:rsidR="000B7CC2" w:rsidRPr="000B7CC2">
              <w:rPr>
                <w:rFonts w:ascii="Times New Roman" w:hAnsi="Times New Roman" w:cs="Times New Roman"/>
                <w:noProof/>
                <w:webHidden/>
                <w:sz w:val="24"/>
                <w:szCs w:val="24"/>
              </w:rPr>
            </w:r>
            <w:r w:rsidR="000B7CC2" w:rsidRPr="000B7CC2">
              <w:rPr>
                <w:rFonts w:ascii="Times New Roman" w:hAnsi="Times New Roman" w:cs="Times New Roman"/>
                <w:noProof/>
                <w:webHidden/>
                <w:sz w:val="24"/>
                <w:szCs w:val="24"/>
              </w:rPr>
              <w:fldChar w:fldCharType="separate"/>
            </w:r>
            <w:r w:rsidR="000B7CC2" w:rsidRPr="000B7CC2">
              <w:rPr>
                <w:rFonts w:ascii="Times New Roman" w:hAnsi="Times New Roman" w:cs="Times New Roman"/>
                <w:noProof/>
                <w:webHidden/>
                <w:sz w:val="24"/>
                <w:szCs w:val="24"/>
              </w:rPr>
              <w:t>9</w:t>
            </w:r>
            <w:r w:rsidR="000B7CC2" w:rsidRPr="000B7CC2">
              <w:rPr>
                <w:rFonts w:ascii="Times New Roman" w:hAnsi="Times New Roman" w:cs="Times New Roman"/>
                <w:noProof/>
                <w:webHidden/>
                <w:sz w:val="24"/>
                <w:szCs w:val="24"/>
              </w:rPr>
              <w:fldChar w:fldCharType="end"/>
            </w:r>
          </w:hyperlink>
        </w:p>
        <w:p w14:paraId="6CCEB595" w14:textId="0925CEB8" w:rsidR="000B7CC2" w:rsidRPr="000B7CC2" w:rsidRDefault="005354C0">
          <w:pPr>
            <w:pStyle w:val="TOC1"/>
            <w:rPr>
              <w:rFonts w:ascii="Times New Roman" w:eastAsiaTheme="minorEastAsia" w:hAnsi="Times New Roman" w:cs="Times New Roman"/>
              <w:noProof/>
              <w:sz w:val="24"/>
              <w:szCs w:val="24"/>
              <w:lang w:eastAsia="lv-LV"/>
            </w:rPr>
          </w:pPr>
          <w:hyperlink w:anchor="_Toc110002936" w:history="1">
            <w:r w:rsidR="000B7CC2" w:rsidRPr="000B7CC2">
              <w:rPr>
                <w:rStyle w:val="Hyperlink"/>
                <w:rFonts w:ascii="Times New Roman" w:eastAsia="Times New Roman" w:hAnsi="Times New Roman" w:cs="Times New Roman"/>
                <w:noProof/>
                <w:sz w:val="24"/>
                <w:szCs w:val="24"/>
              </w:rPr>
              <w:t>8.</w:t>
            </w:r>
            <w:r w:rsidR="000B7CC2" w:rsidRPr="000B7CC2">
              <w:rPr>
                <w:rFonts w:ascii="Times New Roman" w:eastAsiaTheme="minorEastAsia" w:hAnsi="Times New Roman" w:cs="Times New Roman"/>
                <w:noProof/>
                <w:sz w:val="24"/>
                <w:szCs w:val="24"/>
                <w:lang w:eastAsia="lv-LV"/>
              </w:rPr>
              <w:tab/>
            </w:r>
            <w:r w:rsidR="000B7CC2" w:rsidRPr="000B7CC2">
              <w:rPr>
                <w:rStyle w:val="Hyperlink"/>
                <w:rFonts w:ascii="Times New Roman" w:eastAsia="Times New Roman" w:hAnsi="Times New Roman" w:cs="Times New Roman"/>
                <w:noProof/>
                <w:sz w:val="24"/>
                <w:szCs w:val="24"/>
              </w:rPr>
              <w:t>Nozares ministrijas un Centrālās finanšu un līgumu aģentūras pienākumi</w:t>
            </w:r>
            <w:r w:rsidR="000B7CC2" w:rsidRPr="000B7CC2">
              <w:rPr>
                <w:rFonts w:ascii="Times New Roman" w:hAnsi="Times New Roman" w:cs="Times New Roman"/>
                <w:noProof/>
                <w:webHidden/>
                <w:sz w:val="24"/>
                <w:szCs w:val="24"/>
              </w:rPr>
              <w:tab/>
            </w:r>
            <w:r w:rsidR="000B7CC2" w:rsidRPr="000B7CC2">
              <w:rPr>
                <w:rFonts w:ascii="Times New Roman" w:hAnsi="Times New Roman" w:cs="Times New Roman"/>
                <w:noProof/>
                <w:webHidden/>
                <w:sz w:val="24"/>
                <w:szCs w:val="24"/>
              </w:rPr>
              <w:fldChar w:fldCharType="begin"/>
            </w:r>
            <w:r w:rsidR="000B7CC2" w:rsidRPr="000B7CC2">
              <w:rPr>
                <w:rFonts w:ascii="Times New Roman" w:hAnsi="Times New Roman" w:cs="Times New Roman"/>
                <w:noProof/>
                <w:webHidden/>
                <w:sz w:val="24"/>
                <w:szCs w:val="24"/>
              </w:rPr>
              <w:instrText xml:space="preserve"> PAGEREF _Toc110002936 \h </w:instrText>
            </w:r>
            <w:r w:rsidR="000B7CC2" w:rsidRPr="000B7CC2">
              <w:rPr>
                <w:rFonts w:ascii="Times New Roman" w:hAnsi="Times New Roman" w:cs="Times New Roman"/>
                <w:noProof/>
                <w:webHidden/>
                <w:sz w:val="24"/>
                <w:szCs w:val="24"/>
              </w:rPr>
            </w:r>
            <w:r w:rsidR="000B7CC2" w:rsidRPr="000B7CC2">
              <w:rPr>
                <w:rFonts w:ascii="Times New Roman" w:hAnsi="Times New Roman" w:cs="Times New Roman"/>
                <w:noProof/>
                <w:webHidden/>
                <w:sz w:val="24"/>
                <w:szCs w:val="24"/>
              </w:rPr>
              <w:fldChar w:fldCharType="separate"/>
            </w:r>
            <w:r w:rsidR="000B7CC2" w:rsidRPr="000B7CC2">
              <w:rPr>
                <w:rFonts w:ascii="Times New Roman" w:hAnsi="Times New Roman" w:cs="Times New Roman"/>
                <w:noProof/>
                <w:webHidden/>
                <w:sz w:val="24"/>
                <w:szCs w:val="24"/>
              </w:rPr>
              <w:t>13</w:t>
            </w:r>
            <w:r w:rsidR="000B7CC2" w:rsidRPr="000B7CC2">
              <w:rPr>
                <w:rFonts w:ascii="Times New Roman" w:hAnsi="Times New Roman" w:cs="Times New Roman"/>
                <w:noProof/>
                <w:webHidden/>
                <w:sz w:val="24"/>
                <w:szCs w:val="24"/>
              </w:rPr>
              <w:fldChar w:fldCharType="end"/>
            </w:r>
          </w:hyperlink>
        </w:p>
        <w:p w14:paraId="5119000D" w14:textId="01ABD11A" w:rsidR="000B7CC2" w:rsidRPr="000B7CC2" w:rsidRDefault="005354C0">
          <w:pPr>
            <w:pStyle w:val="TOC1"/>
            <w:rPr>
              <w:rFonts w:ascii="Times New Roman" w:eastAsiaTheme="minorEastAsia" w:hAnsi="Times New Roman" w:cs="Times New Roman"/>
              <w:noProof/>
              <w:sz w:val="24"/>
              <w:szCs w:val="24"/>
              <w:lang w:eastAsia="lv-LV"/>
            </w:rPr>
          </w:pPr>
          <w:hyperlink w:anchor="_Toc110002937" w:history="1">
            <w:r w:rsidR="000B7CC2" w:rsidRPr="000B7CC2">
              <w:rPr>
                <w:rStyle w:val="Hyperlink"/>
                <w:rFonts w:ascii="Times New Roman" w:eastAsia="Times New Roman" w:hAnsi="Times New Roman" w:cs="Times New Roman"/>
                <w:noProof/>
                <w:sz w:val="24"/>
                <w:szCs w:val="24"/>
              </w:rPr>
              <w:t>9.</w:t>
            </w:r>
            <w:r w:rsidR="000B7CC2" w:rsidRPr="000B7CC2">
              <w:rPr>
                <w:rFonts w:ascii="Times New Roman" w:eastAsiaTheme="minorEastAsia" w:hAnsi="Times New Roman" w:cs="Times New Roman"/>
                <w:noProof/>
                <w:sz w:val="24"/>
                <w:szCs w:val="24"/>
                <w:lang w:eastAsia="lv-LV"/>
              </w:rPr>
              <w:tab/>
            </w:r>
            <w:r w:rsidR="000B7CC2" w:rsidRPr="000B7CC2">
              <w:rPr>
                <w:rStyle w:val="Hyperlink"/>
                <w:rFonts w:ascii="Times New Roman" w:eastAsia="Times New Roman" w:hAnsi="Times New Roman" w:cs="Times New Roman"/>
                <w:noProof/>
                <w:sz w:val="24"/>
                <w:szCs w:val="24"/>
              </w:rPr>
              <w:t>Ietekme uz valsts budžetu</w:t>
            </w:r>
            <w:r w:rsidR="000B7CC2" w:rsidRPr="000B7CC2">
              <w:rPr>
                <w:rFonts w:ascii="Times New Roman" w:hAnsi="Times New Roman" w:cs="Times New Roman"/>
                <w:noProof/>
                <w:webHidden/>
                <w:sz w:val="24"/>
                <w:szCs w:val="24"/>
              </w:rPr>
              <w:tab/>
            </w:r>
            <w:r w:rsidR="000B7CC2" w:rsidRPr="000B7CC2">
              <w:rPr>
                <w:rFonts w:ascii="Times New Roman" w:hAnsi="Times New Roman" w:cs="Times New Roman"/>
                <w:noProof/>
                <w:webHidden/>
                <w:sz w:val="24"/>
                <w:szCs w:val="24"/>
              </w:rPr>
              <w:fldChar w:fldCharType="begin"/>
            </w:r>
            <w:r w:rsidR="000B7CC2" w:rsidRPr="000B7CC2">
              <w:rPr>
                <w:rFonts w:ascii="Times New Roman" w:hAnsi="Times New Roman" w:cs="Times New Roman"/>
                <w:noProof/>
                <w:webHidden/>
                <w:sz w:val="24"/>
                <w:szCs w:val="24"/>
              </w:rPr>
              <w:instrText xml:space="preserve"> PAGEREF _Toc110002937 \h </w:instrText>
            </w:r>
            <w:r w:rsidR="000B7CC2" w:rsidRPr="000B7CC2">
              <w:rPr>
                <w:rFonts w:ascii="Times New Roman" w:hAnsi="Times New Roman" w:cs="Times New Roman"/>
                <w:noProof/>
                <w:webHidden/>
                <w:sz w:val="24"/>
                <w:szCs w:val="24"/>
              </w:rPr>
            </w:r>
            <w:r w:rsidR="000B7CC2" w:rsidRPr="000B7CC2">
              <w:rPr>
                <w:rFonts w:ascii="Times New Roman" w:hAnsi="Times New Roman" w:cs="Times New Roman"/>
                <w:noProof/>
                <w:webHidden/>
                <w:sz w:val="24"/>
                <w:szCs w:val="24"/>
              </w:rPr>
              <w:fldChar w:fldCharType="separate"/>
            </w:r>
            <w:r w:rsidR="000B7CC2" w:rsidRPr="000B7CC2">
              <w:rPr>
                <w:rFonts w:ascii="Times New Roman" w:hAnsi="Times New Roman" w:cs="Times New Roman"/>
                <w:noProof/>
                <w:webHidden/>
                <w:sz w:val="24"/>
                <w:szCs w:val="24"/>
              </w:rPr>
              <w:t>14</w:t>
            </w:r>
            <w:r w:rsidR="000B7CC2" w:rsidRPr="000B7CC2">
              <w:rPr>
                <w:rFonts w:ascii="Times New Roman" w:hAnsi="Times New Roman" w:cs="Times New Roman"/>
                <w:noProof/>
                <w:webHidden/>
                <w:sz w:val="24"/>
                <w:szCs w:val="24"/>
              </w:rPr>
              <w:fldChar w:fldCharType="end"/>
            </w:r>
          </w:hyperlink>
        </w:p>
        <w:p w14:paraId="4723D45B" w14:textId="4DDD8CDB" w:rsidR="000B7CC2" w:rsidRPr="000B7CC2" w:rsidRDefault="005354C0">
          <w:pPr>
            <w:pStyle w:val="TOC1"/>
            <w:rPr>
              <w:rFonts w:ascii="Times New Roman" w:eastAsiaTheme="minorEastAsia" w:hAnsi="Times New Roman" w:cs="Times New Roman"/>
              <w:noProof/>
              <w:sz w:val="24"/>
              <w:szCs w:val="24"/>
              <w:lang w:eastAsia="lv-LV"/>
            </w:rPr>
          </w:pPr>
          <w:hyperlink w:anchor="_Toc110002938" w:history="1">
            <w:r w:rsidR="000B7CC2" w:rsidRPr="000B7CC2">
              <w:rPr>
                <w:rStyle w:val="Hyperlink"/>
                <w:rFonts w:ascii="Times New Roman" w:eastAsia="Times New Roman" w:hAnsi="Times New Roman" w:cs="Times New Roman"/>
                <w:noProof/>
                <w:sz w:val="24"/>
                <w:szCs w:val="24"/>
              </w:rPr>
              <w:t>10.</w:t>
            </w:r>
            <w:r w:rsidR="000B7CC2" w:rsidRPr="000B7CC2">
              <w:rPr>
                <w:rFonts w:ascii="Times New Roman" w:eastAsiaTheme="minorEastAsia" w:hAnsi="Times New Roman" w:cs="Times New Roman"/>
                <w:noProof/>
                <w:sz w:val="24"/>
                <w:szCs w:val="24"/>
                <w:lang w:eastAsia="lv-LV"/>
              </w:rPr>
              <w:tab/>
            </w:r>
            <w:r w:rsidR="000B7CC2" w:rsidRPr="000B7CC2">
              <w:rPr>
                <w:rStyle w:val="Hyperlink"/>
                <w:rFonts w:ascii="Times New Roman" w:eastAsia="Times New Roman" w:hAnsi="Times New Roman" w:cs="Times New Roman"/>
                <w:noProof/>
                <w:sz w:val="24"/>
                <w:szCs w:val="24"/>
              </w:rPr>
              <w:t>Citi nosacījumi</w:t>
            </w:r>
            <w:r w:rsidR="000B7CC2" w:rsidRPr="000B7CC2">
              <w:rPr>
                <w:rFonts w:ascii="Times New Roman" w:hAnsi="Times New Roman" w:cs="Times New Roman"/>
                <w:noProof/>
                <w:webHidden/>
                <w:sz w:val="24"/>
                <w:szCs w:val="24"/>
              </w:rPr>
              <w:tab/>
            </w:r>
            <w:r w:rsidR="000B7CC2" w:rsidRPr="000B7CC2">
              <w:rPr>
                <w:rFonts w:ascii="Times New Roman" w:hAnsi="Times New Roman" w:cs="Times New Roman"/>
                <w:noProof/>
                <w:webHidden/>
                <w:sz w:val="24"/>
                <w:szCs w:val="24"/>
              </w:rPr>
              <w:fldChar w:fldCharType="begin"/>
            </w:r>
            <w:r w:rsidR="000B7CC2" w:rsidRPr="000B7CC2">
              <w:rPr>
                <w:rFonts w:ascii="Times New Roman" w:hAnsi="Times New Roman" w:cs="Times New Roman"/>
                <w:noProof/>
                <w:webHidden/>
                <w:sz w:val="24"/>
                <w:szCs w:val="24"/>
              </w:rPr>
              <w:instrText xml:space="preserve"> PAGEREF _Toc110002938 \h </w:instrText>
            </w:r>
            <w:r w:rsidR="000B7CC2" w:rsidRPr="000B7CC2">
              <w:rPr>
                <w:rFonts w:ascii="Times New Roman" w:hAnsi="Times New Roman" w:cs="Times New Roman"/>
                <w:noProof/>
                <w:webHidden/>
                <w:sz w:val="24"/>
                <w:szCs w:val="24"/>
              </w:rPr>
            </w:r>
            <w:r w:rsidR="000B7CC2" w:rsidRPr="000B7CC2">
              <w:rPr>
                <w:rFonts w:ascii="Times New Roman" w:hAnsi="Times New Roman" w:cs="Times New Roman"/>
                <w:noProof/>
                <w:webHidden/>
                <w:sz w:val="24"/>
                <w:szCs w:val="24"/>
              </w:rPr>
              <w:fldChar w:fldCharType="separate"/>
            </w:r>
            <w:r w:rsidR="000B7CC2" w:rsidRPr="000B7CC2">
              <w:rPr>
                <w:rFonts w:ascii="Times New Roman" w:hAnsi="Times New Roman" w:cs="Times New Roman"/>
                <w:noProof/>
                <w:webHidden/>
                <w:sz w:val="24"/>
                <w:szCs w:val="24"/>
              </w:rPr>
              <w:t>14</w:t>
            </w:r>
            <w:r w:rsidR="000B7CC2" w:rsidRPr="000B7CC2">
              <w:rPr>
                <w:rFonts w:ascii="Times New Roman" w:hAnsi="Times New Roman" w:cs="Times New Roman"/>
                <w:noProof/>
                <w:webHidden/>
                <w:sz w:val="24"/>
                <w:szCs w:val="24"/>
              </w:rPr>
              <w:fldChar w:fldCharType="end"/>
            </w:r>
          </w:hyperlink>
        </w:p>
        <w:p w14:paraId="38C3E389" w14:textId="44967489" w:rsidR="0055505F" w:rsidRPr="00163CFD" w:rsidRDefault="0055505F" w:rsidP="00255595">
          <w:pPr>
            <w:tabs>
              <w:tab w:val="left" w:pos="1500"/>
            </w:tabs>
            <w:spacing w:before="120" w:after="0" w:line="240" w:lineRule="auto"/>
            <w:rPr>
              <w:rFonts w:ascii="Times New Roman" w:hAnsi="Times New Roman" w:cs="Times New Roman"/>
              <w:sz w:val="24"/>
              <w:szCs w:val="24"/>
            </w:rPr>
          </w:pPr>
          <w:r w:rsidRPr="000B7CC2">
            <w:rPr>
              <w:rFonts w:ascii="Times New Roman" w:hAnsi="Times New Roman" w:cs="Times New Roman"/>
              <w:sz w:val="24"/>
              <w:szCs w:val="24"/>
            </w:rPr>
            <w:fldChar w:fldCharType="end"/>
          </w:r>
          <w:r w:rsidR="00A456E1" w:rsidRPr="000B7CC2">
            <w:rPr>
              <w:rFonts w:ascii="Times New Roman" w:hAnsi="Times New Roman" w:cs="Times New Roman"/>
              <w:sz w:val="24"/>
              <w:szCs w:val="24"/>
            </w:rPr>
            <w:tab/>
          </w:r>
        </w:p>
      </w:sdtContent>
    </w:sdt>
    <w:p w14:paraId="0D3B0656" w14:textId="074D529E" w:rsidR="001D7C2D" w:rsidRPr="00163CFD" w:rsidRDefault="001D7C2D" w:rsidP="00255595">
      <w:pPr>
        <w:spacing w:before="120" w:after="0" w:line="240" w:lineRule="auto"/>
        <w:rPr>
          <w:rFonts w:ascii="Times New Roman" w:hAnsi="Times New Roman" w:cs="Times New Roman"/>
          <w:sz w:val="24"/>
          <w:szCs w:val="24"/>
        </w:rPr>
      </w:pPr>
    </w:p>
    <w:p w14:paraId="40E77FB5" w14:textId="3EA0755B" w:rsidR="0055505F" w:rsidRPr="00163CFD" w:rsidRDefault="0055505F" w:rsidP="00255595">
      <w:pPr>
        <w:spacing w:before="120" w:after="0" w:line="240" w:lineRule="auto"/>
        <w:rPr>
          <w:rFonts w:ascii="Times New Roman" w:hAnsi="Times New Roman" w:cs="Times New Roman"/>
          <w:sz w:val="24"/>
          <w:szCs w:val="24"/>
        </w:rPr>
      </w:pPr>
      <w:r w:rsidRPr="00163CFD">
        <w:rPr>
          <w:rFonts w:ascii="Times New Roman" w:hAnsi="Times New Roman" w:cs="Times New Roman"/>
          <w:sz w:val="24"/>
          <w:szCs w:val="24"/>
        </w:rPr>
        <w:br w:type="page"/>
      </w:r>
    </w:p>
    <w:p w14:paraId="7DD9F2C5" w14:textId="0280EA6D" w:rsidR="002B38B7" w:rsidRPr="00163CFD" w:rsidRDefault="001D7C2D" w:rsidP="00981FC4">
      <w:pPr>
        <w:pStyle w:val="Heading1"/>
        <w:numPr>
          <w:ilvl w:val="0"/>
          <w:numId w:val="1"/>
        </w:numPr>
        <w:spacing w:before="120" w:line="240" w:lineRule="auto"/>
        <w:ind w:hanging="720"/>
        <w:rPr>
          <w:rFonts w:eastAsia="Times New Roman" w:cs="Times New Roman"/>
          <w:b/>
          <w:bCs/>
          <w:sz w:val="24"/>
          <w:szCs w:val="24"/>
        </w:rPr>
      </w:pPr>
      <w:bookmarkStart w:id="1" w:name="_Toc110002929"/>
      <w:r w:rsidRPr="00163CFD">
        <w:rPr>
          <w:rFonts w:eastAsia="Times New Roman" w:cs="Times New Roman"/>
          <w:b/>
          <w:bCs/>
          <w:sz w:val="24"/>
          <w:szCs w:val="24"/>
        </w:rPr>
        <w:lastRenderedPageBreak/>
        <w:t>I</w:t>
      </w:r>
      <w:r w:rsidR="00612522" w:rsidRPr="00163CFD">
        <w:rPr>
          <w:rFonts w:eastAsia="Times New Roman" w:cs="Times New Roman"/>
          <w:b/>
          <w:bCs/>
          <w:sz w:val="24"/>
          <w:szCs w:val="24"/>
        </w:rPr>
        <w:t>evads</w:t>
      </w:r>
      <w:bookmarkEnd w:id="1"/>
    </w:p>
    <w:p w14:paraId="32858A12" w14:textId="7B834B02" w:rsidR="008B44DB" w:rsidRPr="00673231" w:rsidRDefault="00465D40" w:rsidP="00981FC4">
      <w:pPr>
        <w:pStyle w:val="ListParagraph"/>
        <w:numPr>
          <w:ilvl w:val="1"/>
          <w:numId w:val="1"/>
        </w:numPr>
        <w:spacing w:before="120" w:after="0" w:line="240" w:lineRule="auto"/>
        <w:ind w:left="720" w:hanging="720"/>
        <w:contextualSpacing w:val="0"/>
        <w:jc w:val="both"/>
        <w:rPr>
          <w:rFonts w:ascii="Times New Roman" w:hAnsi="Times New Roman" w:cs="Times New Roman"/>
          <w:sz w:val="24"/>
          <w:szCs w:val="24"/>
        </w:rPr>
      </w:pPr>
      <w:r w:rsidRPr="00673231">
        <w:rPr>
          <w:rFonts w:ascii="Times New Roman" w:hAnsi="Times New Roman" w:cs="Times New Roman"/>
          <w:sz w:val="24"/>
          <w:szCs w:val="24"/>
        </w:rPr>
        <w:t xml:space="preserve">Informatīvais ziņojums </w:t>
      </w:r>
      <w:r w:rsidR="00842CFA" w:rsidRPr="00163CFD">
        <w:rPr>
          <w:rFonts w:ascii="Times New Roman" w:hAnsi="Times New Roman" w:cs="Times New Roman"/>
          <w:sz w:val="24"/>
          <w:szCs w:val="24"/>
        </w:rPr>
        <w:t>“Par Eiropas Savienības Atveseļošanas un noturības mehānisma plāna 4.komponentes “Veselība” 4.1. reformu un investīciju virziena “Kvalitatīvu un izmaksu efektīvu integrētu veselības aprūpes pakalpojumu pieejamība un veselības aprūpes sistēmas gatavība pakalpojumu nodrošināšanai epidemioloģiskajās krīzēs” 4.1.</w:t>
      </w:r>
      <w:r w:rsidR="00842CFA">
        <w:rPr>
          <w:rFonts w:ascii="Times New Roman" w:hAnsi="Times New Roman" w:cs="Times New Roman"/>
          <w:sz w:val="24"/>
          <w:szCs w:val="24"/>
        </w:rPr>
        <w:t>1.1.i. investīcijas “Atbalsts sabiedrības veselības pētījumu veikšanai</w:t>
      </w:r>
      <w:r w:rsidR="00842CFA" w:rsidRPr="00163CFD">
        <w:rPr>
          <w:rFonts w:ascii="Times New Roman" w:hAnsi="Times New Roman" w:cs="Times New Roman"/>
          <w:sz w:val="24"/>
          <w:szCs w:val="24"/>
        </w:rPr>
        <w:t>” īstenošanu”</w:t>
      </w:r>
      <w:r w:rsidR="00842CFA" w:rsidRPr="00673231">
        <w:rPr>
          <w:rFonts w:ascii="Times New Roman" w:hAnsi="Times New Roman" w:cs="Times New Roman"/>
          <w:sz w:val="24"/>
          <w:szCs w:val="24"/>
        </w:rPr>
        <w:t xml:space="preserve"> </w:t>
      </w:r>
      <w:r w:rsidR="006C0609" w:rsidRPr="00673231">
        <w:rPr>
          <w:rFonts w:ascii="Times New Roman" w:hAnsi="Times New Roman" w:cs="Times New Roman"/>
          <w:sz w:val="24"/>
          <w:szCs w:val="24"/>
        </w:rPr>
        <w:t xml:space="preserve">(turpmāk - ziņojums) </w:t>
      </w:r>
      <w:r w:rsidRPr="00673231">
        <w:rPr>
          <w:rFonts w:ascii="Times New Roman" w:hAnsi="Times New Roman" w:cs="Times New Roman"/>
          <w:sz w:val="24"/>
          <w:szCs w:val="24"/>
        </w:rPr>
        <w:t xml:space="preserve">ir izstrādāts saskaņā ar 2021. gada 27. aprīlī (prot. Nr. 36 27. §) Ministru kabinetā (turpmāk – MK) apstiprināto Latvijas Atveseļošanas un noturības mehānisma (turpmāk – </w:t>
      </w:r>
      <w:r w:rsidR="00633872" w:rsidRPr="00673231">
        <w:rPr>
          <w:rFonts w:ascii="Times New Roman" w:hAnsi="Times New Roman" w:cs="Times New Roman"/>
          <w:sz w:val="24"/>
          <w:szCs w:val="24"/>
        </w:rPr>
        <w:t>Atveseļošanas fonds</w:t>
      </w:r>
      <w:r w:rsidRPr="00673231">
        <w:rPr>
          <w:rFonts w:ascii="Times New Roman" w:hAnsi="Times New Roman" w:cs="Times New Roman"/>
          <w:sz w:val="24"/>
          <w:szCs w:val="24"/>
        </w:rPr>
        <w:t>)</w:t>
      </w:r>
      <w:r w:rsidRPr="00673231">
        <w:rPr>
          <w:rStyle w:val="FootnoteReference"/>
          <w:rFonts w:ascii="Times New Roman" w:hAnsi="Times New Roman" w:cs="Times New Roman"/>
          <w:sz w:val="24"/>
          <w:szCs w:val="24"/>
        </w:rPr>
        <w:footnoteReference w:id="2"/>
      </w:r>
      <w:r w:rsidRPr="00673231">
        <w:rPr>
          <w:rFonts w:ascii="Times New Roman" w:hAnsi="Times New Roman" w:cs="Times New Roman"/>
          <w:sz w:val="24"/>
          <w:szCs w:val="24"/>
        </w:rPr>
        <w:t xml:space="preserve"> </w:t>
      </w:r>
      <w:r w:rsidR="00633872" w:rsidRPr="00673231">
        <w:rPr>
          <w:rFonts w:ascii="Times New Roman" w:hAnsi="Times New Roman" w:cs="Times New Roman"/>
          <w:sz w:val="24"/>
          <w:szCs w:val="24"/>
        </w:rPr>
        <w:t xml:space="preserve">plānu </w:t>
      </w:r>
      <w:r w:rsidRPr="00673231">
        <w:rPr>
          <w:rFonts w:ascii="Times New Roman" w:hAnsi="Times New Roman" w:cs="Times New Roman"/>
          <w:sz w:val="24"/>
          <w:szCs w:val="24"/>
        </w:rPr>
        <w:t xml:space="preserve">un Ministru kabineta </w:t>
      </w:r>
      <w:r w:rsidR="00EA39A7" w:rsidRPr="00673231">
        <w:rPr>
          <w:rFonts w:ascii="Times New Roman" w:hAnsi="Times New Roman" w:cs="Times New Roman"/>
          <w:sz w:val="24"/>
          <w:szCs w:val="24"/>
        </w:rPr>
        <w:t xml:space="preserve">2021. gada 7. septembra </w:t>
      </w:r>
      <w:r w:rsidRPr="00673231">
        <w:rPr>
          <w:rFonts w:ascii="Times New Roman" w:hAnsi="Times New Roman" w:cs="Times New Roman"/>
          <w:sz w:val="24"/>
          <w:szCs w:val="24"/>
        </w:rPr>
        <w:t xml:space="preserve">noteikumiem Nr. 621 </w:t>
      </w:r>
      <w:hyperlink r:id="rId8" w:history="1">
        <w:r w:rsidRPr="00673231">
          <w:rPr>
            <w:rStyle w:val="Hyperlink"/>
            <w:rFonts w:ascii="Times New Roman" w:hAnsi="Times New Roman" w:cs="Times New Roman"/>
            <w:color w:val="auto"/>
            <w:sz w:val="24"/>
            <w:szCs w:val="24"/>
            <w:u w:val="none"/>
          </w:rPr>
          <w:t>"Eiropas Savienības Atveseļošanas un noturības mehānisma plāna īstenošanas un uzraudzības kārtība"</w:t>
        </w:r>
      </w:hyperlink>
      <w:r w:rsidRPr="00673231">
        <w:rPr>
          <w:rFonts w:ascii="Times New Roman" w:hAnsi="Times New Roman" w:cs="Times New Roman"/>
          <w:sz w:val="24"/>
          <w:szCs w:val="24"/>
        </w:rPr>
        <w:t xml:space="preserve"> (turpmāk – MK noteikumi Nr.</w:t>
      </w:r>
      <w:r w:rsidR="00C223A2">
        <w:rPr>
          <w:rFonts w:ascii="Times New Roman" w:hAnsi="Times New Roman" w:cs="Times New Roman"/>
          <w:sz w:val="24"/>
          <w:szCs w:val="24"/>
        </w:rPr>
        <w:t> </w:t>
      </w:r>
      <w:r w:rsidRPr="00673231">
        <w:rPr>
          <w:rFonts w:ascii="Times New Roman" w:hAnsi="Times New Roman" w:cs="Times New Roman"/>
          <w:sz w:val="24"/>
          <w:szCs w:val="24"/>
        </w:rPr>
        <w:t xml:space="preserve">621). </w:t>
      </w:r>
    </w:p>
    <w:p w14:paraId="2214468C" w14:textId="2336B927" w:rsidR="008B44DB" w:rsidRPr="00673231" w:rsidRDefault="00465D40" w:rsidP="00981FC4">
      <w:pPr>
        <w:pStyle w:val="ListParagraph"/>
        <w:numPr>
          <w:ilvl w:val="1"/>
          <w:numId w:val="1"/>
        </w:numPr>
        <w:spacing w:before="120" w:after="0" w:line="240" w:lineRule="auto"/>
        <w:ind w:left="720" w:hanging="720"/>
        <w:contextualSpacing w:val="0"/>
        <w:jc w:val="both"/>
        <w:rPr>
          <w:rFonts w:ascii="Times New Roman" w:hAnsi="Times New Roman" w:cs="Times New Roman"/>
          <w:sz w:val="24"/>
          <w:szCs w:val="24"/>
        </w:rPr>
      </w:pPr>
      <w:r w:rsidRPr="00673231">
        <w:rPr>
          <w:rFonts w:ascii="Times New Roman" w:hAnsi="Times New Roman" w:cs="Times New Roman"/>
          <w:sz w:val="24"/>
          <w:szCs w:val="24"/>
        </w:rPr>
        <w:t>Ziņojumu pamato Likuma par budžeta un finanšu vadību 19.</w:t>
      </w:r>
      <w:r w:rsidRPr="00673231">
        <w:rPr>
          <w:rFonts w:ascii="Times New Roman" w:hAnsi="Times New Roman" w:cs="Times New Roman"/>
          <w:sz w:val="24"/>
          <w:szCs w:val="24"/>
          <w:vertAlign w:val="superscript"/>
        </w:rPr>
        <w:t>3</w:t>
      </w:r>
      <w:r w:rsidRPr="00673231">
        <w:rPr>
          <w:rFonts w:ascii="Times New Roman" w:hAnsi="Times New Roman" w:cs="Times New Roman"/>
          <w:sz w:val="24"/>
          <w:szCs w:val="24"/>
        </w:rPr>
        <w:t xml:space="preserve"> panta </w:t>
      </w:r>
      <w:r w:rsidR="0041634B" w:rsidRPr="00673231">
        <w:rPr>
          <w:rFonts w:ascii="Times New Roman" w:hAnsi="Times New Roman" w:cs="Times New Roman"/>
          <w:sz w:val="24"/>
          <w:szCs w:val="24"/>
        </w:rPr>
        <w:t xml:space="preserve">pirmā un </w:t>
      </w:r>
      <w:r w:rsidRPr="00673231">
        <w:rPr>
          <w:rFonts w:ascii="Times New Roman" w:hAnsi="Times New Roman" w:cs="Times New Roman"/>
          <w:sz w:val="24"/>
          <w:szCs w:val="24"/>
        </w:rPr>
        <w:t xml:space="preserve">otrā daļa un </w:t>
      </w:r>
      <w:r w:rsidR="00CD5D7A" w:rsidRPr="00673231">
        <w:rPr>
          <w:rFonts w:ascii="Times New Roman" w:hAnsi="Times New Roman" w:cs="Times New Roman"/>
          <w:sz w:val="24"/>
          <w:szCs w:val="24"/>
        </w:rPr>
        <w:t>2021. gada 12. februār</w:t>
      </w:r>
      <w:r w:rsidR="00CD5D7A">
        <w:rPr>
          <w:rFonts w:ascii="Times New Roman" w:hAnsi="Times New Roman" w:cs="Times New Roman"/>
          <w:sz w:val="24"/>
          <w:szCs w:val="24"/>
        </w:rPr>
        <w:t>a</w:t>
      </w:r>
      <w:r w:rsidR="00CD5D7A" w:rsidRPr="00673231">
        <w:rPr>
          <w:rFonts w:ascii="Times New Roman" w:hAnsi="Times New Roman" w:cs="Times New Roman"/>
          <w:sz w:val="24"/>
          <w:szCs w:val="24"/>
        </w:rPr>
        <w:t xml:space="preserve"> </w:t>
      </w:r>
      <w:r w:rsidR="00166138">
        <w:rPr>
          <w:rFonts w:ascii="Times New Roman" w:hAnsi="Times New Roman" w:cs="Times New Roman"/>
          <w:sz w:val="24"/>
          <w:szCs w:val="24"/>
        </w:rPr>
        <w:t xml:space="preserve">Eiropas Parlamenta un Padomes Regula </w:t>
      </w:r>
      <w:r w:rsidRPr="00673231">
        <w:rPr>
          <w:rFonts w:ascii="Times New Roman" w:hAnsi="Times New Roman" w:cs="Times New Roman"/>
          <w:sz w:val="24"/>
          <w:szCs w:val="24"/>
        </w:rPr>
        <w:t>(ES) 2021/241, ar ko izveido Atveseļošanas un noturības mehānismu</w:t>
      </w:r>
      <w:r w:rsidR="005B0946">
        <w:rPr>
          <w:rFonts w:ascii="Times New Roman" w:hAnsi="Times New Roman" w:cs="Times New Roman"/>
          <w:sz w:val="24"/>
          <w:szCs w:val="24"/>
        </w:rPr>
        <w:t xml:space="preserve"> (turpmāk – regula Nr. 2021/241)</w:t>
      </w:r>
      <w:r w:rsidRPr="00673231">
        <w:rPr>
          <w:rFonts w:ascii="Times New Roman" w:hAnsi="Times New Roman" w:cs="Times New Roman"/>
          <w:sz w:val="24"/>
          <w:szCs w:val="24"/>
        </w:rPr>
        <w:t>.</w:t>
      </w:r>
    </w:p>
    <w:p w14:paraId="1F662B1D" w14:textId="1DAC645F" w:rsidR="007E18CA" w:rsidRPr="00673231" w:rsidRDefault="00781C6B" w:rsidP="00981FC4">
      <w:pPr>
        <w:pStyle w:val="ListParagraph"/>
        <w:numPr>
          <w:ilvl w:val="1"/>
          <w:numId w:val="1"/>
        </w:numPr>
        <w:spacing w:before="120" w:after="0" w:line="240" w:lineRule="auto"/>
        <w:ind w:left="720" w:hanging="720"/>
        <w:contextualSpacing w:val="0"/>
        <w:jc w:val="both"/>
        <w:rPr>
          <w:rFonts w:ascii="Times New Roman" w:hAnsi="Times New Roman" w:cs="Times New Roman"/>
          <w:sz w:val="24"/>
          <w:szCs w:val="24"/>
        </w:rPr>
      </w:pPr>
      <w:r w:rsidRPr="00673231">
        <w:rPr>
          <w:rFonts w:ascii="Times New Roman" w:hAnsi="Times New Roman" w:cs="Times New Roman"/>
          <w:sz w:val="24"/>
          <w:szCs w:val="24"/>
        </w:rPr>
        <w:t>Ziņojums izstrādāts, lai noteiktu kārtību, kādā tiek īstenot</w:t>
      </w:r>
      <w:r w:rsidR="00FE3C58">
        <w:rPr>
          <w:rFonts w:ascii="Times New Roman" w:hAnsi="Times New Roman" w:cs="Times New Roman"/>
          <w:sz w:val="24"/>
          <w:szCs w:val="24"/>
        </w:rPr>
        <w:t>a</w:t>
      </w:r>
      <w:r w:rsidR="00ED2F2C" w:rsidRPr="00673231">
        <w:rPr>
          <w:rFonts w:ascii="Times New Roman" w:hAnsi="Times New Roman" w:cs="Times New Roman"/>
          <w:sz w:val="24"/>
          <w:szCs w:val="24"/>
        </w:rPr>
        <w:t xml:space="preserve"> </w:t>
      </w:r>
      <w:r w:rsidR="00633872" w:rsidRPr="00673231">
        <w:rPr>
          <w:rFonts w:ascii="Times New Roman" w:hAnsi="Times New Roman" w:cs="Times New Roman"/>
          <w:sz w:val="24"/>
          <w:szCs w:val="24"/>
        </w:rPr>
        <w:t xml:space="preserve">Atveseļošanas fonda </w:t>
      </w:r>
      <w:r w:rsidR="00ED2F2C" w:rsidRPr="00673231">
        <w:rPr>
          <w:rFonts w:ascii="Times New Roman" w:hAnsi="Times New Roman" w:cs="Times New Roman"/>
          <w:sz w:val="24"/>
          <w:szCs w:val="24"/>
        </w:rPr>
        <w:t xml:space="preserve">plānā iekļautā </w:t>
      </w:r>
      <w:r w:rsidR="00F73505" w:rsidRPr="00673231">
        <w:rPr>
          <w:rFonts w:ascii="Times New Roman" w:hAnsi="Times New Roman" w:cs="Times New Roman"/>
          <w:sz w:val="24"/>
          <w:szCs w:val="24"/>
        </w:rPr>
        <w:t>4.1.1.1.i. investīcija “Atbalsts sabiedrības veselības pētījumu veikšanai</w:t>
      </w:r>
      <w:r w:rsidR="00ED2F2C" w:rsidRPr="00673231">
        <w:rPr>
          <w:rFonts w:ascii="Times New Roman" w:hAnsi="Times New Roman" w:cs="Times New Roman"/>
          <w:sz w:val="24"/>
          <w:szCs w:val="24"/>
        </w:rPr>
        <w:t xml:space="preserve">” (turpmāk  - </w:t>
      </w:r>
      <w:r w:rsidR="00F73505" w:rsidRPr="00673231">
        <w:rPr>
          <w:rFonts w:ascii="Times New Roman" w:hAnsi="Times New Roman" w:cs="Times New Roman"/>
          <w:sz w:val="24"/>
          <w:szCs w:val="24"/>
        </w:rPr>
        <w:t>investīcija</w:t>
      </w:r>
      <w:r w:rsidR="00ED2F2C" w:rsidRPr="00673231">
        <w:rPr>
          <w:rFonts w:ascii="Times New Roman" w:hAnsi="Times New Roman" w:cs="Times New Roman"/>
          <w:sz w:val="24"/>
          <w:szCs w:val="24"/>
        </w:rPr>
        <w:t xml:space="preserve">) </w:t>
      </w:r>
      <w:r w:rsidR="00C9614B">
        <w:rPr>
          <w:rFonts w:ascii="Times New Roman" w:hAnsi="Times New Roman" w:cs="Times New Roman"/>
          <w:sz w:val="24"/>
          <w:szCs w:val="24"/>
        </w:rPr>
        <w:t xml:space="preserve">un </w:t>
      </w:r>
      <w:r w:rsidR="00510BCE">
        <w:rPr>
          <w:rFonts w:ascii="Times New Roman" w:hAnsi="Times New Roman" w:cs="Times New Roman"/>
          <w:sz w:val="24"/>
          <w:szCs w:val="24"/>
        </w:rPr>
        <w:t xml:space="preserve">tās </w:t>
      </w:r>
      <w:r w:rsidR="00ED2F2C" w:rsidRPr="00673231">
        <w:rPr>
          <w:rFonts w:ascii="Times New Roman" w:hAnsi="Times New Roman" w:cs="Times New Roman"/>
          <w:sz w:val="24"/>
          <w:szCs w:val="24"/>
        </w:rPr>
        <w:t>atskaites punkt</w:t>
      </w:r>
      <w:r w:rsidR="00B77DFF">
        <w:rPr>
          <w:rFonts w:ascii="Times New Roman" w:hAnsi="Times New Roman" w:cs="Times New Roman"/>
          <w:sz w:val="24"/>
          <w:szCs w:val="24"/>
        </w:rPr>
        <w:t>i</w:t>
      </w:r>
      <w:r w:rsidR="00ED2F2C" w:rsidRPr="00673231">
        <w:rPr>
          <w:rFonts w:ascii="Times New Roman" w:hAnsi="Times New Roman" w:cs="Times New Roman"/>
          <w:sz w:val="24"/>
          <w:szCs w:val="24"/>
        </w:rPr>
        <w:t xml:space="preserve"> </w:t>
      </w:r>
      <w:r w:rsidR="00B77DFF">
        <w:rPr>
          <w:rFonts w:ascii="Times New Roman" w:hAnsi="Times New Roman" w:cs="Times New Roman"/>
          <w:sz w:val="24"/>
          <w:szCs w:val="24"/>
        </w:rPr>
        <w:t xml:space="preserve">– atskaites punkts </w:t>
      </w:r>
      <w:r w:rsidR="00494995" w:rsidRPr="00673231">
        <w:rPr>
          <w:rFonts w:ascii="Times New Roman" w:hAnsi="Times New Roman" w:cs="Times New Roman"/>
          <w:sz w:val="24"/>
          <w:szCs w:val="24"/>
        </w:rPr>
        <w:t xml:space="preserve">“Metodikas </w:t>
      </w:r>
      <w:r w:rsidR="00030778" w:rsidRPr="00673231">
        <w:rPr>
          <w:rFonts w:ascii="Times New Roman" w:hAnsi="Times New Roman" w:cs="Times New Roman"/>
          <w:sz w:val="24"/>
          <w:szCs w:val="24"/>
        </w:rPr>
        <w:t xml:space="preserve">pieņemšana trīs pētījumiem ar mērķi uzlabot sabiedrības veselības </w:t>
      </w:r>
      <w:r w:rsidR="00007C38" w:rsidRPr="00673231">
        <w:rPr>
          <w:rFonts w:ascii="Times New Roman" w:hAnsi="Times New Roman" w:cs="Times New Roman"/>
          <w:sz w:val="24"/>
          <w:szCs w:val="24"/>
        </w:rPr>
        <w:t>politikas plānošanu un īstenošanu mikroorganismu rezistences</w:t>
      </w:r>
      <w:r w:rsidR="00DB7282" w:rsidRPr="00673231">
        <w:rPr>
          <w:rFonts w:ascii="Times New Roman" w:hAnsi="Times New Roman" w:cs="Times New Roman"/>
          <w:sz w:val="24"/>
          <w:szCs w:val="24"/>
        </w:rPr>
        <w:t>, vakcinācijas un infekciju slimību jomā</w:t>
      </w:r>
      <w:r w:rsidR="008B302F">
        <w:rPr>
          <w:rFonts w:ascii="Times New Roman" w:hAnsi="Times New Roman" w:cs="Times New Roman"/>
          <w:sz w:val="24"/>
          <w:szCs w:val="24"/>
        </w:rPr>
        <w:t>”</w:t>
      </w:r>
      <w:r w:rsidR="00451548" w:rsidRPr="00673231">
        <w:rPr>
          <w:rFonts w:ascii="Times New Roman" w:hAnsi="Times New Roman" w:cs="Times New Roman"/>
          <w:sz w:val="24"/>
          <w:szCs w:val="24"/>
        </w:rPr>
        <w:t>,</w:t>
      </w:r>
      <w:r w:rsidR="00B77DFF">
        <w:rPr>
          <w:rFonts w:ascii="Times New Roman" w:hAnsi="Times New Roman" w:cs="Times New Roman"/>
          <w:sz w:val="24"/>
          <w:szCs w:val="24"/>
        </w:rPr>
        <w:t xml:space="preserve"> </w:t>
      </w:r>
      <w:r w:rsidR="00451548" w:rsidRPr="00673231">
        <w:rPr>
          <w:rFonts w:ascii="Times New Roman" w:hAnsi="Times New Roman" w:cs="Times New Roman"/>
          <w:sz w:val="24"/>
          <w:szCs w:val="24"/>
        </w:rPr>
        <w:t>“Sabiedrības veselības pēt</w:t>
      </w:r>
      <w:r w:rsidR="00920ADF" w:rsidRPr="00673231">
        <w:rPr>
          <w:rFonts w:ascii="Times New Roman" w:hAnsi="Times New Roman" w:cs="Times New Roman"/>
          <w:sz w:val="24"/>
          <w:szCs w:val="24"/>
        </w:rPr>
        <w:t>niecība</w:t>
      </w:r>
      <w:r w:rsidR="00A82462" w:rsidRPr="00673231">
        <w:rPr>
          <w:rFonts w:ascii="Times New Roman" w:hAnsi="Times New Roman" w:cs="Times New Roman"/>
          <w:sz w:val="24"/>
          <w:szCs w:val="24"/>
        </w:rPr>
        <w:t>, kas veikta</w:t>
      </w:r>
      <w:r w:rsidR="00CF034F">
        <w:rPr>
          <w:rFonts w:ascii="Times New Roman" w:hAnsi="Times New Roman" w:cs="Times New Roman"/>
          <w:sz w:val="24"/>
          <w:szCs w:val="24"/>
        </w:rPr>
        <w:t>,</w:t>
      </w:r>
      <w:r w:rsidR="00A82462" w:rsidRPr="00673231">
        <w:rPr>
          <w:rFonts w:ascii="Times New Roman" w:hAnsi="Times New Roman" w:cs="Times New Roman"/>
          <w:sz w:val="24"/>
          <w:szCs w:val="24"/>
        </w:rPr>
        <w:t xml:space="preserve"> </w:t>
      </w:r>
      <w:r w:rsidR="00B23618" w:rsidRPr="00673231">
        <w:rPr>
          <w:rFonts w:ascii="Times New Roman" w:hAnsi="Times New Roman" w:cs="Times New Roman"/>
          <w:sz w:val="24"/>
          <w:szCs w:val="24"/>
        </w:rPr>
        <w:t>lai uzlabot</w:t>
      </w:r>
      <w:r w:rsidR="00CF034F">
        <w:rPr>
          <w:rFonts w:ascii="Times New Roman" w:hAnsi="Times New Roman" w:cs="Times New Roman"/>
          <w:sz w:val="24"/>
          <w:szCs w:val="24"/>
        </w:rPr>
        <w:t>u</w:t>
      </w:r>
      <w:r w:rsidR="00B23618" w:rsidRPr="00673231">
        <w:rPr>
          <w:rFonts w:ascii="Times New Roman" w:hAnsi="Times New Roman" w:cs="Times New Roman"/>
          <w:sz w:val="24"/>
          <w:szCs w:val="24"/>
        </w:rPr>
        <w:t xml:space="preserve"> sabiedrības veselības politikas plānošanu un īstenošanu</w:t>
      </w:r>
      <w:r w:rsidR="00750B1B" w:rsidRPr="00673231">
        <w:rPr>
          <w:rFonts w:ascii="Times New Roman" w:hAnsi="Times New Roman" w:cs="Times New Roman"/>
          <w:sz w:val="24"/>
          <w:szCs w:val="24"/>
        </w:rPr>
        <w:t xml:space="preserve"> mikroorganismu rezistences, vakcinācijas </w:t>
      </w:r>
      <w:r w:rsidR="00546ACC" w:rsidRPr="00673231">
        <w:rPr>
          <w:rFonts w:ascii="Times New Roman" w:hAnsi="Times New Roman" w:cs="Times New Roman"/>
          <w:sz w:val="24"/>
          <w:szCs w:val="24"/>
        </w:rPr>
        <w:t>un infekcijas slimību jomā</w:t>
      </w:r>
      <w:r w:rsidR="00865AC4">
        <w:rPr>
          <w:rFonts w:ascii="Times New Roman" w:hAnsi="Times New Roman" w:cs="Times New Roman"/>
          <w:sz w:val="24"/>
          <w:szCs w:val="24"/>
        </w:rPr>
        <w:t>”</w:t>
      </w:r>
      <w:r w:rsidR="00546ACC" w:rsidRPr="00673231">
        <w:rPr>
          <w:rFonts w:ascii="Times New Roman" w:hAnsi="Times New Roman" w:cs="Times New Roman"/>
          <w:sz w:val="24"/>
          <w:szCs w:val="24"/>
        </w:rPr>
        <w:t xml:space="preserve"> un atskaites punk</w:t>
      </w:r>
      <w:r w:rsidR="00422F9E" w:rsidRPr="00673231">
        <w:rPr>
          <w:rFonts w:ascii="Times New Roman" w:hAnsi="Times New Roman" w:cs="Times New Roman"/>
          <w:sz w:val="24"/>
          <w:szCs w:val="24"/>
        </w:rPr>
        <w:t>ts “Tiesību aktu</w:t>
      </w:r>
      <w:r w:rsidR="0040166F" w:rsidRPr="00673231">
        <w:rPr>
          <w:rFonts w:ascii="Times New Roman" w:hAnsi="Times New Roman" w:cs="Times New Roman"/>
          <w:sz w:val="24"/>
          <w:szCs w:val="24"/>
        </w:rPr>
        <w:t xml:space="preserve"> grozījumu stāšanās spēkā, kuru mērķis ir uzlabot sabiedrības veselības</w:t>
      </w:r>
      <w:r w:rsidR="00F14014" w:rsidRPr="00673231">
        <w:rPr>
          <w:rFonts w:ascii="Times New Roman" w:hAnsi="Times New Roman" w:cs="Times New Roman"/>
          <w:sz w:val="24"/>
          <w:szCs w:val="24"/>
        </w:rPr>
        <w:t xml:space="preserve"> politikas plānošanu un īstenošanu tādās jomās kā mikroorganismu </w:t>
      </w:r>
      <w:r w:rsidR="009C3D93" w:rsidRPr="00673231">
        <w:rPr>
          <w:rFonts w:ascii="Times New Roman" w:hAnsi="Times New Roman" w:cs="Times New Roman"/>
          <w:sz w:val="24"/>
          <w:szCs w:val="24"/>
        </w:rPr>
        <w:t>rezistence (AMR), vakcinācija un infekcijas slimības</w:t>
      </w:r>
      <w:r w:rsidR="00865AC4">
        <w:rPr>
          <w:rFonts w:ascii="Times New Roman" w:hAnsi="Times New Roman" w:cs="Times New Roman"/>
          <w:sz w:val="24"/>
          <w:szCs w:val="24"/>
        </w:rPr>
        <w:t>”</w:t>
      </w:r>
      <w:r w:rsidR="00546ACC" w:rsidRPr="00673231">
        <w:rPr>
          <w:rFonts w:ascii="Times New Roman" w:hAnsi="Times New Roman" w:cs="Times New Roman"/>
          <w:sz w:val="24"/>
          <w:szCs w:val="24"/>
        </w:rPr>
        <w:t xml:space="preserve"> </w:t>
      </w:r>
      <w:r w:rsidR="00ED2F2C" w:rsidRPr="00673231">
        <w:rPr>
          <w:rFonts w:ascii="Times New Roman" w:hAnsi="Times New Roman" w:cs="Times New Roman"/>
          <w:sz w:val="24"/>
          <w:szCs w:val="24"/>
        </w:rPr>
        <w:t>(turpmāk – atskaites punkt</w:t>
      </w:r>
      <w:r w:rsidR="00451548" w:rsidRPr="00673231">
        <w:rPr>
          <w:rFonts w:ascii="Times New Roman" w:hAnsi="Times New Roman" w:cs="Times New Roman"/>
          <w:sz w:val="24"/>
          <w:szCs w:val="24"/>
        </w:rPr>
        <w:t>i</w:t>
      </w:r>
      <w:r w:rsidR="00ED2F2C" w:rsidRPr="00673231">
        <w:rPr>
          <w:rFonts w:ascii="Times New Roman" w:hAnsi="Times New Roman" w:cs="Times New Roman"/>
          <w:sz w:val="24"/>
          <w:szCs w:val="24"/>
        </w:rPr>
        <w:t>)</w:t>
      </w:r>
      <w:r w:rsidR="0041634B" w:rsidRPr="00673231">
        <w:rPr>
          <w:rFonts w:ascii="Times New Roman" w:hAnsi="Times New Roman" w:cs="Times New Roman"/>
          <w:sz w:val="24"/>
          <w:szCs w:val="24"/>
        </w:rPr>
        <w:t>.</w:t>
      </w:r>
      <w:r w:rsidR="00ED2F2C" w:rsidRPr="00673231">
        <w:rPr>
          <w:rFonts w:ascii="Times New Roman" w:hAnsi="Times New Roman" w:cs="Times New Roman"/>
          <w:sz w:val="24"/>
          <w:szCs w:val="24"/>
        </w:rPr>
        <w:t xml:space="preserve"> </w:t>
      </w:r>
    </w:p>
    <w:p w14:paraId="67F1BD92" w14:textId="261B7CBB" w:rsidR="007E18CA" w:rsidRPr="00673231" w:rsidRDefault="00017D21" w:rsidP="00981FC4">
      <w:pPr>
        <w:pStyle w:val="ListParagraph"/>
        <w:numPr>
          <w:ilvl w:val="1"/>
          <w:numId w:val="1"/>
        </w:numPr>
        <w:spacing w:before="120" w:after="0" w:line="240" w:lineRule="auto"/>
        <w:ind w:left="720" w:hanging="720"/>
        <w:contextualSpacing w:val="0"/>
        <w:jc w:val="both"/>
        <w:rPr>
          <w:rFonts w:ascii="Times New Roman" w:hAnsi="Times New Roman" w:cs="Times New Roman"/>
          <w:sz w:val="24"/>
          <w:szCs w:val="24"/>
        </w:rPr>
      </w:pPr>
      <w:r>
        <w:rPr>
          <w:rFonts w:ascii="Times New Roman" w:hAnsi="Times New Roman" w:cs="Times New Roman"/>
          <w:sz w:val="24"/>
          <w:szCs w:val="24"/>
        </w:rPr>
        <w:t>Investīcijas a</w:t>
      </w:r>
      <w:r w:rsidR="007E18CA" w:rsidRPr="00673231">
        <w:rPr>
          <w:rFonts w:ascii="Times New Roman" w:hAnsi="Times New Roman" w:cs="Times New Roman"/>
          <w:sz w:val="24"/>
          <w:szCs w:val="24"/>
        </w:rPr>
        <w:t>tskaites punkt</w:t>
      </w:r>
      <w:r w:rsidR="00D84757" w:rsidRPr="00673231">
        <w:rPr>
          <w:rFonts w:ascii="Times New Roman" w:hAnsi="Times New Roman" w:cs="Times New Roman"/>
          <w:sz w:val="24"/>
          <w:szCs w:val="24"/>
        </w:rPr>
        <w:t>u</w:t>
      </w:r>
      <w:r w:rsidR="007E18CA" w:rsidRPr="00673231">
        <w:rPr>
          <w:rFonts w:ascii="Times New Roman" w:hAnsi="Times New Roman" w:cs="Times New Roman"/>
          <w:sz w:val="24"/>
          <w:szCs w:val="24"/>
        </w:rPr>
        <w:t xml:space="preserve"> p</w:t>
      </w:r>
      <w:r w:rsidR="008828D8" w:rsidRPr="00673231">
        <w:rPr>
          <w:rFonts w:ascii="Times New Roman" w:hAnsi="Times New Roman" w:cs="Times New Roman"/>
          <w:sz w:val="24"/>
          <w:szCs w:val="24"/>
        </w:rPr>
        <w:t>rojekt</w:t>
      </w:r>
      <w:r w:rsidR="0010094D">
        <w:rPr>
          <w:rFonts w:ascii="Times New Roman" w:hAnsi="Times New Roman" w:cs="Times New Roman"/>
          <w:sz w:val="24"/>
          <w:szCs w:val="24"/>
        </w:rPr>
        <w:t>i</w:t>
      </w:r>
      <w:r w:rsidR="008828D8" w:rsidRPr="00673231">
        <w:rPr>
          <w:rFonts w:ascii="Times New Roman" w:hAnsi="Times New Roman" w:cs="Times New Roman"/>
          <w:sz w:val="24"/>
          <w:szCs w:val="24"/>
        </w:rPr>
        <w:t xml:space="preserve"> un finansējuma saņēmēj</w:t>
      </w:r>
      <w:r w:rsidR="00D37573">
        <w:rPr>
          <w:rFonts w:ascii="Times New Roman" w:hAnsi="Times New Roman" w:cs="Times New Roman"/>
          <w:sz w:val="24"/>
          <w:szCs w:val="24"/>
        </w:rPr>
        <w:t>s</w:t>
      </w:r>
      <w:r w:rsidR="008828D8" w:rsidRPr="00673231">
        <w:rPr>
          <w:rFonts w:ascii="Times New Roman" w:hAnsi="Times New Roman" w:cs="Times New Roman"/>
          <w:sz w:val="24"/>
          <w:szCs w:val="24"/>
        </w:rPr>
        <w:t xml:space="preserve"> noteikts </w:t>
      </w:r>
      <w:r w:rsidR="00633872" w:rsidRPr="00673231">
        <w:rPr>
          <w:rFonts w:ascii="Times New Roman" w:hAnsi="Times New Roman" w:cs="Times New Roman"/>
          <w:sz w:val="24"/>
          <w:szCs w:val="24"/>
        </w:rPr>
        <w:t>Atveseļošanas fonda</w:t>
      </w:r>
      <w:r w:rsidR="008828D8" w:rsidRPr="00673231">
        <w:rPr>
          <w:rFonts w:ascii="Times New Roman" w:hAnsi="Times New Roman" w:cs="Times New Roman"/>
          <w:sz w:val="24"/>
          <w:szCs w:val="24"/>
        </w:rPr>
        <w:t xml:space="preserve"> plānā, attiecīgi nav paredzēta projektu iesniegumu atlase</w:t>
      </w:r>
      <w:r w:rsidR="007E18CA" w:rsidRPr="00673231">
        <w:rPr>
          <w:rFonts w:ascii="Times New Roman" w:hAnsi="Times New Roman" w:cs="Times New Roman"/>
          <w:sz w:val="24"/>
          <w:szCs w:val="24"/>
        </w:rPr>
        <w:t>.</w:t>
      </w:r>
    </w:p>
    <w:p w14:paraId="34658FB8" w14:textId="77777777" w:rsidR="0073515D" w:rsidRDefault="00C97292" w:rsidP="0073515D">
      <w:pPr>
        <w:pStyle w:val="ListParagraph"/>
        <w:numPr>
          <w:ilvl w:val="1"/>
          <w:numId w:val="1"/>
        </w:numPr>
        <w:spacing w:before="120" w:after="0" w:line="240" w:lineRule="auto"/>
        <w:ind w:left="720" w:hanging="720"/>
        <w:contextualSpacing w:val="0"/>
        <w:jc w:val="both"/>
        <w:rPr>
          <w:rFonts w:ascii="Times New Roman" w:hAnsi="Times New Roman" w:cs="Times New Roman"/>
          <w:sz w:val="24"/>
          <w:szCs w:val="24"/>
        </w:rPr>
      </w:pPr>
      <w:r>
        <w:rPr>
          <w:rFonts w:ascii="Times New Roman" w:hAnsi="Times New Roman" w:cs="Times New Roman"/>
          <w:sz w:val="24"/>
          <w:szCs w:val="24"/>
        </w:rPr>
        <w:t>Investīcijas</w:t>
      </w:r>
      <w:r w:rsidR="0014143E" w:rsidRPr="00673231">
        <w:rPr>
          <w:rFonts w:ascii="Times New Roman" w:hAnsi="Times New Roman" w:cs="Times New Roman"/>
          <w:sz w:val="24"/>
          <w:szCs w:val="24"/>
        </w:rPr>
        <w:t xml:space="preserve"> </w:t>
      </w:r>
      <w:r w:rsidR="00487EED">
        <w:rPr>
          <w:rFonts w:ascii="Times New Roman" w:hAnsi="Times New Roman" w:cs="Times New Roman"/>
          <w:sz w:val="24"/>
          <w:szCs w:val="24"/>
        </w:rPr>
        <w:t>īstenošanas rezultātā veikto</w:t>
      </w:r>
      <w:r w:rsidR="0014143E" w:rsidRPr="00673231">
        <w:rPr>
          <w:rFonts w:ascii="Times New Roman" w:hAnsi="Times New Roman" w:cs="Times New Roman"/>
          <w:sz w:val="24"/>
          <w:szCs w:val="24"/>
        </w:rPr>
        <w:t xml:space="preserve"> </w:t>
      </w:r>
      <w:r w:rsidR="00BE194F">
        <w:rPr>
          <w:rFonts w:ascii="Times New Roman" w:hAnsi="Times New Roman" w:cs="Times New Roman"/>
          <w:sz w:val="24"/>
          <w:szCs w:val="24"/>
        </w:rPr>
        <w:t xml:space="preserve">pētījumu un </w:t>
      </w:r>
      <w:r w:rsidR="00F6446D" w:rsidRPr="00673231">
        <w:rPr>
          <w:rFonts w:ascii="Times New Roman" w:hAnsi="Times New Roman" w:cs="Times New Roman"/>
          <w:sz w:val="24"/>
          <w:szCs w:val="24"/>
        </w:rPr>
        <w:t>izvērtējumu mērķis ir uzlabot sabiedrības veselības politikas plānošanu un īstenošanu, t</w:t>
      </w:r>
      <w:r w:rsidR="00487EED">
        <w:rPr>
          <w:rFonts w:ascii="Times New Roman" w:hAnsi="Times New Roman" w:cs="Times New Roman"/>
          <w:sz w:val="24"/>
          <w:szCs w:val="24"/>
        </w:rPr>
        <w:t>a</w:t>
      </w:r>
      <w:r w:rsidR="003915BC">
        <w:rPr>
          <w:rFonts w:ascii="Times New Roman" w:hAnsi="Times New Roman" w:cs="Times New Roman"/>
          <w:sz w:val="24"/>
          <w:szCs w:val="24"/>
        </w:rPr>
        <w:t>jā</w:t>
      </w:r>
      <w:r w:rsidR="00487EED">
        <w:rPr>
          <w:rFonts w:ascii="Times New Roman" w:hAnsi="Times New Roman" w:cs="Times New Roman"/>
          <w:sz w:val="24"/>
          <w:szCs w:val="24"/>
        </w:rPr>
        <w:t xml:space="preserve"> skaitā</w:t>
      </w:r>
      <w:r w:rsidR="00F6446D" w:rsidRPr="00673231">
        <w:rPr>
          <w:rFonts w:ascii="Times New Roman" w:hAnsi="Times New Roman" w:cs="Times New Roman"/>
          <w:sz w:val="24"/>
          <w:szCs w:val="24"/>
        </w:rPr>
        <w:t xml:space="preserve"> kontekstā ar nepieciešamību nodrošināt epidemioloģisko drošību, attīstot uz pacientu vērstus ilgtspējīgus integrētus veselības aprūpes pakalpojumus. Pētījum</w:t>
      </w:r>
      <w:r w:rsidR="008B302F">
        <w:rPr>
          <w:rFonts w:ascii="Times New Roman" w:hAnsi="Times New Roman" w:cs="Times New Roman"/>
          <w:sz w:val="24"/>
          <w:szCs w:val="24"/>
        </w:rPr>
        <w:t>u</w:t>
      </w:r>
      <w:r w:rsidR="00F6446D" w:rsidRPr="00673231">
        <w:rPr>
          <w:rFonts w:ascii="Times New Roman" w:hAnsi="Times New Roman" w:cs="Times New Roman"/>
          <w:sz w:val="24"/>
          <w:szCs w:val="24"/>
        </w:rPr>
        <w:t xml:space="preserve"> rezultāti tiks izmantoti sabiedrības veselības politikas pilnveidošanai.</w:t>
      </w:r>
    </w:p>
    <w:p w14:paraId="71AA63F0" w14:textId="0661E7F6" w:rsidR="00441BD7" w:rsidRPr="00673231" w:rsidRDefault="00441BD7" w:rsidP="00981FC4">
      <w:pPr>
        <w:pStyle w:val="ListParagraph"/>
        <w:numPr>
          <w:ilvl w:val="1"/>
          <w:numId w:val="1"/>
        </w:numPr>
        <w:spacing w:before="120" w:after="0" w:line="240" w:lineRule="auto"/>
        <w:ind w:left="720" w:hanging="720"/>
        <w:contextualSpacing w:val="0"/>
        <w:jc w:val="both"/>
        <w:rPr>
          <w:rFonts w:ascii="Times New Roman" w:hAnsi="Times New Roman" w:cs="Times New Roman"/>
          <w:sz w:val="24"/>
          <w:szCs w:val="24"/>
        </w:rPr>
      </w:pPr>
      <w:r w:rsidRPr="00441BD7">
        <w:rPr>
          <w:rFonts w:ascii="Times New Roman" w:hAnsi="Times New Roman" w:cs="Times New Roman"/>
          <w:sz w:val="24"/>
          <w:szCs w:val="24"/>
        </w:rPr>
        <w:t>Antibakteriālo līdzekļu pārtēriņš ārstniecības iestādēs Latvijā ir pakāpeniski samazinājies vairākas reizes kopš 2002.</w:t>
      </w:r>
      <w:r w:rsidR="0019005B">
        <w:rPr>
          <w:rFonts w:ascii="Times New Roman" w:hAnsi="Times New Roman" w:cs="Times New Roman"/>
          <w:sz w:val="24"/>
          <w:szCs w:val="24"/>
        </w:rPr>
        <w:t> </w:t>
      </w:r>
      <w:r w:rsidRPr="00441BD7">
        <w:rPr>
          <w:rFonts w:ascii="Times New Roman" w:hAnsi="Times New Roman" w:cs="Times New Roman"/>
          <w:sz w:val="24"/>
          <w:szCs w:val="24"/>
        </w:rPr>
        <w:t>gada, kad rādītājs bija 6,2 dienas definētās devas (DDD), un 2018. gadā sasniedzis 1,88 DDD, kas vienlaikus ir arī vēsturiski zemākais rādītājs un ietver minimālas izmaiņas kopš 2012.</w:t>
      </w:r>
      <w:r w:rsidR="0019005B">
        <w:rPr>
          <w:rFonts w:ascii="Times New Roman" w:hAnsi="Times New Roman" w:cs="Times New Roman"/>
          <w:sz w:val="24"/>
          <w:szCs w:val="24"/>
        </w:rPr>
        <w:t> </w:t>
      </w:r>
      <w:r w:rsidRPr="00441BD7">
        <w:rPr>
          <w:rFonts w:ascii="Times New Roman" w:hAnsi="Times New Roman" w:cs="Times New Roman"/>
          <w:sz w:val="24"/>
          <w:szCs w:val="24"/>
        </w:rPr>
        <w:t>gada. Tomēr rādītājs Latvijai par 2018.</w:t>
      </w:r>
      <w:r w:rsidR="0019005B">
        <w:rPr>
          <w:rFonts w:ascii="Times New Roman" w:hAnsi="Times New Roman" w:cs="Times New Roman"/>
          <w:sz w:val="24"/>
          <w:szCs w:val="24"/>
        </w:rPr>
        <w:t> </w:t>
      </w:r>
      <w:r w:rsidRPr="00441BD7">
        <w:rPr>
          <w:rFonts w:ascii="Times New Roman" w:hAnsi="Times New Roman" w:cs="Times New Roman"/>
          <w:sz w:val="24"/>
          <w:szCs w:val="24"/>
        </w:rPr>
        <w:t xml:space="preserve">gadu ir nedaudz augstāks nekā vidējais EEZ (kas ir 1,79 DDD). Tāpat būtisks izaicinājums ir nepietiekama sabiedrības izpratne par </w:t>
      </w:r>
      <w:proofErr w:type="spellStart"/>
      <w:r w:rsidRPr="00441BD7">
        <w:rPr>
          <w:rFonts w:ascii="Times New Roman" w:hAnsi="Times New Roman" w:cs="Times New Roman"/>
          <w:sz w:val="24"/>
          <w:szCs w:val="24"/>
        </w:rPr>
        <w:t>antimikrobiālās</w:t>
      </w:r>
      <w:proofErr w:type="spellEnd"/>
      <w:r w:rsidRPr="00441BD7">
        <w:rPr>
          <w:rFonts w:ascii="Times New Roman" w:hAnsi="Times New Roman" w:cs="Times New Roman"/>
          <w:sz w:val="24"/>
          <w:szCs w:val="24"/>
        </w:rPr>
        <w:t xml:space="preserve"> rezistences problēmām, kā arī neatbilstoši antibiotiku lietošanas paradumi ārstniecības iestādēs, kas veicina </w:t>
      </w:r>
      <w:proofErr w:type="spellStart"/>
      <w:r w:rsidRPr="00441BD7">
        <w:rPr>
          <w:rFonts w:ascii="Times New Roman" w:hAnsi="Times New Roman" w:cs="Times New Roman"/>
          <w:sz w:val="24"/>
          <w:szCs w:val="24"/>
        </w:rPr>
        <w:lastRenderedPageBreak/>
        <w:t>antimikrobiālās</w:t>
      </w:r>
      <w:proofErr w:type="spellEnd"/>
      <w:r w:rsidRPr="00441BD7">
        <w:rPr>
          <w:rFonts w:ascii="Times New Roman" w:hAnsi="Times New Roman" w:cs="Times New Roman"/>
          <w:sz w:val="24"/>
          <w:szCs w:val="24"/>
        </w:rPr>
        <w:t xml:space="preserve"> rezistences izplatību Latvijā</w:t>
      </w:r>
      <w:r w:rsidR="00856384">
        <w:rPr>
          <w:rStyle w:val="FootnoteReference"/>
          <w:rFonts w:ascii="Times New Roman" w:hAnsi="Times New Roman" w:cs="Times New Roman"/>
          <w:sz w:val="24"/>
          <w:szCs w:val="24"/>
        </w:rPr>
        <w:footnoteReference w:id="3"/>
      </w:r>
      <w:r w:rsidRPr="00441BD7">
        <w:rPr>
          <w:rFonts w:ascii="Times New Roman" w:hAnsi="Times New Roman" w:cs="Times New Roman"/>
          <w:sz w:val="24"/>
          <w:szCs w:val="24"/>
        </w:rPr>
        <w:t>. Līdz ar to nepieciešami pasākumi situācijas izvērtēšanai, lai uzlabotu situāciju un lemtu par attiecīgiem pasākumiem, kuru īstenošana plānota, izmantojot E</w:t>
      </w:r>
      <w:r w:rsidR="00F3784F">
        <w:rPr>
          <w:rFonts w:ascii="Times New Roman" w:hAnsi="Times New Roman" w:cs="Times New Roman"/>
          <w:sz w:val="24"/>
          <w:szCs w:val="24"/>
        </w:rPr>
        <w:t>iropas Savienības</w:t>
      </w:r>
      <w:r w:rsidRPr="00441BD7">
        <w:rPr>
          <w:rFonts w:ascii="Times New Roman" w:hAnsi="Times New Roman" w:cs="Times New Roman"/>
          <w:sz w:val="24"/>
          <w:szCs w:val="24"/>
        </w:rPr>
        <w:t xml:space="preserve"> fondu</w:t>
      </w:r>
      <w:r w:rsidR="00EC7863">
        <w:rPr>
          <w:rFonts w:ascii="Times New Roman" w:hAnsi="Times New Roman" w:cs="Times New Roman"/>
          <w:sz w:val="24"/>
          <w:szCs w:val="24"/>
        </w:rPr>
        <w:t xml:space="preserve"> </w:t>
      </w:r>
      <w:r w:rsidRPr="00441BD7">
        <w:rPr>
          <w:rFonts w:ascii="Times New Roman" w:hAnsi="Times New Roman" w:cs="Times New Roman"/>
          <w:sz w:val="24"/>
          <w:szCs w:val="24"/>
        </w:rPr>
        <w:t>un valsts budžeta finansējumu.</w:t>
      </w:r>
    </w:p>
    <w:p w14:paraId="6A9FED98" w14:textId="77777777" w:rsidR="00022BFD" w:rsidRPr="00673231" w:rsidRDefault="00022BFD" w:rsidP="00981FC4">
      <w:pPr>
        <w:pStyle w:val="ListParagraph"/>
        <w:numPr>
          <w:ilvl w:val="1"/>
          <w:numId w:val="1"/>
        </w:numPr>
        <w:spacing w:before="120" w:after="0" w:line="240" w:lineRule="auto"/>
        <w:ind w:left="720" w:hanging="720"/>
        <w:contextualSpacing w:val="0"/>
        <w:jc w:val="both"/>
        <w:rPr>
          <w:rFonts w:ascii="Times New Roman" w:hAnsi="Times New Roman" w:cs="Times New Roman"/>
          <w:sz w:val="24"/>
          <w:szCs w:val="24"/>
        </w:rPr>
      </w:pPr>
      <w:r w:rsidRPr="00673231">
        <w:rPr>
          <w:rFonts w:ascii="Times New Roman" w:hAnsi="Times New Roman" w:cs="Times New Roman"/>
          <w:sz w:val="24"/>
          <w:szCs w:val="24"/>
        </w:rPr>
        <w:t xml:space="preserve">Atveseļošanas fonda plāna investīcijas ietvaros </w:t>
      </w:r>
      <w:r w:rsidR="00601553" w:rsidRPr="00673231">
        <w:rPr>
          <w:rFonts w:ascii="Times New Roman" w:hAnsi="Times New Roman" w:cs="Times New Roman"/>
          <w:sz w:val="24"/>
          <w:szCs w:val="24"/>
        </w:rPr>
        <w:t>paredzēts atbalsts trīs pētījumu veikšanai:</w:t>
      </w:r>
      <w:r w:rsidRPr="00673231">
        <w:rPr>
          <w:rFonts w:ascii="Times New Roman" w:hAnsi="Times New Roman" w:cs="Times New Roman"/>
          <w:sz w:val="24"/>
          <w:szCs w:val="24"/>
        </w:rPr>
        <w:t xml:space="preserve"> </w:t>
      </w:r>
    </w:p>
    <w:p w14:paraId="2CFBC941" w14:textId="25369384" w:rsidR="00022BFD" w:rsidRPr="00673231" w:rsidRDefault="00022BFD" w:rsidP="00981FC4">
      <w:pPr>
        <w:pStyle w:val="ListParagraph"/>
        <w:numPr>
          <w:ilvl w:val="2"/>
          <w:numId w:val="1"/>
        </w:numPr>
        <w:spacing w:before="120" w:after="0" w:line="240" w:lineRule="auto"/>
        <w:ind w:left="1701" w:hanging="567"/>
        <w:contextualSpacing w:val="0"/>
        <w:jc w:val="both"/>
        <w:rPr>
          <w:rFonts w:ascii="Times New Roman" w:hAnsi="Times New Roman" w:cs="Times New Roman"/>
          <w:sz w:val="24"/>
          <w:szCs w:val="24"/>
        </w:rPr>
      </w:pPr>
      <w:r w:rsidRPr="00673231">
        <w:rPr>
          <w:rFonts w:ascii="Times New Roman" w:hAnsi="Times New Roman" w:cs="Times New Roman"/>
          <w:sz w:val="24"/>
          <w:szCs w:val="24"/>
        </w:rPr>
        <w:t>p</w:t>
      </w:r>
      <w:r w:rsidR="00601553" w:rsidRPr="00673231">
        <w:rPr>
          <w:rFonts w:ascii="Times New Roman" w:eastAsia="Times New Roman" w:hAnsi="Times New Roman" w:cs="Times New Roman"/>
          <w:sz w:val="24"/>
          <w:szCs w:val="24"/>
        </w:rPr>
        <w:t xml:space="preserve">ētījums </w:t>
      </w:r>
      <w:proofErr w:type="spellStart"/>
      <w:r w:rsidR="00601553" w:rsidRPr="00673231">
        <w:rPr>
          <w:rFonts w:ascii="Times New Roman" w:eastAsia="Times New Roman" w:hAnsi="Times New Roman" w:cs="Times New Roman"/>
          <w:sz w:val="24"/>
          <w:szCs w:val="24"/>
        </w:rPr>
        <w:t>antimikrobiālās</w:t>
      </w:r>
      <w:proofErr w:type="spellEnd"/>
      <w:r w:rsidR="00601553" w:rsidRPr="00673231">
        <w:rPr>
          <w:rFonts w:ascii="Times New Roman" w:eastAsia="Times New Roman" w:hAnsi="Times New Roman" w:cs="Times New Roman"/>
          <w:sz w:val="24"/>
          <w:szCs w:val="24"/>
        </w:rPr>
        <w:t xml:space="preserve"> rezistences jomā, lai apzinātu</w:t>
      </w:r>
      <w:r w:rsidR="00C75ECA">
        <w:rPr>
          <w:rFonts w:ascii="Times New Roman" w:eastAsia="Times New Roman" w:hAnsi="Times New Roman" w:cs="Times New Roman"/>
          <w:sz w:val="24"/>
          <w:szCs w:val="24"/>
        </w:rPr>
        <w:t xml:space="preserve"> un noteiktu</w:t>
      </w:r>
      <w:r w:rsidR="00601553" w:rsidRPr="00673231">
        <w:rPr>
          <w:rFonts w:ascii="Times New Roman" w:eastAsia="Times New Roman" w:hAnsi="Times New Roman" w:cs="Times New Roman"/>
          <w:sz w:val="24"/>
          <w:szCs w:val="24"/>
        </w:rPr>
        <w:t xml:space="preserve"> efektīvākās intervences un uzraudzības metodes;</w:t>
      </w:r>
    </w:p>
    <w:p w14:paraId="577EB257" w14:textId="198781AD" w:rsidR="00022BFD" w:rsidRPr="00673231" w:rsidRDefault="00022BFD" w:rsidP="00981FC4">
      <w:pPr>
        <w:pStyle w:val="ListParagraph"/>
        <w:numPr>
          <w:ilvl w:val="2"/>
          <w:numId w:val="1"/>
        </w:numPr>
        <w:spacing w:before="120" w:after="0" w:line="240" w:lineRule="auto"/>
        <w:ind w:left="1701" w:hanging="567"/>
        <w:contextualSpacing w:val="0"/>
        <w:jc w:val="both"/>
        <w:rPr>
          <w:rFonts w:ascii="Times New Roman" w:hAnsi="Times New Roman" w:cs="Times New Roman"/>
          <w:sz w:val="24"/>
          <w:szCs w:val="24"/>
        </w:rPr>
      </w:pPr>
      <w:r w:rsidRPr="00673231">
        <w:rPr>
          <w:rFonts w:ascii="Times New Roman" w:eastAsia="Times New Roman" w:hAnsi="Times New Roman" w:cs="Times New Roman"/>
          <w:sz w:val="24"/>
          <w:szCs w:val="24"/>
        </w:rPr>
        <w:t>p</w:t>
      </w:r>
      <w:r w:rsidR="00601553" w:rsidRPr="00673231">
        <w:rPr>
          <w:rFonts w:ascii="Times New Roman" w:eastAsia="Times New Roman" w:hAnsi="Times New Roman" w:cs="Times New Roman"/>
          <w:sz w:val="24"/>
          <w:szCs w:val="24"/>
        </w:rPr>
        <w:t>ētījums ar mērķi apzināt nevakcinēšanās iemeslus</w:t>
      </w:r>
      <w:r w:rsidR="00B272BA">
        <w:rPr>
          <w:rFonts w:ascii="Times New Roman" w:eastAsia="Times New Roman" w:hAnsi="Times New Roman" w:cs="Times New Roman"/>
          <w:sz w:val="24"/>
          <w:szCs w:val="24"/>
        </w:rPr>
        <w:t>,</w:t>
      </w:r>
      <w:r w:rsidR="00601553" w:rsidRPr="00673231">
        <w:rPr>
          <w:rFonts w:ascii="Times New Roman" w:eastAsia="Times New Roman" w:hAnsi="Times New Roman" w:cs="Times New Roman"/>
          <w:sz w:val="24"/>
          <w:szCs w:val="24"/>
        </w:rPr>
        <w:t xml:space="preserve"> lai nodrošinātu plašāku vakcinācijas aptveri un mazinātu infekciju slimību izplatības riskus Latvijā</w:t>
      </w:r>
      <w:r w:rsidRPr="00673231">
        <w:rPr>
          <w:rFonts w:ascii="Times New Roman" w:eastAsia="Times New Roman" w:hAnsi="Times New Roman" w:cs="Times New Roman"/>
          <w:sz w:val="24"/>
          <w:szCs w:val="24"/>
        </w:rPr>
        <w:t>;</w:t>
      </w:r>
    </w:p>
    <w:p w14:paraId="66986AD2" w14:textId="066E64E6" w:rsidR="008B44DB" w:rsidRPr="00673231" w:rsidRDefault="00022BFD" w:rsidP="00981FC4">
      <w:pPr>
        <w:pStyle w:val="ListParagraph"/>
        <w:numPr>
          <w:ilvl w:val="2"/>
          <w:numId w:val="1"/>
        </w:numPr>
        <w:spacing w:before="120" w:after="0" w:line="240" w:lineRule="auto"/>
        <w:ind w:left="1701" w:hanging="567"/>
        <w:contextualSpacing w:val="0"/>
        <w:jc w:val="both"/>
        <w:rPr>
          <w:rFonts w:ascii="Times New Roman" w:hAnsi="Times New Roman" w:cs="Times New Roman"/>
          <w:sz w:val="24"/>
          <w:szCs w:val="24"/>
        </w:rPr>
      </w:pPr>
      <w:r w:rsidRPr="00673231">
        <w:rPr>
          <w:rFonts w:ascii="Times New Roman" w:eastAsia="Times New Roman" w:hAnsi="Times New Roman" w:cs="Times New Roman"/>
          <w:sz w:val="24"/>
          <w:szCs w:val="24"/>
        </w:rPr>
        <w:t>p</w:t>
      </w:r>
      <w:r w:rsidR="00601553" w:rsidRPr="00673231">
        <w:rPr>
          <w:rFonts w:ascii="Times New Roman" w:eastAsia="Times New Roman" w:hAnsi="Times New Roman" w:cs="Times New Roman"/>
          <w:sz w:val="24"/>
          <w:szCs w:val="24"/>
        </w:rPr>
        <w:t>ētījums par infekciju slimību izplatības riskiem un to ietekmi uz sabiedrības veselības rādītājiem.</w:t>
      </w:r>
    </w:p>
    <w:p w14:paraId="6E6C9694" w14:textId="50EA3CA0" w:rsidR="00EB14B0" w:rsidRDefault="000B7CC2" w:rsidP="00EB14B0">
      <w:pPr>
        <w:pStyle w:val="ListParagraph"/>
        <w:numPr>
          <w:ilvl w:val="1"/>
          <w:numId w:val="1"/>
        </w:numPr>
        <w:spacing w:before="120" w:after="0" w:line="240" w:lineRule="auto"/>
        <w:ind w:left="720" w:hanging="720"/>
        <w:contextualSpacing w:val="0"/>
        <w:jc w:val="both"/>
        <w:rPr>
          <w:rFonts w:ascii="Times New Roman" w:hAnsi="Times New Roman" w:cs="Times New Roman"/>
          <w:sz w:val="24"/>
          <w:szCs w:val="24"/>
        </w:rPr>
      </w:pPr>
      <w:r>
        <w:rPr>
          <w:rFonts w:ascii="Times New Roman" w:hAnsi="Times New Roman" w:cs="Times New Roman"/>
          <w:sz w:val="24"/>
          <w:szCs w:val="24"/>
        </w:rPr>
        <w:t>I</w:t>
      </w:r>
      <w:r w:rsidR="00465D40" w:rsidRPr="00673231">
        <w:rPr>
          <w:rFonts w:ascii="Times New Roman" w:hAnsi="Times New Roman" w:cs="Times New Roman"/>
          <w:sz w:val="24"/>
          <w:szCs w:val="24"/>
        </w:rPr>
        <w:t xml:space="preserve">nvestīcijas </w:t>
      </w:r>
      <w:r w:rsidR="004825AA" w:rsidRPr="00673231">
        <w:rPr>
          <w:rFonts w:ascii="Times New Roman" w:hAnsi="Times New Roman" w:cs="Times New Roman"/>
          <w:sz w:val="24"/>
          <w:szCs w:val="24"/>
        </w:rPr>
        <w:t xml:space="preserve">ietvaros veiktie pētījumi </w:t>
      </w:r>
      <w:r w:rsidR="0064743A" w:rsidRPr="00673231">
        <w:rPr>
          <w:rFonts w:ascii="Times New Roman" w:hAnsi="Times New Roman" w:cs="Times New Roman"/>
          <w:sz w:val="24"/>
          <w:szCs w:val="24"/>
        </w:rPr>
        <w:t>nodrošinās pamatu tālākai sabiedrības veselības politikas plānošanai un ieviešanai, t</w:t>
      </w:r>
      <w:r w:rsidR="007F4869">
        <w:rPr>
          <w:rFonts w:ascii="Times New Roman" w:hAnsi="Times New Roman" w:cs="Times New Roman"/>
          <w:sz w:val="24"/>
          <w:szCs w:val="24"/>
        </w:rPr>
        <w:t>ajā skaitā</w:t>
      </w:r>
      <w:r w:rsidR="0064743A" w:rsidRPr="00673231">
        <w:rPr>
          <w:rFonts w:ascii="Times New Roman" w:hAnsi="Times New Roman" w:cs="Times New Roman"/>
          <w:sz w:val="24"/>
          <w:szCs w:val="24"/>
        </w:rPr>
        <w:t xml:space="preserve"> integrētajai veselības aprūpei, nepieciešamajiem uzlabojumiem normatīvajā ietvarā, metodoloģiskajā vadībā, vakcinācija</w:t>
      </w:r>
      <w:r w:rsidR="0061687C">
        <w:rPr>
          <w:rFonts w:ascii="Times New Roman" w:hAnsi="Times New Roman" w:cs="Times New Roman"/>
          <w:sz w:val="24"/>
          <w:szCs w:val="24"/>
        </w:rPr>
        <w:t>s</w:t>
      </w:r>
      <w:r w:rsidR="0064743A" w:rsidRPr="00673231">
        <w:rPr>
          <w:rFonts w:ascii="Times New Roman" w:hAnsi="Times New Roman" w:cs="Times New Roman"/>
          <w:sz w:val="24"/>
          <w:szCs w:val="24"/>
        </w:rPr>
        <w:t xml:space="preserve"> proces</w:t>
      </w:r>
      <w:r w:rsidR="0061687C">
        <w:rPr>
          <w:rFonts w:ascii="Times New Roman" w:hAnsi="Times New Roman" w:cs="Times New Roman"/>
          <w:sz w:val="24"/>
          <w:szCs w:val="24"/>
        </w:rPr>
        <w:t>a</w:t>
      </w:r>
      <w:r w:rsidR="0064743A" w:rsidRPr="00673231">
        <w:rPr>
          <w:rFonts w:ascii="Times New Roman" w:hAnsi="Times New Roman" w:cs="Times New Roman"/>
          <w:sz w:val="24"/>
          <w:szCs w:val="24"/>
        </w:rPr>
        <w:t xml:space="preserve"> pilnveidē u.c. </w:t>
      </w:r>
    </w:p>
    <w:p w14:paraId="28E42C2B" w14:textId="5873E01C" w:rsidR="0064743A" w:rsidRDefault="000B7CC2" w:rsidP="000B7CC2">
      <w:pPr>
        <w:pStyle w:val="ListParagraph"/>
        <w:numPr>
          <w:ilvl w:val="1"/>
          <w:numId w:val="1"/>
        </w:numPr>
        <w:spacing w:before="120" w:after="0" w:line="240" w:lineRule="auto"/>
        <w:ind w:left="720" w:hanging="720"/>
        <w:contextualSpacing w:val="0"/>
        <w:jc w:val="both"/>
        <w:rPr>
          <w:rFonts w:ascii="Times New Roman" w:hAnsi="Times New Roman" w:cs="Times New Roman"/>
          <w:sz w:val="24"/>
          <w:szCs w:val="24"/>
        </w:rPr>
      </w:pPr>
      <w:r>
        <w:rPr>
          <w:rFonts w:ascii="Times New Roman" w:hAnsi="Times New Roman" w:cs="Times New Roman"/>
          <w:sz w:val="24"/>
          <w:szCs w:val="24"/>
        </w:rPr>
        <w:t>I</w:t>
      </w:r>
      <w:r w:rsidR="00EB14B0" w:rsidRPr="00185787">
        <w:rPr>
          <w:rFonts w:ascii="Times New Roman" w:hAnsi="Times New Roman" w:cs="Times New Roman"/>
          <w:sz w:val="24"/>
          <w:szCs w:val="24"/>
        </w:rPr>
        <w:t>nvestīcijas ietvaros tiks nodrošināta sinerģija  un demarkācija ar E</w:t>
      </w:r>
      <w:r w:rsidR="00185787">
        <w:rPr>
          <w:rFonts w:ascii="Times New Roman" w:hAnsi="Times New Roman" w:cs="Times New Roman"/>
          <w:sz w:val="24"/>
          <w:szCs w:val="24"/>
        </w:rPr>
        <w:t xml:space="preserve">iropas </w:t>
      </w:r>
      <w:r w:rsidR="00EB14B0" w:rsidRPr="00185787">
        <w:rPr>
          <w:rFonts w:ascii="Times New Roman" w:hAnsi="Times New Roman" w:cs="Times New Roman"/>
          <w:sz w:val="24"/>
          <w:szCs w:val="24"/>
        </w:rPr>
        <w:t>S</w:t>
      </w:r>
      <w:r w:rsidR="00185787">
        <w:rPr>
          <w:rFonts w:ascii="Times New Roman" w:hAnsi="Times New Roman" w:cs="Times New Roman"/>
          <w:sz w:val="24"/>
          <w:szCs w:val="24"/>
        </w:rPr>
        <w:t>avienības</w:t>
      </w:r>
      <w:r w:rsidR="00EB14B0" w:rsidRPr="00185787">
        <w:rPr>
          <w:rFonts w:ascii="Times New Roman" w:hAnsi="Times New Roman" w:cs="Times New Roman"/>
          <w:sz w:val="24"/>
          <w:szCs w:val="24"/>
        </w:rPr>
        <w:t xml:space="preserve"> kohēzijas politikas programmas 2021.-2027.</w:t>
      </w:r>
      <w:r w:rsidR="00185787">
        <w:rPr>
          <w:rFonts w:ascii="Times New Roman" w:hAnsi="Times New Roman" w:cs="Times New Roman"/>
          <w:sz w:val="24"/>
          <w:szCs w:val="24"/>
        </w:rPr>
        <w:t> </w:t>
      </w:r>
      <w:r w:rsidR="00EB14B0" w:rsidRPr="00185787">
        <w:rPr>
          <w:rFonts w:ascii="Times New Roman" w:hAnsi="Times New Roman" w:cs="Times New Roman"/>
          <w:sz w:val="24"/>
          <w:szCs w:val="24"/>
        </w:rPr>
        <w:t>gadam 4.1.2.</w:t>
      </w:r>
      <w:r>
        <w:rPr>
          <w:rFonts w:ascii="Times New Roman" w:hAnsi="Times New Roman" w:cs="Times New Roman"/>
          <w:sz w:val="24"/>
          <w:szCs w:val="24"/>
        </w:rPr>
        <w:t> </w:t>
      </w:r>
      <w:r w:rsidR="00EB14B0" w:rsidRPr="00185787">
        <w:rPr>
          <w:rFonts w:ascii="Times New Roman" w:hAnsi="Times New Roman" w:cs="Times New Roman"/>
          <w:sz w:val="24"/>
          <w:szCs w:val="24"/>
        </w:rPr>
        <w:t xml:space="preserve">specifisko atbalsta mērķi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00EB14B0" w:rsidRPr="00185787">
        <w:rPr>
          <w:rFonts w:ascii="Times New Roman" w:hAnsi="Times New Roman" w:cs="Times New Roman"/>
          <w:sz w:val="24"/>
          <w:szCs w:val="24"/>
        </w:rPr>
        <w:t>izturētspēju</w:t>
      </w:r>
      <w:proofErr w:type="spellEnd"/>
      <w:r w:rsidR="00185787">
        <w:rPr>
          <w:rFonts w:ascii="Times New Roman" w:hAnsi="Times New Roman" w:cs="Times New Roman"/>
          <w:sz w:val="24"/>
          <w:szCs w:val="24"/>
        </w:rPr>
        <w:t>”</w:t>
      </w:r>
      <w:r w:rsidR="00EB14B0" w:rsidRPr="00185787">
        <w:rPr>
          <w:rFonts w:ascii="Times New Roman" w:hAnsi="Times New Roman" w:cs="Times New Roman"/>
          <w:sz w:val="24"/>
          <w:szCs w:val="24"/>
        </w:rPr>
        <w:t xml:space="preserve">. </w:t>
      </w:r>
    </w:p>
    <w:p w14:paraId="16CFFE3A" w14:textId="77777777" w:rsidR="000B7CC2" w:rsidRPr="000B7CC2" w:rsidRDefault="000B7CC2" w:rsidP="000B7CC2">
      <w:pPr>
        <w:pStyle w:val="ListParagraph"/>
        <w:spacing w:before="120" w:after="0" w:line="240" w:lineRule="auto"/>
        <w:contextualSpacing w:val="0"/>
        <w:jc w:val="both"/>
        <w:rPr>
          <w:rFonts w:ascii="Times New Roman" w:hAnsi="Times New Roman" w:cs="Times New Roman"/>
          <w:sz w:val="24"/>
          <w:szCs w:val="24"/>
        </w:rPr>
      </w:pPr>
    </w:p>
    <w:p w14:paraId="0D6A7823" w14:textId="105A3E03" w:rsidR="00191722" w:rsidRPr="00865AC4" w:rsidRDefault="00475904" w:rsidP="00981FC4">
      <w:pPr>
        <w:pStyle w:val="Heading1"/>
        <w:numPr>
          <w:ilvl w:val="0"/>
          <w:numId w:val="1"/>
        </w:numPr>
        <w:spacing w:before="120" w:line="240" w:lineRule="auto"/>
        <w:ind w:hanging="720"/>
        <w:rPr>
          <w:rFonts w:eastAsia="Times New Roman" w:cs="Times New Roman"/>
          <w:b/>
          <w:bCs/>
          <w:sz w:val="24"/>
          <w:szCs w:val="24"/>
        </w:rPr>
      </w:pPr>
      <w:bookmarkStart w:id="2" w:name="_Toc110002930"/>
      <w:r>
        <w:rPr>
          <w:rFonts w:eastAsia="Times New Roman" w:cs="Times New Roman"/>
          <w:b/>
          <w:bCs/>
          <w:sz w:val="24"/>
          <w:szCs w:val="24"/>
        </w:rPr>
        <w:t>Investīcijas</w:t>
      </w:r>
      <w:r w:rsidR="00CD3450" w:rsidRPr="00865AC4">
        <w:rPr>
          <w:rFonts w:eastAsia="Times New Roman" w:cs="Times New Roman"/>
          <w:b/>
          <w:bCs/>
          <w:sz w:val="24"/>
          <w:szCs w:val="24"/>
        </w:rPr>
        <w:t xml:space="preserve"> </w:t>
      </w:r>
      <w:r w:rsidR="00335269">
        <w:rPr>
          <w:rFonts w:eastAsia="Times New Roman" w:cs="Times New Roman"/>
          <w:b/>
          <w:bCs/>
          <w:sz w:val="24"/>
          <w:szCs w:val="24"/>
        </w:rPr>
        <w:t xml:space="preserve">mērķis un </w:t>
      </w:r>
      <w:r w:rsidR="00CD3450" w:rsidRPr="00865AC4">
        <w:rPr>
          <w:rFonts w:eastAsia="Times New Roman" w:cs="Times New Roman"/>
          <w:b/>
          <w:bCs/>
          <w:sz w:val="24"/>
          <w:szCs w:val="24"/>
        </w:rPr>
        <w:t>atskaites punkt</w:t>
      </w:r>
      <w:r w:rsidR="0049158D">
        <w:rPr>
          <w:rFonts w:eastAsia="Times New Roman" w:cs="Times New Roman"/>
          <w:b/>
          <w:bCs/>
          <w:sz w:val="24"/>
          <w:szCs w:val="24"/>
        </w:rPr>
        <w:t>i</w:t>
      </w:r>
      <w:bookmarkEnd w:id="2"/>
    </w:p>
    <w:p w14:paraId="1E6CC2FA" w14:textId="58A26B2C" w:rsidR="00335269" w:rsidRDefault="00335269" w:rsidP="00981FC4">
      <w:pPr>
        <w:pStyle w:val="ListParagraph"/>
        <w:numPr>
          <w:ilvl w:val="1"/>
          <w:numId w:val="3"/>
        </w:numPr>
        <w:spacing w:before="120" w:after="0" w:line="240" w:lineRule="auto"/>
        <w:ind w:left="720" w:hanging="720"/>
        <w:contextualSpacing w:val="0"/>
        <w:jc w:val="both"/>
        <w:rPr>
          <w:rFonts w:ascii="Times New Roman" w:hAnsi="Times New Roman" w:cs="Times New Roman"/>
          <w:sz w:val="24"/>
          <w:szCs w:val="24"/>
        </w:rPr>
      </w:pPr>
      <w:r>
        <w:rPr>
          <w:rFonts w:ascii="Times New Roman" w:hAnsi="Times New Roman" w:cs="Times New Roman"/>
          <w:sz w:val="24"/>
          <w:szCs w:val="24"/>
        </w:rPr>
        <w:t>I</w:t>
      </w:r>
      <w:r w:rsidRPr="002D247C">
        <w:rPr>
          <w:rFonts w:ascii="Times New Roman" w:hAnsi="Times New Roman" w:cs="Times New Roman"/>
          <w:sz w:val="24"/>
          <w:szCs w:val="24"/>
          <w:shd w:val="clear" w:color="auto" w:fill="FFFFFF"/>
        </w:rPr>
        <w:t>nvestīcij</w:t>
      </w:r>
      <w:r w:rsidR="00860D27">
        <w:rPr>
          <w:rFonts w:ascii="Times New Roman" w:hAnsi="Times New Roman" w:cs="Times New Roman"/>
          <w:sz w:val="24"/>
          <w:szCs w:val="24"/>
          <w:shd w:val="clear" w:color="auto" w:fill="FFFFFF"/>
        </w:rPr>
        <w:t>as</w:t>
      </w:r>
      <w:r w:rsidRPr="002D247C">
        <w:rPr>
          <w:rFonts w:ascii="Times New Roman" w:hAnsi="Times New Roman" w:cs="Times New Roman"/>
          <w:sz w:val="24"/>
          <w:szCs w:val="24"/>
          <w:shd w:val="clear" w:color="auto" w:fill="FFFFFF"/>
        </w:rPr>
        <w:t xml:space="preserve"> mērķi</w:t>
      </w:r>
      <w:r>
        <w:rPr>
          <w:rFonts w:ascii="Times New Roman" w:hAnsi="Times New Roman" w:cs="Times New Roman"/>
          <w:sz w:val="24"/>
          <w:szCs w:val="24"/>
          <w:shd w:val="clear" w:color="auto" w:fill="FFFFFF"/>
        </w:rPr>
        <w:t>s</w:t>
      </w:r>
      <w:r w:rsidRPr="002D247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ir</w:t>
      </w:r>
      <w:r w:rsidRPr="002D247C">
        <w:rPr>
          <w:rFonts w:ascii="Times New Roman" w:hAnsi="Times New Roman" w:cs="Times New Roman"/>
          <w:sz w:val="24"/>
          <w:szCs w:val="24"/>
          <w:shd w:val="clear" w:color="auto" w:fill="FFFFFF"/>
        </w:rPr>
        <w:t xml:space="preserve"> uzlabot sabiedrības veselības politikas plānošanu un īstenošanu, tajā skaitā kontekstā ar nepieciešamību nodrošināt epidemioloģisko drošību, attīstot uz pacientu vērstus ilgtspējīgus integrētus veselības aprūpes pakalpojumus un pētījuma rezultātus izmantojot sabiedrības veselības politikas pilnveidošanai.</w:t>
      </w:r>
    </w:p>
    <w:p w14:paraId="55FEBE8E" w14:textId="77777777" w:rsidR="00392F7C" w:rsidRDefault="00A54AC3" w:rsidP="0073515D">
      <w:pPr>
        <w:pStyle w:val="ListParagraph"/>
        <w:numPr>
          <w:ilvl w:val="1"/>
          <w:numId w:val="3"/>
        </w:numPr>
        <w:spacing w:before="120" w:line="240" w:lineRule="auto"/>
        <w:ind w:left="720" w:hanging="720"/>
        <w:contextualSpacing w:val="0"/>
        <w:jc w:val="both"/>
        <w:rPr>
          <w:rFonts w:ascii="Times New Roman" w:hAnsi="Times New Roman" w:cs="Times New Roman"/>
          <w:sz w:val="24"/>
          <w:szCs w:val="24"/>
        </w:rPr>
      </w:pPr>
      <w:r>
        <w:rPr>
          <w:rFonts w:ascii="Times New Roman" w:hAnsi="Times New Roman" w:cs="Times New Roman"/>
          <w:sz w:val="24"/>
          <w:szCs w:val="24"/>
        </w:rPr>
        <w:t>Investīcijas a</w:t>
      </w:r>
      <w:r w:rsidR="00981FC4">
        <w:rPr>
          <w:rFonts w:ascii="Times New Roman" w:hAnsi="Times New Roman" w:cs="Times New Roman"/>
          <w:sz w:val="24"/>
          <w:szCs w:val="24"/>
        </w:rPr>
        <w:t>tskaites punkt</w:t>
      </w:r>
      <w:r w:rsidR="00392F7C">
        <w:rPr>
          <w:rFonts w:ascii="Times New Roman" w:hAnsi="Times New Roman" w:cs="Times New Roman"/>
          <w:sz w:val="24"/>
          <w:szCs w:val="24"/>
        </w:rPr>
        <w:t>i:</w:t>
      </w:r>
    </w:p>
    <w:p w14:paraId="3E2A29BE" w14:textId="77777777" w:rsidR="00392F7C" w:rsidRDefault="00902CEC" w:rsidP="00E514AD">
      <w:pPr>
        <w:pStyle w:val="ListParagraph"/>
        <w:numPr>
          <w:ilvl w:val="2"/>
          <w:numId w:val="3"/>
        </w:numPr>
        <w:spacing w:before="120" w:after="120" w:line="240" w:lineRule="auto"/>
        <w:ind w:left="1418" w:hanging="709"/>
        <w:contextualSpacing w:val="0"/>
        <w:jc w:val="both"/>
        <w:rPr>
          <w:rFonts w:ascii="Times New Roman" w:hAnsi="Times New Roman" w:cs="Times New Roman"/>
          <w:sz w:val="24"/>
          <w:szCs w:val="24"/>
        </w:rPr>
      </w:pPr>
      <w:r w:rsidRPr="00392F7C">
        <w:rPr>
          <w:rFonts w:ascii="Times New Roman" w:hAnsi="Times New Roman" w:cs="Times New Roman"/>
          <w:sz w:val="24"/>
          <w:szCs w:val="24"/>
        </w:rPr>
        <w:t xml:space="preserve">“Metodikas pieņemšana trīs pētījumiem ar mērķi uzlabot sabiedrības veselības politikas plānošanu un īstenošanu mikroorganismu rezistences, vakcinācijas un infekciju slimību jomā” (turpmāk </w:t>
      </w:r>
      <w:r w:rsidR="00016AB1" w:rsidRPr="00392F7C">
        <w:rPr>
          <w:rFonts w:ascii="Times New Roman" w:hAnsi="Times New Roman" w:cs="Times New Roman"/>
          <w:sz w:val="24"/>
          <w:szCs w:val="24"/>
        </w:rPr>
        <w:t>–</w:t>
      </w:r>
      <w:r w:rsidRPr="00392F7C">
        <w:rPr>
          <w:rFonts w:ascii="Times New Roman" w:hAnsi="Times New Roman" w:cs="Times New Roman"/>
          <w:sz w:val="24"/>
          <w:szCs w:val="24"/>
        </w:rPr>
        <w:t xml:space="preserve"> </w:t>
      </w:r>
      <w:r w:rsidR="00016AB1" w:rsidRPr="00392F7C">
        <w:rPr>
          <w:rFonts w:ascii="Times New Roman" w:hAnsi="Times New Roman" w:cs="Times New Roman"/>
          <w:sz w:val="24"/>
          <w:szCs w:val="24"/>
        </w:rPr>
        <w:t>atskaites punkts “</w:t>
      </w:r>
      <w:r w:rsidR="00B5675D" w:rsidRPr="00392F7C">
        <w:rPr>
          <w:rFonts w:ascii="Times New Roman" w:hAnsi="Times New Roman" w:cs="Times New Roman"/>
          <w:sz w:val="24"/>
          <w:szCs w:val="24"/>
        </w:rPr>
        <w:t>metodikas pieņemšana</w:t>
      </w:r>
      <w:r w:rsidR="00016AB1" w:rsidRPr="00392F7C">
        <w:rPr>
          <w:rFonts w:ascii="Times New Roman" w:hAnsi="Times New Roman" w:cs="Times New Roman"/>
          <w:sz w:val="24"/>
          <w:szCs w:val="24"/>
        </w:rPr>
        <w:t>”)</w:t>
      </w:r>
      <w:r w:rsidR="00392F7C">
        <w:rPr>
          <w:rFonts w:ascii="Times New Roman" w:hAnsi="Times New Roman" w:cs="Times New Roman"/>
          <w:sz w:val="24"/>
          <w:szCs w:val="24"/>
        </w:rPr>
        <w:t>;</w:t>
      </w:r>
    </w:p>
    <w:p w14:paraId="6AC64BEC" w14:textId="732D778C" w:rsidR="00392F7C" w:rsidRDefault="00981FC4" w:rsidP="00E514AD">
      <w:pPr>
        <w:pStyle w:val="ListParagraph"/>
        <w:numPr>
          <w:ilvl w:val="2"/>
          <w:numId w:val="3"/>
        </w:numPr>
        <w:spacing w:before="120" w:after="120" w:line="240" w:lineRule="auto"/>
        <w:ind w:left="1418" w:hanging="709"/>
        <w:contextualSpacing w:val="0"/>
        <w:jc w:val="both"/>
        <w:rPr>
          <w:rFonts w:ascii="Times New Roman" w:hAnsi="Times New Roman" w:cs="Times New Roman"/>
          <w:sz w:val="24"/>
          <w:szCs w:val="24"/>
        </w:rPr>
      </w:pPr>
      <w:r w:rsidRPr="00392F7C">
        <w:rPr>
          <w:rFonts w:ascii="Times New Roman" w:hAnsi="Times New Roman" w:cs="Times New Roman"/>
          <w:sz w:val="24"/>
          <w:szCs w:val="24"/>
        </w:rPr>
        <w:t xml:space="preserve"> </w:t>
      </w:r>
      <w:r w:rsidR="009E4E7B" w:rsidRPr="00392F7C">
        <w:rPr>
          <w:rFonts w:ascii="Times New Roman" w:hAnsi="Times New Roman" w:cs="Times New Roman"/>
          <w:sz w:val="24"/>
          <w:szCs w:val="24"/>
        </w:rPr>
        <w:t>“Sabiedrības veselības pētniecība, kas veikta</w:t>
      </w:r>
      <w:r w:rsidR="00863781">
        <w:rPr>
          <w:rFonts w:ascii="Times New Roman" w:hAnsi="Times New Roman" w:cs="Times New Roman"/>
          <w:sz w:val="24"/>
          <w:szCs w:val="24"/>
        </w:rPr>
        <w:t>,</w:t>
      </w:r>
      <w:r w:rsidR="009E4E7B" w:rsidRPr="00392F7C">
        <w:rPr>
          <w:rFonts w:ascii="Times New Roman" w:hAnsi="Times New Roman" w:cs="Times New Roman"/>
          <w:sz w:val="24"/>
          <w:szCs w:val="24"/>
        </w:rPr>
        <w:t xml:space="preserve"> lai uzlabot</w:t>
      </w:r>
      <w:r w:rsidR="00863781">
        <w:rPr>
          <w:rFonts w:ascii="Times New Roman" w:hAnsi="Times New Roman" w:cs="Times New Roman"/>
          <w:sz w:val="24"/>
          <w:szCs w:val="24"/>
        </w:rPr>
        <w:t>u</w:t>
      </w:r>
      <w:r w:rsidR="009E4E7B" w:rsidRPr="00392F7C">
        <w:rPr>
          <w:rFonts w:ascii="Times New Roman" w:hAnsi="Times New Roman" w:cs="Times New Roman"/>
          <w:sz w:val="24"/>
          <w:szCs w:val="24"/>
        </w:rPr>
        <w:t xml:space="preserve"> sabiedrības veselības politikas plānošanu un īstenošanu mikroorganismu rezistences, vakcinācijas un infekcijas slimību jomā”</w:t>
      </w:r>
      <w:r w:rsidR="00725E3D" w:rsidRPr="00392F7C">
        <w:rPr>
          <w:rFonts w:ascii="Times New Roman" w:hAnsi="Times New Roman" w:cs="Times New Roman"/>
          <w:sz w:val="24"/>
          <w:szCs w:val="24"/>
        </w:rPr>
        <w:t xml:space="preserve"> (turpmāk – atskaites punkts “sabiedrības veselības pētniecība”)</w:t>
      </w:r>
      <w:r w:rsidR="00392F7C">
        <w:rPr>
          <w:rFonts w:ascii="Times New Roman" w:hAnsi="Times New Roman" w:cs="Times New Roman"/>
          <w:sz w:val="24"/>
          <w:szCs w:val="24"/>
        </w:rPr>
        <w:t>;</w:t>
      </w:r>
    </w:p>
    <w:p w14:paraId="6C470C2B" w14:textId="26AD5D3B" w:rsidR="000277D6" w:rsidRPr="00392F7C" w:rsidRDefault="003E0C02" w:rsidP="00392F7C">
      <w:pPr>
        <w:pStyle w:val="ListParagraph"/>
        <w:numPr>
          <w:ilvl w:val="2"/>
          <w:numId w:val="3"/>
        </w:numPr>
        <w:spacing w:before="120" w:after="0" w:line="240" w:lineRule="auto"/>
        <w:ind w:left="1418" w:hanging="709"/>
        <w:jc w:val="both"/>
        <w:rPr>
          <w:rFonts w:ascii="Times New Roman" w:hAnsi="Times New Roman" w:cs="Times New Roman"/>
          <w:sz w:val="24"/>
          <w:szCs w:val="24"/>
        </w:rPr>
      </w:pPr>
      <w:r w:rsidRPr="00392F7C">
        <w:rPr>
          <w:rFonts w:ascii="Times New Roman" w:hAnsi="Times New Roman" w:cs="Times New Roman"/>
          <w:sz w:val="24"/>
          <w:szCs w:val="24"/>
        </w:rPr>
        <w:t xml:space="preserve">“Tādu tiesību aktu </w:t>
      </w:r>
      <w:r w:rsidR="002313A2" w:rsidRPr="00392F7C">
        <w:rPr>
          <w:rFonts w:ascii="Times New Roman" w:hAnsi="Times New Roman" w:cs="Times New Roman"/>
          <w:sz w:val="24"/>
          <w:szCs w:val="24"/>
        </w:rPr>
        <w:t xml:space="preserve">grozījumu </w:t>
      </w:r>
      <w:r w:rsidRPr="00392F7C">
        <w:rPr>
          <w:rFonts w:ascii="Times New Roman" w:hAnsi="Times New Roman" w:cs="Times New Roman"/>
          <w:sz w:val="24"/>
          <w:szCs w:val="24"/>
        </w:rPr>
        <w:t xml:space="preserve">stāšanās spēkā, kuru mērķis </w:t>
      </w:r>
      <w:r w:rsidR="00FE4A04" w:rsidRPr="00392F7C">
        <w:rPr>
          <w:rFonts w:ascii="Times New Roman" w:hAnsi="Times New Roman" w:cs="Times New Roman"/>
          <w:sz w:val="24"/>
          <w:szCs w:val="24"/>
        </w:rPr>
        <w:t>ir uzlabot sabiedrības veselības politikas plānošanu un īstenošanu tādās jomās</w:t>
      </w:r>
      <w:r w:rsidR="001D55B7" w:rsidRPr="00392F7C">
        <w:rPr>
          <w:rFonts w:ascii="Times New Roman" w:hAnsi="Times New Roman" w:cs="Times New Roman"/>
          <w:sz w:val="24"/>
          <w:szCs w:val="24"/>
        </w:rPr>
        <w:t xml:space="preserve">, kā </w:t>
      </w:r>
      <w:r w:rsidR="001D55B7" w:rsidRPr="00392F7C">
        <w:rPr>
          <w:rFonts w:ascii="Times New Roman" w:hAnsi="Times New Roman" w:cs="Times New Roman"/>
          <w:sz w:val="24"/>
          <w:szCs w:val="24"/>
        </w:rPr>
        <w:lastRenderedPageBreak/>
        <w:t xml:space="preserve">rezistence pret </w:t>
      </w:r>
      <w:proofErr w:type="spellStart"/>
      <w:r w:rsidR="0052342E" w:rsidRPr="00392F7C">
        <w:rPr>
          <w:rFonts w:ascii="Times New Roman" w:hAnsi="Times New Roman" w:cs="Times New Roman"/>
          <w:sz w:val="24"/>
          <w:szCs w:val="24"/>
        </w:rPr>
        <w:t>antimikrobiālajiem</w:t>
      </w:r>
      <w:proofErr w:type="spellEnd"/>
      <w:r w:rsidR="0052342E" w:rsidRPr="00392F7C">
        <w:rPr>
          <w:rFonts w:ascii="Times New Roman" w:hAnsi="Times New Roman" w:cs="Times New Roman"/>
          <w:sz w:val="24"/>
          <w:szCs w:val="24"/>
        </w:rPr>
        <w:t xml:space="preserve"> līdzekļiem</w:t>
      </w:r>
      <w:r w:rsidR="001D55B7" w:rsidRPr="00392F7C">
        <w:rPr>
          <w:rFonts w:ascii="Times New Roman" w:hAnsi="Times New Roman" w:cs="Times New Roman"/>
          <w:sz w:val="24"/>
          <w:szCs w:val="24"/>
        </w:rPr>
        <w:t xml:space="preserve">, </w:t>
      </w:r>
      <w:r w:rsidR="008B1281" w:rsidRPr="00392F7C">
        <w:rPr>
          <w:rFonts w:ascii="Times New Roman" w:hAnsi="Times New Roman" w:cs="Times New Roman"/>
          <w:sz w:val="24"/>
          <w:szCs w:val="24"/>
        </w:rPr>
        <w:t>vakcinācija un infekcijas slimības”</w:t>
      </w:r>
      <w:r w:rsidR="004B7D3E" w:rsidRPr="00392F7C">
        <w:rPr>
          <w:rFonts w:ascii="Times New Roman" w:hAnsi="Times New Roman" w:cs="Times New Roman"/>
          <w:sz w:val="24"/>
          <w:szCs w:val="24"/>
        </w:rPr>
        <w:t xml:space="preserve"> (turpmāk </w:t>
      </w:r>
      <w:r w:rsidR="00EC2822" w:rsidRPr="00392F7C">
        <w:rPr>
          <w:rFonts w:ascii="Times New Roman" w:hAnsi="Times New Roman" w:cs="Times New Roman"/>
          <w:sz w:val="24"/>
          <w:szCs w:val="24"/>
        </w:rPr>
        <w:t>–</w:t>
      </w:r>
      <w:r w:rsidR="004B7D3E" w:rsidRPr="00392F7C">
        <w:rPr>
          <w:rFonts w:ascii="Times New Roman" w:hAnsi="Times New Roman" w:cs="Times New Roman"/>
          <w:sz w:val="24"/>
          <w:szCs w:val="24"/>
        </w:rPr>
        <w:t xml:space="preserve"> </w:t>
      </w:r>
      <w:r w:rsidR="00BF3DC6" w:rsidRPr="00392F7C">
        <w:rPr>
          <w:rFonts w:ascii="Times New Roman" w:hAnsi="Times New Roman" w:cs="Times New Roman"/>
          <w:sz w:val="24"/>
          <w:szCs w:val="24"/>
        </w:rPr>
        <w:t>atskaites punkts “</w:t>
      </w:r>
      <w:r w:rsidR="00EC2822" w:rsidRPr="00392F7C">
        <w:rPr>
          <w:rFonts w:ascii="Times New Roman" w:hAnsi="Times New Roman" w:cs="Times New Roman"/>
          <w:sz w:val="24"/>
          <w:szCs w:val="24"/>
        </w:rPr>
        <w:t>tiesību aktu</w:t>
      </w:r>
      <w:r w:rsidR="002313A2" w:rsidRPr="00392F7C">
        <w:rPr>
          <w:rFonts w:ascii="Times New Roman" w:hAnsi="Times New Roman" w:cs="Times New Roman"/>
          <w:sz w:val="24"/>
          <w:szCs w:val="24"/>
        </w:rPr>
        <w:t xml:space="preserve"> grozījumi</w:t>
      </w:r>
      <w:r w:rsidR="00BF3DC6" w:rsidRPr="00392F7C">
        <w:rPr>
          <w:rFonts w:ascii="Times New Roman" w:hAnsi="Times New Roman" w:cs="Times New Roman"/>
          <w:sz w:val="24"/>
          <w:szCs w:val="24"/>
        </w:rPr>
        <w:t>”</w:t>
      </w:r>
      <w:r w:rsidR="002313A2" w:rsidRPr="00392F7C">
        <w:rPr>
          <w:rFonts w:ascii="Times New Roman" w:hAnsi="Times New Roman" w:cs="Times New Roman"/>
          <w:sz w:val="24"/>
          <w:szCs w:val="24"/>
        </w:rPr>
        <w:t>)</w:t>
      </w:r>
      <w:r w:rsidR="00392F7C">
        <w:rPr>
          <w:rFonts w:ascii="Times New Roman" w:hAnsi="Times New Roman" w:cs="Times New Roman"/>
          <w:sz w:val="24"/>
          <w:szCs w:val="24"/>
        </w:rPr>
        <w:t>.</w:t>
      </w:r>
    </w:p>
    <w:p w14:paraId="41338527" w14:textId="344F19A5" w:rsidR="002B604C" w:rsidRPr="00A46F3D" w:rsidRDefault="00475904" w:rsidP="00981FC4">
      <w:pPr>
        <w:pStyle w:val="ListParagraph"/>
        <w:numPr>
          <w:ilvl w:val="1"/>
          <w:numId w:val="3"/>
        </w:numPr>
        <w:spacing w:before="120" w:after="0" w:line="240" w:lineRule="auto"/>
        <w:ind w:left="720" w:hanging="720"/>
        <w:contextualSpacing w:val="0"/>
        <w:jc w:val="both"/>
        <w:rPr>
          <w:rFonts w:ascii="Times New Roman" w:hAnsi="Times New Roman" w:cs="Times New Roman"/>
          <w:sz w:val="24"/>
          <w:szCs w:val="24"/>
        </w:rPr>
      </w:pPr>
      <w:r w:rsidRPr="00A46F3D">
        <w:rPr>
          <w:rFonts w:ascii="Times New Roman" w:hAnsi="Times New Roman" w:cs="Times New Roman"/>
          <w:sz w:val="24"/>
          <w:szCs w:val="24"/>
        </w:rPr>
        <w:t>Investīcijas</w:t>
      </w:r>
      <w:r w:rsidR="002B604C" w:rsidRPr="00A46F3D">
        <w:rPr>
          <w:rFonts w:ascii="Times New Roman" w:hAnsi="Times New Roman" w:cs="Times New Roman"/>
          <w:sz w:val="24"/>
          <w:szCs w:val="24"/>
        </w:rPr>
        <w:t xml:space="preserve"> atskaites punkt</w:t>
      </w:r>
      <w:r w:rsidR="00EE2D58">
        <w:rPr>
          <w:rFonts w:ascii="Times New Roman" w:hAnsi="Times New Roman" w:cs="Times New Roman"/>
          <w:sz w:val="24"/>
          <w:szCs w:val="24"/>
        </w:rPr>
        <w:t>u</w:t>
      </w:r>
      <w:r w:rsidR="002B604C" w:rsidRPr="00A46F3D">
        <w:rPr>
          <w:rFonts w:ascii="Times New Roman" w:hAnsi="Times New Roman" w:cs="Times New Roman"/>
          <w:sz w:val="24"/>
          <w:szCs w:val="24"/>
        </w:rPr>
        <w:t xml:space="preserve"> mērķa grupa ir visi Latvijas</w:t>
      </w:r>
      <w:r w:rsidR="00461CC3">
        <w:rPr>
          <w:rFonts w:ascii="Times New Roman" w:hAnsi="Times New Roman" w:cs="Times New Roman"/>
          <w:sz w:val="24"/>
          <w:szCs w:val="24"/>
        </w:rPr>
        <w:t xml:space="preserve"> Republikas</w:t>
      </w:r>
      <w:r w:rsidR="002B604C" w:rsidRPr="00A46F3D">
        <w:rPr>
          <w:rFonts w:ascii="Times New Roman" w:hAnsi="Times New Roman" w:cs="Times New Roman"/>
          <w:sz w:val="24"/>
          <w:szCs w:val="24"/>
        </w:rPr>
        <w:t xml:space="preserve"> iedzīvotāji.</w:t>
      </w:r>
    </w:p>
    <w:p w14:paraId="07AD2757" w14:textId="6E961EDD" w:rsidR="000F4AA5" w:rsidRPr="00A46F3D" w:rsidRDefault="00E16F53" w:rsidP="00981FC4">
      <w:pPr>
        <w:pStyle w:val="ListParagraph"/>
        <w:numPr>
          <w:ilvl w:val="1"/>
          <w:numId w:val="3"/>
        </w:numPr>
        <w:spacing w:before="120" w:after="0" w:line="240" w:lineRule="auto"/>
        <w:ind w:left="720" w:hanging="720"/>
        <w:contextualSpacing w:val="0"/>
        <w:jc w:val="both"/>
        <w:rPr>
          <w:rFonts w:ascii="Times New Roman" w:hAnsi="Times New Roman" w:cs="Times New Roman"/>
          <w:sz w:val="24"/>
          <w:szCs w:val="24"/>
        </w:rPr>
      </w:pPr>
      <w:r w:rsidRPr="00A46F3D">
        <w:rPr>
          <w:rFonts w:ascii="Times New Roman" w:hAnsi="Times New Roman" w:cs="Times New Roman"/>
          <w:sz w:val="24"/>
          <w:szCs w:val="24"/>
        </w:rPr>
        <w:t>Investīcijas</w:t>
      </w:r>
      <w:r w:rsidR="00401E54" w:rsidRPr="00A46F3D">
        <w:rPr>
          <w:rFonts w:ascii="Times New Roman" w:hAnsi="Times New Roman" w:cs="Times New Roman"/>
          <w:sz w:val="24"/>
          <w:szCs w:val="24"/>
        </w:rPr>
        <w:t xml:space="preserve"> atskaites punkt</w:t>
      </w:r>
      <w:r w:rsidR="00EE2D58">
        <w:rPr>
          <w:rFonts w:ascii="Times New Roman" w:hAnsi="Times New Roman" w:cs="Times New Roman"/>
          <w:sz w:val="24"/>
          <w:szCs w:val="24"/>
        </w:rPr>
        <w:t>u</w:t>
      </w:r>
      <w:r w:rsidR="00401E54" w:rsidRPr="00A46F3D">
        <w:rPr>
          <w:rFonts w:ascii="Times New Roman" w:hAnsi="Times New Roman" w:cs="Times New Roman"/>
          <w:sz w:val="24"/>
          <w:szCs w:val="24"/>
        </w:rPr>
        <w:t xml:space="preserve"> ietvaros veiktās projekta darbības tieši vērstas uz </w:t>
      </w:r>
      <w:r w:rsidR="00607B36">
        <w:rPr>
          <w:rFonts w:ascii="Times New Roman" w:hAnsi="Times New Roman" w:cs="Times New Roman"/>
          <w:sz w:val="24"/>
          <w:szCs w:val="24"/>
        </w:rPr>
        <w:t>investīcijas</w:t>
      </w:r>
      <w:r w:rsidR="00401E54" w:rsidRPr="00A46F3D">
        <w:rPr>
          <w:rFonts w:ascii="Times New Roman" w:hAnsi="Times New Roman" w:cs="Times New Roman"/>
          <w:sz w:val="24"/>
          <w:szCs w:val="24"/>
        </w:rPr>
        <w:t xml:space="preserve"> īstenošanu un ieviešanu</w:t>
      </w:r>
      <w:r w:rsidR="00E518F4" w:rsidRPr="00A46F3D">
        <w:rPr>
          <w:rFonts w:ascii="Times New Roman" w:hAnsi="Times New Roman" w:cs="Times New Roman"/>
          <w:sz w:val="24"/>
          <w:szCs w:val="24"/>
        </w:rPr>
        <w:t xml:space="preserve"> un tiek īstenota saskaņā </w:t>
      </w:r>
      <w:r w:rsidR="00995C22" w:rsidRPr="00A46F3D">
        <w:rPr>
          <w:rFonts w:ascii="Times New Roman" w:hAnsi="Times New Roman" w:cs="Times New Roman"/>
          <w:sz w:val="24"/>
          <w:szCs w:val="24"/>
        </w:rPr>
        <w:t>ar Sabiedrības veselības pamatnostādn</w:t>
      </w:r>
      <w:r w:rsidR="00C02100" w:rsidRPr="00A46F3D">
        <w:rPr>
          <w:rFonts w:ascii="Times New Roman" w:hAnsi="Times New Roman" w:cs="Times New Roman"/>
          <w:sz w:val="24"/>
          <w:szCs w:val="24"/>
        </w:rPr>
        <w:t>ē</w:t>
      </w:r>
      <w:r w:rsidR="00995C22" w:rsidRPr="00A46F3D">
        <w:rPr>
          <w:rFonts w:ascii="Times New Roman" w:hAnsi="Times New Roman" w:cs="Times New Roman"/>
          <w:sz w:val="24"/>
          <w:szCs w:val="24"/>
        </w:rPr>
        <w:t>s 2021.-2027.</w:t>
      </w:r>
      <w:r w:rsidR="006F25B7">
        <w:rPr>
          <w:rFonts w:ascii="Times New Roman" w:hAnsi="Times New Roman" w:cs="Times New Roman"/>
          <w:sz w:val="24"/>
          <w:szCs w:val="24"/>
        </w:rPr>
        <w:t> </w:t>
      </w:r>
      <w:r w:rsidR="00995C22" w:rsidRPr="00A46F3D">
        <w:rPr>
          <w:rFonts w:ascii="Times New Roman" w:hAnsi="Times New Roman" w:cs="Times New Roman"/>
          <w:sz w:val="24"/>
          <w:szCs w:val="24"/>
        </w:rPr>
        <w:t>gadam</w:t>
      </w:r>
      <w:r w:rsidR="00995C22" w:rsidRPr="00A46F3D">
        <w:rPr>
          <w:rFonts w:ascii="Times New Roman" w:hAnsi="Times New Roman" w:cs="Times New Roman"/>
          <w:sz w:val="24"/>
          <w:szCs w:val="24"/>
          <w:vertAlign w:val="superscript"/>
        </w:rPr>
        <w:footnoteReference w:id="4"/>
      </w:r>
      <w:r w:rsidR="00995C22" w:rsidRPr="00A46F3D">
        <w:rPr>
          <w:rFonts w:ascii="Times New Roman" w:hAnsi="Times New Roman" w:cs="Times New Roman"/>
          <w:sz w:val="24"/>
          <w:szCs w:val="24"/>
        </w:rPr>
        <w:t xml:space="preserve"> noteikt</w:t>
      </w:r>
      <w:r w:rsidR="00973EDE" w:rsidRPr="00A46F3D">
        <w:rPr>
          <w:rFonts w:ascii="Times New Roman" w:hAnsi="Times New Roman" w:cs="Times New Roman"/>
          <w:sz w:val="24"/>
          <w:szCs w:val="24"/>
        </w:rPr>
        <w:t>o</w:t>
      </w:r>
      <w:r w:rsidR="00401E54" w:rsidRPr="00A46F3D">
        <w:rPr>
          <w:rFonts w:ascii="Times New Roman" w:hAnsi="Times New Roman" w:cs="Times New Roman"/>
          <w:sz w:val="24"/>
          <w:szCs w:val="24"/>
        </w:rPr>
        <w:t>.</w:t>
      </w:r>
    </w:p>
    <w:p w14:paraId="0A7FD176" w14:textId="77777777" w:rsidR="00866294" w:rsidRDefault="0022242A" w:rsidP="0073515D">
      <w:pPr>
        <w:pStyle w:val="ListParagraph"/>
        <w:numPr>
          <w:ilvl w:val="1"/>
          <w:numId w:val="3"/>
        </w:numPr>
        <w:spacing w:before="120" w:line="240" w:lineRule="auto"/>
        <w:ind w:left="720" w:hanging="720"/>
        <w:contextualSpacing w:val="0"/>
        <w:jc w:val="both"/>
        <w:rPr>
          <w:rFonts w:ascii="Times New Roman" w:hAnsi="Times New Roman" w:cs="Times New Roman"/>
          <w:sz w:val="24"/>
          <w:szCs w:val="24"/>
        </w:rPr>
      </w:pPr>
      <w:bookmarkStart w:id="3" w:name="_Ref95403758"/>
      <w:r w:rsidRPr="00CF1ACE">
        <w:rPr>
          <w:rFonts w:ascii="Times New Roman" w:hAnsi="Times New Roman" w:cs="Times New Roman"/>
          <w:sz w:val="24"/>
          <w:szCs w:val="24"/>
        </w:rPr>
        <w:t>Investīcijas</w:t>
      </w:r>
      <w:r w:rsidR="00781C6B" w:rsidRPr="00CF1ACE">
        <w:rPr>
          <w:rFonts w:ascii="Times New Roman" w:hAnsi="Times New Roman" w:cs="Times New Roman"/>
          <w:sz w:val="24"/>
          <w:szCs w:val="24"/>
        </w:rPr>
        <w:t xml:space="preserve"> atskaites punkt</w:t>
      </w:r>
      <w:r w:rsidR="00035EF2" w:rsidRPr="00CF1ACE">
        <w:rPr>
          <w:rFonts w:ascii="Times New Roman" w:hAnsi="Times New Roman" w:cs="Times New Roman"/>
          <w:sz w:val="24"/>
          <w:szCs w:val="24"/>
        </w:rPr>
        <w:t>u</w:t>
      </w:r>
      <w:r w:rsidR="00781C6B" w:rsidRPr="00A46F3D">
        <w:rPr>
          <w:rFonts w:ascii="Times New Roman" w:hAnsi="Times New Roman" w:cs="Times New Roman"/>
          <w:sz w:val="24"/>
          <w:szCs w:val="24"/>
        </w:rPr>
        <w:t xml:space="preserve"> īstenotājs</w:t>
      </w:r>
      <w:r w:rsidR="003D3666" w:rsidRPr="00A46F3D">
        <w:rPr>
          <w:rFonts w:ascii="Times New Roman" w:hAnsi="Times New Roman" w:cs="Times New Roman"/>
          <w:sz w:val="24"/>
          <w:szCs w:val="24"/>
        </w:rPr>
        <w:t xml:space="preserve"> un finansējuma saņēmējs ir </w:t>
      </w:r>
      <w:r w:rsidR="002D3F30">
        <w:rPr>
          <w:rFonts w:ascii="Times New Roman" w:hAnsi="Times New Roman" w:cs="Times New Roman"/>
          <w:sz w:val="24"/>
          <w:szCs w:val="24"/>
        </w:rPr>
        <w:t xml:space="preserve">Veselības </w:t>
      </w:r>
      <w:r w:rsidR="006A679F">
        <w:rPr>
          <w:rFonts w:ascii="Times New Roman" w:hAnsi="Times New Roman" w:cs="Times New Roman"/>
          <w:sz w:val="24"/>
          <w:szCs w:val="24"/>
        </w:rPr>
        <w:t xml:space="preserve">ministrijas padotībā esoša </w:t>
      </w:r>
      <w:r w:rsidR="00B21BB3">
        <w:rPr>
          <w:rFonts w:ascii="Times New Roman" w:hAnsi="Times New Roman" w:cs="Times New Roman"/>
          <w:sz w:val="24"/>
          <w:szCs w:val="24"/>
        </w:rPr>
        <w:t>valsts pārvaldes iestāde “</w:t>
      </w:r>
      <w:r w:rsidR="009F189C" w:rsidRPr="00A46F3D">
        <w:rPr>
          <w:rFonts w:ascii="Times New Roman" w:hAnsi="Times New Roman" w:cs="Times New Roman"/>
          <w:sz w:val="24"/>
          <w:szCs w:val="24"/>
        </w:rPr>
        <w:t>Slimību profilakses un kontroles centrs”</w:t>
      </w:r>
      <w:r w:rsidR="00781C6B" w:rsidRPr="00A46F3D">
        <w:rPr>
          <w:rFonts w:ascii="Times New Roman" w:hAnsi="Times New Roman" w:cs="Times New Roman"/>
          <w:sz w:val="24"/>
          <w:szCs w:val="24"/>
        </w:rPr>
        <w:t xml:space="preserve"> </w:t>
      </w:r>
      <w:r w:rsidR="003D3666" w:rsidRPr="00A46F3D">
        <w:rPr>
          <w:rFonts w:ascii="Times New Roman" w:hAnsi="Times New Roman" w:cs="Times New Roman"/>
          <w:sz w:val="24"/>
          <w:szCs w:val="24"/>
        </w:rPr>
        <w:t xml:space="preserve">(turpmāk – </w:t>
      </w:r>
      <w:r w:rsidR="00C964DD" w:rsidRPr="00A46F3D">
        <w:rPr>
          <w:rFonts w:ascii="Times New Roman" w:hAnsi="Times New Roman" w:cs="Times New Roman"/>
          <w:sz w:val="24"/>
          <w:szCs w:val="24"/>
        </w:rPr>
        <w:t xml:space="preserve">finansējuma </w:t>
      </w:r>
      <w:r w:rsidR="003D3666" w:rsidRPr="00A46F3D">
        <w:rPr>
          <w:rFonts w:ascii="Times New Roman" w:hAnsi="Times New Roman" w:cs="Times New Roman"/>
          <w:sz w:val="24"/>
          <w:szCs w:val="24"/>
        </w:rPr>
        <w:t>saņēmējs)</w:t>
      </w:r>
      <w:r w:rsidR="00527198" w:rsidRPr="00A46F3D">
        <w:rPr>
          <w:rFonts w:ascii="Times New Roman" w:hAnsi="Times New Roman" w:cs="Times New Roman"/>
          <w:sz w:val="24"/>
          <w:szCs w:val="24"/>
        </w:rPr>
        <w:t>,</w:t>
      </w:r>
      <w:r w:rsidR="008828D8" w:rsidRPr="00A46F3D">
        <w:rPr>
          <w:rFonts w:ascii="Times New Roman" w:hAnsi="Times New Roman" w:cs="Times New Roman"/>
          <w:sz w:val="24"/>
          <w:szCs w:val="24"/>
        </w:rPr>
        <w:t xml:space="preserve"> </w:t>
      </w:r>
      <w:r w:rsidR="002A3416">
        <w:rPr>
          <w:rFonts w:ascii="Times New Roman" w:hAnsi="Times New Roman" w:cs="Times New Roman"/>
          <w:sz w:val="24"/>
          <w:szCs w:val="24"/>
        </w:rPr>
        <w:t>pamatojoties uz</w:t>
      </w:r>
      <w:r w:rsidR="008828D8" w:rsidRPr="00A46F3D">
        <w:rPr>
          <w:rFonts w:ascii="Times New Roman" w:hAnsi="Times New Roman" w:cs="Times New Roman"/>
          <w:sz w:val="24"/>
          <w:szCs w:val="24"/>
        </w:rPr>
        <w:t xml:space="preserve"> Ministru kabineta 20</w:t>
      </w:r>
      <w:r w:rsidR="00407926" w:rsidRPr="00A46F3D">
        <w:rPr>
          <w:rFonts w:ascii="Times New Roman" w:hAnsi="Times New Roman" w:cs="Times New Roman"/>
          <w:sz w:val="24"/>
          <w:szCs w:val="24"/>
        </w:rPr>
        <w:t>12</w:t>
      </w:r>
      <w:r w:rsidR="008828D8" w:rsidRPr="00A46F3D">
        <w:rPr>
          <w:rFonts w:ascii="Times New Roman" w:hAnsi="Times New Roman" w:cs="Times New Roman"/>
          <w:sz w:val="24"/>
          <w:szCs w:val="24"/>
        </w:rPr>
        <w:t>.</w:t>
      </w:r>
      <w:r w:rsidR="006F25B7">
        <w:rPr>
          <w:rFonts w:ascii="Times New Roman" w:hAnsi="Times New Roman" w:cs="Times New Roman"/>
          <w:sz w:val="24"/>
          <w:szCs w:val="24"/>
        </w:rPr>
        <w:t> </w:t>
      </w:r>
      <w:r w:rsidR="008828D8" w:rsidRPr="00A46F3D">
        <w:rPr>
          <w:rFonts w:ascii="Times New Roman" w:hAnsi="Times New Roman" w:cs="Times New Roman"/>
          <w:sz w:val="24"/>
          <w:szCs w:val="24"/>
        </w:rPr>
        <w:t xml:space="preserve">gada </w:t>
      </w:r>
      <w:r w:rsidR="00407926" w:rsidRPr="00A46F3D">
        <w:rPr>
          <w:rFonts w:ascii="Times New Roman" w:hAnsi="Times New Roman" w:cs="Times New Roman"/>
          <w:sz w:val="24"/>
          <w:szCs w:val="24"/>
        </w:rPr>
        <w:t>3.</w:t>
      </w:r>
      <w:r w:rsidR="006F25B7">
        <w:rPr>
          <w:rFonts w:ascii="Times New Roman" w:hAnsi="Times New Roman" w:cs="Times New Roman"/>
          <w:sz w:val="24"/>
          <w:szCs w:val="24"/>
        </w:rPr>
        <w:t> </w:t>
      </w:r>
      <w:r w:rsidR="00407926" w:rsidRPr="00A46F3D">
        <w:rPr>
          <w:rFonts w:ascii="Times New Roman" w:hAnsi="Times New Roman" w:cs="Times New Roman"/>
          <w:sz w:val="24"/>
          <w:szCs w:val="24"/>
        </w:rPr>
        <w:t>aprīļa</w:t>
      </w:r>
      <w:r w:rsidR="008828D8" w:rsidRPr="00A46F3D">
        <w:rPr>
          <w:rFonts w:ascii="Times New Roman" w:hAnsi="Times New Roman" w:cs="Times New Roman"/>
          <w:sz w:val="24"/>
          <w:szCs w:val="24"/>
        </w:rPr>
        <w:t xml:space="preserve"> </w:t>
      </w:r>
      <w:r w:rsidR="00407926" w:rsidRPr="00A46F3D">
        <w:rPr>
          <w:rFonts w:ascii="Times New Roman" w:hAnsi="Times New Roman" w:cs="Times New Roman"/>
          <w:sz w:val="24"/>
          <w:szCs w:val="24"/>
        </w:rPr>
        <w:t>noteikumiem</w:t>
      </w:r>
      <w:r w:rsidR="008828D8" w:rsidRPr="00A46F3D">
        <w:rPr>
          <w:rFonts w:ascii="Times New Roman" w:hAnsi="Times New Roman" w:cs="Times New Roman"/>
          <w:sz w:val="24"/>
          <w:szCs w:val="24"/>
        </w:rPr>
        <w:t xml:space="preserve"> Nr.</w:t>
      </w:r>
      <w:r w:rsidR="006F25B7">
        <w:rPr>
          <w:rFonts w:ascii="Times New Roman" w:hAnsi="Times New Roman" w:cs="Times New Roman"/>
          <w:sz w:val="24"/>
          <w:szCs w:val="24"/>
        </w:rPr>
        <w:t> </w:t>
      </w:r>
      <w:r w:rsidR="00407926" w:rsidRPr="00A46F3D">
        <w:rPr>
          <w:rFonts w:ascii="Times New Roman" w:hAnsi="Times New Roman" w:cs="Times New Roman"/>
          <w:sz w:val="24"/>
          <w:szCs w:val="24"/>
        </w:rPr>
        <w:t>241</w:t>
      </w:r>
      <w:r w:rsidR="008828D8" w:rsidRPr="00A46F3D">
        <w:rPr>
          <w:rFonts w:ascii="Times New Roman" w:hAnsi="Times New Roman" w:cs="Times New Roman"/>
          <w:sz w:val="24"/>
          <w:szCs w:val="24"/>
        </w:rPr>
        <w:t xml:space="preserve"> “</w:t>
      </w:r>
      <w:r w:rsidR="00407926" w:rsidRPr="00A46F3D">
        <w:rPr>
          <w:rFonts w:ascii="Times New Roman" w:hAnsi="Times New Roman" w:cs="Times New Roman"/>
          <w:sz w:val="24"/>
          <w:szCs w:val="24"/>
        </w:rPr>
        <w:t>Slimību profilakses un kontroles centra nolikums</w:t>
      </w:r>
      <w:r w:rsidR="008828D8" w:rsidRPr="00A46F3D">
        <w:rPr>
          <w:rFonts w:ascii="Times New Roman" w:hAnsi="Times New Roman" w:cs="Times New Roman"/>
          <w:sz w:val="24"/>
          <w:szCs w:val="24"/>
        </w:rPr>
        <w:t>"</w:t>
      </w:r>
      <w:r w:rsidR="008C0A60">
        <w:rPr>
          <w:rStyle w:val="FootnoteReference"/>
          <w:rFonts w:ascii="Times New Roman" w:hAnsi="Times New Roman" w:cs="Times New Roman"/>
          <w:sz w:val="24"/>
          <w:szCs w:val="24"/>
        </w:rPr>
        <w:footnoteReference w:id="5"/>
      </w:r>
      <w:r w:rsidR="008828D8" w:rsidRPr="00A46F3D">
        <w:rPr>
          <w:rFonts w:ascii="Times New Roman" w:hAnsi="Times New Roman" w:cs="Times New Roman"/>
          <w:sz w:val="24"/>
          <w:szCs w:val="24"/>
        </w:rPr>
        <w:t xml:space="preserve"> </w:t>
      </w:r>
      <w:bookmarkEnd w:id="3"/>
      <w:r w:rsidR="00881869">
        <w:rPr>
          <w:rFonts w:ascii="Times New Roman" w:hAnsi="Times New Roman" w:cs="Times New Roman"/>
          <w:sz w:val="24"/>
          <w:szCs w:val="24"/>
        </w:rPr>
        <w:t>noteiktajām</w:t>
      </w:r>
      <w:r w:rsidR="00866294">
        <w:rPr>
          <w:rFonts w:ascii="Times New Roman" w:hAnsi="Times New Roman" w:cs="Times New Roman"/>
          <w:sz w:val="24"/>
          <w:szCs w:val="24"/>
        </w:rPr>
        <w:t>:</w:t>
      </w:r>
    </w:p>
    <w:p w14:paraId="7A0FFB55" w14:textId="15883000" w:rsidR="00881869" w:rsidRPr="00CB1DEA" w:rsidRDefault="00180970" w:rsidP="0073515D">
      <w:pPr>
        <w:pStyle w:val="ListParagraph"/>
        <w:numPr>
          <w:ilvl w:val="2"/>
          <w:numId w:val="3"/>
        </w:numPr>
        <w:spacing w:before="120" w:line="240" w:lineRule="auto"/>
        <w:ind w:left="1559" w:hanging="567"/>
        <w:contextualSpacing w:val="0"/>
        <w:jc w:val="both"/>
        <w:rPr>
          <w:rFonts w:ascii="Times New Roman" w:hAnsi="Times New Roman" w:cs="Times New Roman"/>
          <w:sz w:val="24"/>
          <w:szCs w:val="24"/>
          <w:shd w:val="clear" w:color="auto" w:fill="FFFFFF"/>
        </w:rPr>
      </w:pPr>
      <w:r>
        <w:rPr>
          <w:rFonts w:ascii="Times New Roman" w:hAnsi="Times New Roman" w:cs="Times New Roman"/>
          <w:sz w:val="24"/>
          <w:szCs w:val="24"/>
        </w:rPr>
        <w:t>f</w:t>
      </w:r>
      <w:r w:rsidR="0090358F" w:rsidRPr="00CB1DEA">
        <w:rPr>
          <w:rFonts w:ascii="Times New Roman" w:hAnsi="Times New Roman" w:cs="Times New Roman"/>
          <w:sz w:val="24"/>
          <w:szCs w:val="24"/>
        </w:rPr>
        <w:t>unkcij</w:t>
      </w:r>
      <w:r w:rsidR="00881869" w:rsidRPr="00CB1DEA">
        <w:rPr>
          <w:rFonts w:ascii="Times New Roman" w:hAnsi="Times New Roman" w:cs="Times New Roman"/>
          <w:sz w:val="24"/>
          <w:szCs w:val="24"/>
        </w:rPr>
        <w:t>ām</w:t>
      </w:r>
      <w:r>
        <w:rPr>
          <w:rFonts w:ascii="Times New Roman" w:hAnsi="Times New Roman" w:cs="Times New Roman"/>
          <w:sz w:val="24"/>
          <w:szCs w:val="24"/>
        </w:rPr>
        <w:t xml:space="preserve"> </w:t>
      </w:r>
      <w:r w:rsidRPr="00954415">
        <w:rPr>
          <w:rFonts w:ascii="Times New Roman" w:hAnsi="Times New Roman" w:cs="Times New Roman"/>
          <w:sz w:val="24"/>
          <w:szCs w:val="24"/>
        </w:rPr>
        <w:t>–</w:t>
      </w:r>
      <w:r w:rsidR="00866294" w:rsidRPr="00545563">
        <w:rPr>
          <w:rFonts w:ascii="Times New Roman" w:hAnsi="Times New Roman" w:cs="Times New Roman"/>
          <w:sz w:val="24"/>
          <w:szCs w:val="24"/>
          <w:shd w:val="clear" w:color="auto" w:fill="FFFFFF"/>
        </w:rPr>
        <w:t xml:space="preserve"> </w:t>
      </w:r>
      <w:r w:rsidR="00927F87" w:rsidRPr="00545563">
        <w:rPr>
          <w:rFonts w:ascii="Times New Roman" w:hAnsi="Times New Roman" w:cs="Times New Roman"/>
          <w:sz w:val="24"/>
          <w:szCs w:val="24"/>
          <w:shd w:val="clear" w:color="auto" w:fill="FFFFFF"/>
        </w:rPr>
        <w:t>veikt infekcijas slimību epidemioloģisko uzraudzību, monitoringu un izlūkošanu</w:t>
      </w:r>
      <w:r w:rsidR="00545563" w:rsidRPr="00545563">
        <w:rPr>
          <w:rFonts w:ascii="Times New Roman" w:hAnsi="Times New Roman" w:cs="Times New Roman"/>
          <w:sz w:val="24"/>
          <w:szCs w:val="24"/>
          <w:shd w:val="clear" w:color="auto" w:fill="FFFFFF"/>
        </w:rPr>
        <w:t xml:space="preserve">, </w:t>
      </w:r>
      <w:r w:rsidR="00895495" w:rsidRPr="00CB1DEA">
        <w:rPr>
          <w:rFonts w:ascii="Times New Roman" w:hAnsi="Times New Roman" w:cs="Times New Roman"/>
          <w:sz w:val="24"/>
          <w:szCs w:val="24"/>
          <w:shd w:val="clear" w:color="auto" w:fill="FFFFFF"/>
        </w:rPr>
        <w:t>iegūt, apkopot, apstrādāt un analizēt sabiedrības veselības un veselības aprūpes statistikas informāciju</w:t>
      </w:r>
      <w:r w:rsidR="00CB1DEA" w:rsidRPr="00CB1DEA">
        <w:rPr>
          <w:rFonts w:ascii="Times New Roman" w:hAnsi="Times New Roman" w:cs="Times New Roman"/>
          <w:sz w:val="24"/>
          <w:szCs w:val="24"/>
          <w:shd w:val="clear" w:color="auto" w:fill="FFFFFF"/>
        </w:rPr>
        <w:t xml:space="preserve">, </w:t>
      </w:r>
      <w:r w:rsidR="00DF1DBE" w:rsidRPr="00CB1DEA">
        <w:rPr>
          <w:rFonts w:ascii="Times New Roman" w:hAnsi="Times New Roman" w:cs="Times New Roman"/>
          <w:sz w:val="24"/>
          <w:szCs w:val="24"/>
          <w:shd w:val="clear" w:color="auto" w:fill="FFFFFF"/>
        </w:rPr>
        <w:t>veikt sabiedrības veselības monitoringu</w:t>
      </w:r>
      <w:r w:rsidR="00496A8E">
        <w:rPr>
          <w:rFonts w:ascii="Times New Roman" w:hAnsi="Times New Roman" w:cs="Times New Roman"/>
          <w:sz w:val="24"/>
          <w:szCs w:val="24"/>
          <w:shd w:val="clear" w:color="auto" w:fill="FFFFFF"/>
        </w:rPr>
        <w:t xml:space="preserve">, </w:t>
      </w:r>
      <w:r w:rsidR="00496A8E" w:rsidRPr="00496A8E">
        <w:rPr>
          <w:rFonts w:ascii="Times New Roman" w:hAnsi="Times New Roman" w:cs="Times New Roman"/>
          <w:sz w:val="24"/>
          <w:szCs w:val="24"/>
          <w:shd w:val="clear" w:color="auto" w:fill="FFFFFF"/>
        </w:rPr>
        <w:t>izstrādāt uz zinātniskiem pierādījumiem balstītus un labākajai starptautiskajai praksei atbilstošus priekšlikumus veselības aprūpes un sabiedrības veselības politikas veidošanai un sniegt priekšlikumus par šīs politikas prioritātēm</w:t>
      </w:r>
      <w:r w:rsidR="00DF1DBE" w:rsidRPr="00CB1DEA">
        <w:rPr>
          <w:rFonts w:ascii="Times New Roman" w:hAnsi="Times New Roman" w:cs="Times New Roman"/>
          <w:sz w:val="24"/>
          <w:szCs w:val="24"/>
          <w:shd w:val="clear" w:color="auto" w:fill="FFFFFF"/>
        </w:rPr>
        <w:t>;</w:t>
      </w:r>
    </w:p>
    <w:p w14:paraId="4530DFF0" w14:textId="0631A135" w:rsidR="00B22460" w:rsidRPr="00741FF9" w:rsidRDefault="00A46F71" w:rsidP="0073515D">
      <w:pPr>
        <w:pStyle w:val="ListParagraph"/>
        <w:numPr>
          <w:ilvl w:val="2"/>
          <w:numId w:val="3"/>
        </w:numPr>
        <w:spacing w:before="120" w:line="240" w:lineRule="auto"/>
        <w:ind w:left="1559" w:hanging="567"/>
        <w:contextualSpacing w:val="0"/>
        <w:jc w:val="both"/>
        <w:rPr>
          <w:rFonts w:ascii="Times New Roman" w:hAnsi="Times New Roman" w:cs="Times New Roman"/>
          <w:sz w:val="24"/>
          <w:szCs w:val="24"/>
        </w:rPr>
      </w:pPr>
      <w:r w:rsidRPr="00741FF9">
        <w:rPr>
          <w:rFonts w:ascii="Times New Roman" w:hAnsi="Times New Roman" w:cs="Times New Roman"/>
          <w:sz w:val="24"/>
          <w:szCs w:val="24"/>
          <w:shd w:val="clear" w:color="auto" w:fill="FFFFFF"/>
        </w:rPr>
        <w:t>uzdevum</w:t>
      </w:r>
      <w:r w:rsidR="00741FF9">
        <w:rPr>
          <w:rFonts w:ascii="Times New Roman" w:hAnsi="Times New Roman" w:cs="Times New Roman"/>
          <w:sz w:val="24"/>
          <w:szCs w:val="24"/>
          <w:shd w:val="clear" w:color="auto" w:fill="FFFFFF"/>
        </w:rPr>
        <w:t>iem</w:t>
      </w:r>
      <w:r w:rsidR="00180970">
        <w:rPr>
          <w:rFonts w:ascii="Times New Roman" w:hAnsi="Times New Roman" w:cs="Times New Roman"/>
          <w:sz w:val="24"/>
          <w:szCs w:val="24"/>
          <w:shd w:val="clear" w:color="auto" w:fill="FFFFFF"/>
        </w:rPr>
        <w:t xml:space="preserve"> </w:t>
      </w:r>
      <w:r w:rsidR="00180970" w:rsidRPr="00954415">
        <w:rPr>
          <w:rFonts w:ascii="Times New Roman" w:hAnsi="Times New Roman" w:cs="Times New Roman"/>
          <w:sz w:val="24"/>
          <w:szCs w:val="24"/>
        </w:rPr>
        <w:t>–</w:t>
      </w:r>
      <w:r w:rsidR="00741FF9">
        <w:rPr>
          <w:rFonts w:ascii="Times New Roman" w:hAnsi="Times New Roman" w:cs="Times New Roman"/>
          <w:sz w:val="24"/>
          <w:szCs w:val="24"/>
          <w:shd w:val="clear" w:color="auto" w:fill="FFFFFF"/>
        </w:rPr>
        <w:t xml:space="preserve"> </w:t>
      </w:r>
      <w:r w:rsidR="00223418" w:rsidRPr="00741FF9">
        <w:rPr>
          <w:rFonts w:ascii="Times New Roman" w:hAnsi="Times New Roman" w:cs="Times New Roman"/>
          <w:sz w:val="24"/>
          <w:szCs w:val="24"/>
          <w:shd w:val="clear" w:color="auto" w:fill="FFFFFF"/>
        </w:rPr>
        <w:t>plāno</w:t>
      </w:r>
      <w:r w:rsidR="008B70E4">
        <w:rPr>
          <w:rFonts w:ascii="Times New Roman" w:hAnsi="Times New Roman" w:cs="Times New Roman"/>
          <w:sz w:val="24"/>
          <w:szCs w:val="24"/>
          <w:shd w:val="clear" w:color="auto" w:fill="FFFFFF"/>
        </w:rPr>
        <w:t>t</w:t>
      </w:r>
      <w:r w:rsidR="00223418" w:rsidRPr="00741FF9">
        <w:rPr>
          <w:rFonts w:ascii="Times New Roman" w:hAnsi="Times New Roman" w:cs="Times New Roman"/>
          <w:sz w:val="24"/>
          <w:szCs w:val="24"/>
          <w:shd w:val="clear" w:color="auto" w:fill="FFFFFF"/>
        </w:rPr>
        <w:t>, metodiski vad</w:t>
      </w:r>
      <w:r w:rsidR="008B70E4">
        <w:rPr>
          <w:rFonts w:ascii="Times New Roman" w:hAnsi="Times New Roman" w:cs="Times New Roman"/>
          <w:sz w:val="24"/>
          <w:szCs w:val="24"/>
          <w:shd w:val="clear" w:color="auto" w:fill="FFFFFF"/>
        </w:rPr>
        <w:t>īt</w:t>
      </w:r>
      <w:r w:rsidR="00223418" w:rsidRPr="00741FF9">
        <w:rPr>
          <w:rFonts w:ascii="Times New Roman" w:hAnsi="Times New Roman" w:cs="Times New Roman"/>
          <w:sz w:val="24"/>
          <w:szCs w:val="24"/>
          <w:shd w:val="clear" w:color="auto" w:fill="FFFFFF"/>
        </w:rPr>
        <w:t>, organizē</w:t>
      </w:r>
      <w:r w:rsidR="008B70E4">
        <w:rPr>
          <w:rFonts w:ascii="Times New Roman" w:hAnsi="Times New Roman" w:cs="Times New Roman"/>
          <w:sz w:val="24"/>
          <w:szCs w:val="24"/>
          <w:shd w:val="clear" w:color="auto" w:fill="FFFFFF"/>
        </w:rPr>
        <w:t>t</w:t>
      </w:r>
      <w:r w:rsidR="00223418" w:rsidRPr="00741FF9">
        <w:rPr>
          <w:rFonts w:ascii="Times New Roman" w:hAnsi="Times New Roman" w:cs="Times New Roman"/>
          <w:sz w:val="24"/>
          <w:szCs w:val="24"/>
          <w:shd w:val="clear" w:color="auto" w:fill="FFFFFF"/>
        </w:rPr>
        <w:t>, koordinē</w:t>
      </w:r>
      <w:r w:rsidR="008B70E4">
        <w:rPr>
          <w:rFonts w:ascii="Times New Roman" w:hAnsi="Times New Roman" w:cs="Times New Roman"/>
          <w:sz w:val="24"/>
          <w:szCs w:val="24"/>
          <w:shd w:val="clear" w:color="auto" w:fill="FFFFFF"/>
        </w:rPr>
        <w:t>t</w:t>
      </w:r>
      <w:r w:rsidR="00223418" w:rsidRPr="00741FF9">
        <w:rPr>
          <w:rFonts w:ascii="Times New Roman" w:hAnsi="Times New Roman" w:cs="Times New Roman"/>
          <w:sz w:val="24"/>
          <w:szCs w:val="24"/>
          <w:shd w:val="clear" w:color="auto" w:fill="FFFFFF"/>
        </w:rPr>
        <w:t xml:space="preserve"> un vei</w:t>
      </w:r>
      <w:r w:rsidR="008B70E4">
        <w:rPr>
          <w:rFonts w:ascii="Times New Roman" w:hAnsi="Times New Roman" w:cs="Times New Roman"/>
          <w:sz w:val="24"/>
          <w:szCs w:val="24"/>
          <w:shd w:val="clear" w:color="auto" w:fill="FFFFFF"/>
        </w:rPr>
        <w:t>kt</w:t>
      </w:r>
      <w:r w:rsidR="00223418" w:rsidRPr="00741FF9">
        <w:rPr>
          <w:rFonts w:ascii="Times New Roman" w:hAnsi="Times New Roman" w:cs="Times New Roman"/>
          <w:sz w:val="24"/>
          <w:szCs w:val="24"/>
          <w:shd w:val="clear" w:color="auto" w:fill="FFFFFF"/>
        </w:rPr>
        <w:t xml:space="preserve"> pētījumus sabiedrības veselības jomā</w:t>
      </w:r>
      <w:r w:rsidR="00A46F3D" w:rsidRPr="00741FF9">
        <w:rPr>
          <w:rFonts w:ascii="Times New Roman" w:hAnsi="Times New Roman" w:cs="Times New Roman"/>
          <w:sz w:val="24"/>
          <w:szCs w:val="24"/>
          <w:shd w:val="clear" w:color="auto" w:fill="FFFFFF"/>
        </w:rPr>
        <w:t>, atbilstoši kompetencei piedal</w:t>
      </w:r>
      <w:r w:rsidR="008B70E4">
        <w:rPr>
          <w:rFonts w:ascii="Times New Roman" w:hAnsi="Times New Roman" w:cs="Times New Roman"/>
          <w:sz w:val="24"/>
          <w:szCs w:val="24"/>
          <w:shd w:val="clear" w:color="auto" w:fill="FFFFFF"/>
        </w:rPr>
        <w:t>īties</w:t>
      </w:r>
      <w:r w:rsidR="00A46F3D" w:rsidRPr="00741FF9">
        <w:rPr>
          <w:rFonts w:ascii="Times New Roman" w:hAnsi="Times New Roman" w:cs="Times New Roman"/>
          <w:sz w:val="24"/>
          <w:szCs w:val="24"/>
          <w:shd w:val="clear" w:color="auto" w:fill="FFFFFF"/>
        </w:rPr>
        <w:t xml:space="preserve"> normatīvo aktu un attīstības plānošanas dokumentu projektu sagatavošanā un izvērtēšanā. </w:t>
      </w:r>
    </w:p>
    <w:p w14:paraId="550140D9" w14:textId="2E810270" w:rsidR="00BC6028" w:rsidRDefault="009F189C" w:rsidP="00B22460">
      <w:pPr>
        <w:pStyle w:val="ListParagraph"/>
        <w:numPr>
          <w:ilvl w:val="1"/>
          <w:numId w:val="3"/>
        </w:numPr>
        <w:spacing w:before="120" w:after="0" w:line="240" w:lineRule="auto"/>
        <w:ind w:left="720" w:hanging="720"/>
        <w:contextualSpacing w:val="0"/>
        <w:jc w:val="both"/>
        <w:rPr>
          <w:rFonts w:ascii="Times New Roman" w:hAnsi="Times New Roman" w:cs="Times New Roman"/>
          <w:sz w:val="24"/>
          <w:szCs w:val="24"/>
          <w:shd w:val="clear" w:color="auto" w:fill="FFFFFF"/>
        </w:rPr>
      </w:pPr>
      <w:r w:rsidRPr="00B22460">
        <w:rPr>
          <w:rFonts w:ascii="Times New Roman" w:hAnsi="Times New Roman" w:cs="Times New Roman"/>
          <w:sz w:val="24"/>
          <w:szCs w:val="24"/>
          <w:shd w:val="clear" w:color="auto" w:fill="FFFFFF"/>
        </w:rPr>
        <w:t>Investīcijas</w:t>
      </w:r>
      <w:r w:rsidR="00401E54" w:rsidRPr="00B22460">
        <w:rPr>
          <w:rFonts w:ascii="Times New Roman" w:hAnsi="Times New Roman" w:cs="Times New Roman"/>
          <w:sz w:val="24"/>
          <w:szCs w:val="24"/>
          <w:shd w:val="clear" w:color="auto" w:fill="FFFFFF"/>
        </w:rPr>
        <w:t xml:space="preserve"> atskaites punkt</w:t>
      </w:r>
      <w:r w:rsidR="00035EF2" w:rsidRPr="00B22460">
        <w:rPr>
          <w:rFonts w:ascii="Times New Roman" w:hAnsi="Times New Roman" w:cs="Times New Roman"/>
          <w:sz w:val="24"/>
          <w:szCs w:val="24"/>
          <w:shd w:val="clear" w:color="auto" w:fill="FFFFFF"/>
        </w:rPr>
        <w:t>u</w:t>
      </w:r>
      <w:r w:rsidR="00401E54" w:rsidRPr="00B22460">
        <w:rPr>
          <w:rFonts w:ascii="Times New Roman" w:hAnsi="Times New Roman" w:cs="Times New Roman"/>
          <w:sz w:val="24"/>
          <w:szCs w:val="24"/>
          <w:shd w:val="clear" w:color="auto" w:fill="FFFFFF"/>
        </w:rPr>
        <w:t xml:space="preserve"> a</w:t>
      </w:r>
      <w:r w:rsidR="003D3666" w:rsidRPr="00B22460">
        <w:rPr>
          <w:rFonts w:ascii="Times New Roman" w:hAnsi="Times New Roman" w:cs="Times New Roman"/>
          <w:sz w:val="24"/>
          <w:szCs w:val="24"/>
          <w:shd w:val="clear" w:color="auto" w:fill="FFFFFF"/>
        </w:rPr>
        <w:t>tbalsta sniedzējs</w:t>
      </w:r>
      <w:r w:rsidR="00141F52">
        <w:rPr>
          <w:rFonts w:ascii="Times New Roman" w:hAnsi="Times New Roman" w:cs="Times New Roman"/>
          <w:sz w:val="24"/>
          <w:szCs w:val="24"/>
          <w:shd w:val="clear" w:color="auto" w:fill="FFFFFF"/>
        </w:rPr>
        <w:t xml:space="preserve"> un</w:t>
      </w:r>
      <w:r w:rsidR="00380CB2" w:rsidRPr="00B22460">
        <w:rPr>
          <w:rFonts w:ascii="Times New Roman" w:hAnsi="Times New Roman" w:cs="Times New Roman"/>
          <w:sz w:val="24"/>
          <w:szCs w:val="24"/>
          <w:shd w:val="clear" w:color="auto" w:fill="FFFFFF"/>
        </w:rPr>
        <w:t xml:space="preserve"> par ieviešanu atbildīg</w:t>
      </w:r>
      <w:r w:rsidR="007B7647">
        <w:rPr>
          <w:rFonts w:ascii="Times New Roman" w:hAnsi="Times New Roman" w:cs="Times New Roman"/>
          <w:sz w:val="24"/>
          <w:szCs w:val="24"/>
          <w:shd w:val="clear" w:color="auto" w:fill="FFFFFF"/>
        </w:rPr>
        <w:t>a ir</w:t>
      </w:r>
      <w:r w:rsidR="00380CB2" w:rsidRPr="00B22460">
        <w:rPr>
          <w:rFonts w:ascii="Times New Roman" w:hAnsi="Times New Roman" w:cs="Times New Roman"/>
          <w:sz w:val="24"/>
          <w:szCs w:val="24"/>
          <w:shd w:val="clear" w:color="auto" w:fill="FFFFFF"/>
        </w:rPr>
        <w:t xml:space="preserve"> nozares ministrija</w:t>
      </w:r>
      <w:r w:rsidR="003D3666" w:rsidRPr="00B22460">
        <w:rPr>
          <w:rFonts w:ascii="Times New Roman" w:hAnsi="Times New Roman" w:cs="Times New Roman"/>
          <w:sz w:val="24"/>
          <w:szCs w:val="24"/>
          <w:shd w:val="clear" w:color="auto" w:fill="FFFFFF"/>
        </w:rPr>
        <w:t xml:space="preserve"> </w:t>
      </w:r>
      <w:r w:rsidR="00C30C08" w:rsidRPr="00954415">
        <w:rPr>
          <w:rFonts w:ascii="Times New Roman" w:hAnsi="Times New Roman" w:cs="Times New Roman"/>
          <w:sz w:val="24"/>
          <w:szCs w:val="24"/>
        </w:rPr>
        <w:t>–</w:t>
      </w:r>
      <w:r w:rsidR="003D3666" w:rsidRPr="00B22460">
        <w:rPr>
          <w:rFonts w:ascii="Times New Roman" w:hAnsi="Times New Roman" w:cs="Times New Roman"/>
          <w:sz w:val="24"/>
          <w:szCs w:val="24"/>
          <w:shd w:val="clear" w:color="auto" w:fill="FFFFFF"/>
        </w:rPr>
        <w:t xml:space="preserve"> Veselības ministrija</w:t>
      </w:r>
      <w:r w:rsidR="00C172DB">
        <w:rPr>
          <w:rFonts w:ascii="Times New Roman" w:hAnsi="Times New Roman" w:cs="Times New Roman"/>
          <w:sz w:val="24"/>
          <w:szCs w:val="24"/>
          <w:shd w:val="clear" w:color="auto" w:fill="FFFFFF"/>
        </w:rPr>
        <w:t xml:space="preserve"> </w:t>
      </w:r>
      <w:r w:rsidR="003D3666" w:rsidRPr="00B22460">
        <w:rPr>
          <w:rFonts w:ascii="Times New Roman" w:hAnsi="Times New Roman" w:cs="Times New Roman"/>
          <w:sz w:val="24"/>
          <w:szCs w:val="24"/>
          <w:shd w:val="clear" w:color="auto" w:fill="FFFFFF"/>
        </w:rPr>
        <w:t xml:space="preserve">(turpmāk – </w:t>
      </w:r>
      <w:r w:rsidR="00B4168D" w:rsidRPr="00B22460">
        <w:rPr>
          <w:rFonts w:ascii="Times New Roman" w:hAnsi="Times New Roman" w:cs="Times New Roman"/>
          <w:sz w:val="24"/>
          <w:szCs w:val="24"/>
          <w:shd w:val="clear" w:color="auto" w:fill="FFFFFF"/>
        </w:rPr>
        <w:t>nozares ministrija</w:t>
      </w:r>
      <w:r w:rsidR="003D3666" w:rsidRPr="00B22460">
        <w:rPr>
          <w:rFonts w:ascii="Times New Roman" w:hAnsi="Times New Roman" w:cs="Times New Roman"/>
          <w:sz w:val="24"/>
          <w:szCs w:val="24"/>
          <w:shd w:val="clear" w:color="auto" w:fill="FFFFFF"/>
        </w:rPr>
        <w:t>).</w:t>
      </w:r>
      <w:r w:rsidR="00BA057D" w:rsidRPr="00B22460">
        <w:rPr>
          <w:rFonts w:ascii="Times New Roman" w:hAnsi="Times New Roman" w:cs="Times New Roman"/>
          <w:sz w:val="24"/>
          <w:szCs w:val="24"/>
          <w:shd w:val="clear" w:color="auto" w:fill="FFFFFF"/>
        </w:rPr>
        <w:t xml:space="preserve"> </w:t>
      </w:r>
    </w:p>
    <w:p w14:paraId="0FC32162" w14:textId="6B667722" w:rsidR="003D3666" w:rsidRDefault="00B22460" w:rsidP="0007578C">
      <w:pPr>
        <w:pStyle w:val="ListParagraph"/>
        <w:numPr>
          <w:ilvl w:val="1"/>
          <w:numId w:val="3"/>
        </w:numPr>
        <w:spacing w:before="120" w:after="0" w:line="240" w:lineRule="auto"/>
        <w:ind w:left="720" w:hanging="720"/>
        <w:contextualSpacing w:val="0"/>
        <w:jc w:val="both"/>
        <w:rPr>
          <w:rFonts w:ascii="Times New Roman" w:hAnsi="Times New Roman" w:cs="Times New Roman"/>
          <w:sz w:val="24"/>
          <w:szCs w:val="24"/>
          <w:shd w:val="clear" w:color="auto" w:fill="FFFFFF"/>
        </w:rPr>
      </w:pPr>
      <w:r w:rsidRPr="00B22460">
        <w:rPr>
          <w:rFonts w:ascii="Times New Roman" w:hAnsi="Times New Roman" w:cs="Times New Roman"/>
          <w:sz w:val="24"/>
          <w:szCs w:val="24"/>
          <w:shd w:val="clear" w:color="auto" w:fill="FFFFFF"/>
        </w:rPr>
        <w:t xml:space="preserve">Finansējuma saņēmējs kā sadarbības partneri piesaista Veselības ministriju, lai nodrošinātu atskaites punktu un mērķu īstenošanu, kas saistīti ar nozares </w:t>
      </w:r>
      <w:proofErr w:type="spellStart"/>
      <w:r w:rsidRPr="00B22460">
        <w:rPr>
          <w:rFonts w:ascii="Times New Roman" w:hAnsi="Times New Roman" w:cs="Times New Roman"/>
          <w:sz w:val="24"/>
          <w:szCs w:val="24"/>
          <w:shd w:val="clear" w:color="auto" w:fill="FFFFFF"/>
        </w:rPr>
        <w:t>rīcībpolitikas</w:t>
      </w:r>
      <w:proofErr w:type="spellEnd"/>
      <w:r w:rsidRPr="00B22460">
        <w:rPr>
          <w:rFonts w:ascii="Times New Roman" w:hAnsi="Times New Roman" w:cs="Times New Roman"/>
          <w:sz w:val="24"/>
          <w:szCs w:val="24"/>
          <w:shd w:val="clear" w:color="auto" w:fill="FFFFFF"/>
        </w:rPr>
        <w:t xml:space="preserve"> īstenošanu, atbilstoši Veselības ministrijas kompetencei izstrādāt veselības politiku, organizēt un koordinēt veselības politikas īstenošanu (kas nodalīta no nozares ministrijas funkcijas), atbilstoši atbalstāmajām darbībām, piemēram, nodrošinot projekta rezultātu iestrādi plānošanas dokumentos.</w:t>
      </w:r>
    </w:p>
    <w:p w14:paraId="54F533A2" w14:textId="77777777" w:rsidR="000B7CC2" w:rsidRPr="0007578C" w:rsidRDefault="000B7CC2" w:rsidP="000B7CC2">
      <w:pPr>
        <w:pStyle w:val="ListParagraph"/>
        <w:spacing w:before="120" w:after="0" w:line="240" w:lineRule="auto"/>
        <w:contextualSpacing w:val="0"/>
        <w:jc w:val="both"/>
        <w:rPr>
          <w:rFonts w:ascii="Times New Roman" w:hAnsi="Times New Roman" w:cs="Times New Roman"/>
          <w:sz w:val="24"/>
          <w:szCs w:val="24"/>
          <w:shd w:val="clear" w:color="auto" w:fill="FFFFFF"/>
        </w:rPr>
      </w:pPr>
    </w:p>
    <w:p w14:paraId="4453BB61" w14:textId="52618780" w:rsidR="00191722" w:rsidRPr="007837C4" w:rsidRDefault="00191722" w:rsidP="00981FC4">
      <w:pPr>
        <w:pStyle w:val="Heading1"/>
        <w:numPr>
          <w:ilvl w:val="0"/>
          <w:numId w:val="3"/>
        </w:numPr>
        <w:spacing w:before="120" w:line="240" w:lineRule="auto"/>
        <w:ind w:hanging="720"/>
        <w:rPr>
          <w:rFonts w:eastAsia="Times New Roman" w:cs="Times New Roman"/>
          <w:b/>
          <w:bCs/>
          <w:sz w:val="24"/>
          <w:szCs w:val="24"/>
        </w:rPr>
      </w:pPr>
      <w:bookmarkStart w:id="4" w:name="_Ref94209710"/>
      <w:bookmarkStart w:id="5" w:name="_Toc110002931"/>
      <w:r w:rsidRPr="007837C4">
        <w:rPr>
          <w:rFonts w:eastAsia="Times New Roman" w:cs="Times New Roman"/>
          <w:b/>
          <w:bCs/>
          <w:sz w:val="24"/>
          <w:szCs w:val="24"/>
        </w:rPr>
        <w:t>Rādītāji</w:t>
      </w:r>
      <w:bookmarkEnd w:id="4"/>
      <w:bookmarkEnd w:id="5"/>
    </w:p>
    <w:p w14:paraId="171D6E0B" w14:textId="77777777" w:rsidR="00D50181" w:rsidRDefault="00016AB1" w:rsidP="00E514AD">
      <w:pPr>
        <w:pStyle w:val="ListParagraph"/>
        <w:numPr>
          <w:ilvl w:val="1"/>
          <w:numId w:val="3"/>
        </w:numPr>
        <w:spacing w:before="120" w:line="240" w:lineRule="auto"/>
        <w:ind w:left="720" w:hanging="720"/>
        <w:contextualSpacing w:val="0"/>
        <w:jc w:val="both"/>
        <w:rPr>
          <w:rFonts w:ascii="Times New Roman" w:hAnsi="Times New Roman" w:cs="Times New Roman"/>
          <w:sz w:val="24"/>
          <w:szCs w:val="24"/>
        </w:rPr>
      </w:pPr>
      <w:bookmarkStart w:id="6" w:name="_Ref94209849"/>
      <w:bookmarkStart w:id="7" w:name="_Hlk85655641"/>
      <w:r w:rsidRPr="00B403C8">
        <w:rPr>
          <w:rFonts w:ascii="Times New Roman" w:hAnsi="Times New Roman" w:cs="Times New Roman"/>
          <w:sz w:val="24"/>
          <w:szCs w:val="24"/>
        </w:rPr>
        <w:t>Investīcijas</w:t>
      </w:r>
      <w:r w:rsidR="00401E54" w:rsidRPr="00B403C8">
        <w:rPr>
          <w:rFonts w:ascii="Times New Roman" w:hAnsi="Times New Roman" w:cs="Times New Roman"/>
          <w:sz w:val="24"/>
          <w:szCs w:val="24"/>
        </w:rPr>
        <w:t xml:space="preserve"> </w:t>
      </w:r>
      <w:r w:rsidR="00D50181">
        <w:rPr>
          <w:rFonts w:ascii="Times New Roman" w:hAnsi="Times New Roman" w:cs="Times New Roman"/>
          <w:sz w:val="24"/>
          <w:szCs w:val="24"/>
        </w:rPr>
        <w:t>ietvaros sasniedzami šādi rādītāji:</w:t>
      </w:r>
    </w:p>
    <w:p w14:paraId="6FE8E25A" w14:textId="77777777" w:rsidR="00E514AD" w:rsidRDefault="00172E6B" w:rsidP="00E514AD">
      <w:pPr>
        <w:pStyle w:val="ListParagraph"/>
        <w:numPr>
          <w:ilvl w:val="2"/>
          <w:numId w:val="3"/>
        </w:numPr>
        <w:spacing w:before="120" w:after="120" w:line="240" w:lineRule="auto"/>
        <w:ind w:left="1276" w:hanging="567"/>
        <w:contextualSpacing w:val="0"/>
        <w:jc w:val="both"/>
        <w:rPr>
          <w:rFonts w:ascii="Times New Roman" w:hAnsi="Times New Roman" w:cs="Times New Roman"/>
          <w:sz w:val="24"/>
          <w:szCs w:val="24"/>
        </w:rPr>
      </w:pPr>
      <w:r w:rsidRPr="00E514AD">
        <w:rPr>
          <w:rFonts w:ascii="Times New Roman" w:hAnsi="Times New Roman" w:cs="Times New Roman"/>
          <w:sz w:val="24"/>
          <w:szCs w:val="24"/>
        </w:rPr>
        <w:t xml:space="preserve">atskaites punkts </w:t>
      </w:r>
      <w:r w:rsidR="00C30C08" w:rsidRPr="00E514AD">
        <w:rPr>
          <w:rFonts w:ascii="Times New Roman" w:hAnsi="Times New Roman" w:cs="Times New Roman"/>
          <w:sz w:val="24"/>
          <w:szCs w:val="24"/>
        </w:rPr>
        <w:t>–</w:t>
      </w:r>
      <w:r w:rsidRPr="00E514AD">
        <w:rPr>
          <w:rFonts w:ascii="Times New Roman" w:hAnsi="Times New Roman" w:cs="Times New Roman"/>
          <w:sz w:val="24"/>
          <w:szCs w:val="24"/>
        </w:rPr>
        <w:t xml:space="preserve"> </w:t>
      </w:r>
      <w:r w:rsidR="00401E54" w:rsidRPr="00E514AD">
        <w:rPr>
          <w:rFonts w:ascii="Times New Roman" w:hAnsi="Times New Roman" w:cs="Times New Roman"/>
          <w:sz w:val="24"/>
          <w:szCs w:val="24"/>
        </w:rPr>
        <w:t>līdz 202</w:t>
      </w:r>
      <w:r w:rsidR="00A314DC" w:rsidRPr="00E514AD">
        <w:rPr>
          <w:rFonts w:ascii="Times New Roman" w:hAnsi="Times New Roman" w:cs="Times New Roman"/>
          <w:sz w:val="24"/>
          <w:szCs w:val="24"/>
        </w:rPr>
        <w:t>2</w:t>
      </w:r>
      <w:r w:rsidR="00401E54" w:rsidRPr="00E514AD">
        <w:rPr>
          <w:rFonts w:ascii="Times New Roman" w:hAnsi="Times New Roman" w:cs="Times New Roman"/>
          <w:sz w:val="24"/>
          <w:szCs w:val="24"/>
        </w:rPr>
        <w:t>.</w:t>
      </w:r>
      <w:r w:rsidR="006B4FE7" w:rsidRPr="00E514AD">
        <w:rPr>
          <w:rFonts w:ascii="Times New Roman" w:hAnsi="Times New Roman" w:cs="Times New Roman"/>
          <w:sz w:val="24"/>
          <w:szCs w:val="24"/>
        </w:rPr>
        <w:t> </w:t>
      </w:r>
      <w:r w:rsidR="00401E54" w:rsidRPr="00E514AD">
        <w:rPr>
          <w:rFonts w:ascii="Times New Roman" w:hAnsi="Times New Roman" w:cs="Times New Roman"/>
          <w:sz w:val="24"/>
          <w:szCs w:val="24"/>
        </w:rPr>
        <w:t>gada 3</w:t>
      </w:r>
      <w:r w:rsidR="00386DB7" w:rsidRPr="00E514AD">
        <w:rPr>
          <w:rFonts w:ascii="Times New Roman" w:hAnsi="Times New Roman" w:cs="Times New Roman"/>
          <w:sz w:val="24"/>
          <w:szCs w:val="24"/>
        </w:rPr>
        <w:t>0</w:t>
      </w:r>
      <w:r w:rsidR="00401E54" w:rsidRPr="00E514AD">
        <w:rPr>
          <w:rFonts w:ascii="Times New Roman" w:hAnsi="Times New Roman" w:cs="Times New Roman"/>
          <w:sz w:val="24"/>
          <w:szCs w:val="24"/>
        </w:rPr>
        <w:t>.</w:t>
      </w:r>
      <w:r w:rsidR="006B4FE7" w:rsidRPr="00E514AD">
        <w:rPr>
          <w:rFonts w:ascii="Times New Roman" w:hAnsi="Times New Roman" w:cs="Times New Roman"/>
          <w:sz w:val="24"/>
          <w:szCs w:val="24"/>
        </w:rPr>
        <w:t> </w:t>
      </w:r>
      <w:r w:rsidR="00386DB7" w:rsidRPr="00E514AD">
        <w:rPr>
          <w:rFonts w:ascii="Times New Roman" w:hAnsi="Times New Roman" w:cs="Times New Roman"/>
          <w:sz w:val="24"/>
          <w:szCs w:val="24"/>
        </w:rPr>
        <w:t>septembrim</w:t>
      </w:r>
      <w:r w:rsidR="00401E54" w:rsidRPr="00E514AD">
        <w:rPr>
          <w:rFonts w:ascii="Times New Roman" w:hAnsi="Times New Roman" w:cs="Times New Roman"/>
          <w:sz w:val="24"/>
          <w:szCs w:val="24"/>
        </w:rPr>
        <w:t xml:space="preserve"> </w:t>
      </w:r>
      <w:bookmarkEnd w:id="6"/>
      <w:r w:rsidR="00A06643" w:rsidRPr="00E514AD">
        <w:rPr>
          <w:rFonts w:ascii="Times New Roman" w:hAnsi="Times New Roman" w:cs="Times New Roman"/>
          <w:sz w:val="24"/>
          <w:szCs w:val="24"/>
        </w:rPr>
        <w:t xml:space="preserve">metodikas pieņemšana </w:t>
      </w:r>
      <w:r w:rsidR="00B403C8" w:rsidRPr="00E514AD">
        <w:rPr>
          <w:rFonts w:ascii="Times New Roman" w:hAnsi="Times New Roman" w:cs="Times New Roman"/>
          <w:sz w:val="24"/>
          <w:szCs w:val="24"/>
        </w:rPr>
        <w:t>trīs pētījumiem ar mērķi uzlabot sabiedrības veselības politikas plānošanu un īstenošanu mikroorganismu rezistences, vakcinācijas un infekcij</w:t>
      </w:r>
      <w:r w:rsidR="00FC0AE0" w:rsidRPr="00E514AD">
        <w:rPr>
          <w:rFonts w:ascii="Times New Roman" w:hAnsi="Times New Roman" w:cs="Times New Roman"/>
          <w:sz w:val="24"/>
          <w:szCs w:val="24"/>
        </w:rPr>
        <w:t>as</w:t>
      </w:r>
      <w:r w:rsidR="00B403C8" w:rsidRPr="00E514AD">
        <w:rPr>
          <w:rFonts w:ascii="Times New Roman" w:hAnsi="Times New Roman" w:cs="Times New Roman"/>
          <w:sz w:val="24"/>
          <w:szCs w:val="24"/>
        </w:rPr>
        <w:t xml:space="preserve"> slimību jomā</w:t>
      </w:r>
      <w:r w:rsidR="006B4FE7" w:rsidRPr="00E514AD">
        <w:rPr>
          <w:rFonts w:ascii="Times New Roman" w:hAnsi="Times New Roman" w:cs="Times New Roman"/>
          <w:sz w:val="24"/>
          <w:szCs w:val="24"/>
        </w:rPr>
        <w:t>;</w:t>
      </w:r>
    </w:p>
    <w:p w14:paraId="3FFBF9DA" w14:textId="7D84EF9A" w:rsidR="006D4576" w:rsidRPr="00E514AD" w:rsidRDefault="00551A94" w:rsidP="00E514AD">
      <w:pPr>
        <w:pStyle w:val="ListParagraph"/>
        <w:numPr>
          <w:ilvl w:val="2"/>
          <w:numId w:val="3"/>
        </w:numPr>
        <w:spacing w:before="120" w:after="120" w:line="240" w:lineRule="auto"/>
        <w:ind w:left="1276" w:hanging="567"/>
        <w:contextualSpacing w:val="0"/>
        <w:jc w:val="both"/>
        <w:rPr>
          <w:rFonts w:ascii="Times New Roman" w:hAnsi="Times New Roman" w:cs="Times New Roman"/>
          <w:sz w:val="24"/>
          <w:szCs w:val="24"/>
        </w:rPr>
      </w:pPr>
      <w:r w:rsidRPr="00E514AD">
        <w:rPr>
          <w:rFonts w:ascii="Times New Roman" w:hAnsi="Times New Roman" w:cs="Times New Roman"/>
          <w:sz w:val="24"/>
          <w:szCs w:val="24"/>
        </w:rPr>
        <w:t xml:space="preserve">atskaites punkts </w:t>
      </w:r>
      <w:r w:rsidR="00C30C08" w:rsidRPr="00E514AD">
        <w:rPr>
          <w:rFonts w:ascii="Times New Roman" w:hAnsi="Times New Roman" w:cs="Times New Roman"/>
          <w:sz w:val="24"/>
          <w:szCs w:val="24"/>
        </w:rPr>
        <w:t>–</w:t>
      </w:r>
      <w:r w:rsidRPr="00E514AD">
        <w:rPr>
          <w:rFonts w:ascii="Times New Roman" w:hAnsi="Times New Roman" w:cs="Times New Roman"/>
          <w:sz w:val="24"/>
          <w:szCs w:val="24"/>
        </w:rPr>
        <w:t xml:space="preserve"> līdz 2025.</w:t>
      </w:r>
      <w:r w:rsidR="006B4FE7" w:rsidRPr="00E514AD">
        <w:rPr>
          <w:rFonts w:ascii="Times New Roman" w:hAnsi="Times New Roman" w:cs="Times New Roman"/>
          <w:sz w:val="24"/>
          <w:szCs w:val="24"/>
        </w:rPr>
        <w:t> </w:t>
      </w:r>
      <w:r w:rsidRPr="00E514AD">
        <w:rPr>
          <w:rFonts w:ascii="Times New Roman" w:hAnsi="Times New Roman" w:cs="Times New Roman"/>
          <w:sz w:val="24"/>
          <w:szCs w:val="24"/>
        </w:rPr>
        <w:t>gada 31.</w:t>
      </w:r>
      <w:r w:rsidR="006B4FE7" w:rsidRPr="00E514AD">
        <w:rPr>
          <w:rFonts w:ascii="Times New Roman" w:hAnsi="Times New Roman" w:cs="Times New Roman"/>
          <w:sz w:val="24"/>
          <w:szCs w:val="24"/>
        </w:rPr>
        <w:t> </w:t>
      </w:r>
      <w:r w:rsidRPr="00E514AD">
        <w:rPr>
          <w:rFonts w:ascii="Times New Roman" w:hAnsi="Times New Roman" w:cs="Times New Roman"/>
          <w:sz w:val="24"/>
          <w:szCs w:val="24"/>
        </w:rPr>
        <w:t xml:space="preserve">decembrim </w:t>
      </w:r>
      <w:r w:rsidR="00F0684B" w:rsidRPr="00E514AD">
        <w:rPr>
          <w:rFonts w:ascii="Times New Roman" w:hAnsi="Times New Roman" w:cs="Times New Roman"/>
          <w:sz w:val="24"/>
          <w:szCs w:val="24"/>
        </w:rPr>
        <w:t>sabiedrības veselības pētniecība, kas veikta, lai uzlabotu sabiedrības veselības politikas</w:t>
      </w:r>
      <w:r w:rsidR="004F3E21" w:rsidRPr="00E514AD">
        <w:rPr>
          <w:rFonts w:ascii="Times New Roman" w:hAnsi="Times New Roman" w:cs="Times New Roman"/>
          <w:sz w:val="24"/>
          <w:szCs w:val="24"/>
        </w:rPr>
        <w:t xml:space="preserve"> </w:t>
      </w:r>
      <w:r w:rsidR="004F3E21" w:rsidRPr="00E514AD">
        <w:rPr>
          <w:rFonts w:ascii="Times New Roman" w:hAnsi="Times New Roman" w:cs="Times New Roman"/>
          <w:sz w:val="24"/>
          <w:szCs w:val="24"/>
        </w:rPr>
        <w:lastRenderedPageBreak/>
        <w:t xml:space="preserve">plānošanu un īstenošanu mikroorganismu rezistences, vakcinācijas </w:t>
      </w:r>
      <w:r w:rsidR="00EE1F7C" w:rsidRPr="00E514AD">
        <w:rPr>
          <w:rFonts w:ascii="Times New Roman" w:hAnsi="Times New Roman" w:cs="Times New Roman"/>
          <w:sz w:val="24"/>
          <w:szCs w:val="24"/>
        </w:rPr>
        <w:t>un infekcijas slimību jomā</w:t>
      </w:r>
      <w:r w:rsidR="006B4FE7" w:rsidRPr="00E514AD">
        <w:rPr>
          <w:rFonts w:ascii="Times New Roman" w:hAnsi="Times New Roman" w:cs="Times New Roman"/>
          <w:sz w:val="24"/>
          <w:szCs w:val="24"/>
        </w:rPr>
        <w:t>;</w:t>
      </w:r>
    </w:p>
    <w:p w14:paraId="510539AA" w14:textId="3E3B97E5" w:rsidR="00EE1F7C" w:rsidRPr="00E514AD" w:rsidRDefault="00EE1F7C" w:rsidP="00E514AD">
      <w:pPr>
        <w:pStyle w:val="ListParagraph"/>
        <w:numPr>
          <w:ilvl w:val="2"/>
          <w:numId w:val="3"/>
        </w:numPr>
        <w:spacing w:before="120" w:after="0" w:line="240" w:lineRule="auto"/>
        <w:ind w:left="1276" w:hanging="567"/>
        <w:jc w:val="both"/>
        <w:rPr>
          <w:rFonts w:ascii="Times New Roman" w:hAnsi="Times New Roman" w:cs="Times New Roman"/>
          <w:sz w:val="24"/>
          <w:szCs w:val="24"/>
        </w:rPr>
      </w:pPr>
      <w:r w:rsidRPr="00E514AD">
        <w:rPr>
          <w:rFonts w:ascii="Times New Roman" w:hAnsi="Times New Roman" w:cs="Times New Roman"/>
          <w:sz w:val="24"/>
          <w:szCs w:val="24"/>
        </w:rPr>
        <w:t xml:space="preserve">atskaites punkts </w:t>
      </w:r>
      <w:r w:rsidR="00C30C08" w:rsidRPr="00E514AD">
        <w:rPr>
          <w:rFonts w:ascii="Times New Roman" w:hAnsi="Times New Roman" w:cs="Times New Roman"/>
          <w:sz w:val="24"/>
          <w:szCs w:val="24"/>
        </w:rPr>
        <w:t>–</w:t>
      </w:r>
      <w:r w:rsidRPr="00E514AD">
        <w:rPr>
          <w:rFonts w:ascii="Times New Roman" w:hAnsi="Times New Roman" w:cs="Times New Roman"/>
          <w:sz w:val="24"/>
          <w:szCs w:val="24"/>
        </w:rPr>
        <w:t xml:space="preserve"> līdz 2026.</w:t>
      </w:r>
      <w:r w:rsidR="006B4FE7" w:rsidRPr="00E514AD">
        <w:rPr>
          <w:rFonts w:ascii="Times New Roman" w:hAnsi="Times New Roman" w:cs="Times New Roman"/>
          <w:sz w:val="24"/>
          <w:szCs w:val="24"/>
        </w:rPr>
        <w:t> </w:t>
      </w:r>
      <w:r w:rsidRPr="00E514AD">
        <w:rPr>
          <w:rFonts w:ascii="Times New Roman" w:hAnsi="Times New Roman" w:cs="Times New Roman"/>
          <w:sz w:val="24"/>
          <w:szCs w:val="24"/>
        </w:rPr>
        <w:t>gada 30.</w:t>
      </w:r>
      <w:r w:rsidR="006B4FE7" w:rsidRPr="00E514AD">
        <w:rPr>
          <w:rFonts w:ascii="Times New Roman" w:hAnsi="Times New Roman" w:cs="Times New Roman"/>
          <w:sz w:val="24"/>
          <w:szCs w:val="24"/>
        </w:rPr>
        <w:t> </w:t>
      </w:r>
      <w:r w:rsidRPr="00E514AD">
        <w:rPr>
          <w:rFonts w:ascii="Times New Roman" w:hAnsi="Times New Roman" w:cs="Times New Roman"/>
          <w:sz w:val="24"/>
          <w:szCs w:val="24"/>
        </w:rPr>
        <w:t xml:space="preserve">jūnijam </w:t>
      </w:r>
      <w:r w:rsidR="00A513A9" w:rsidRPr="00E514AD">
        <w:rPr>
          <w:rFonts w:ascii="Times New Roman" w:hAnsi="Times New Roman" w:cs="Times New Roman"/>
          <w:sz w:val="24"/>
          <w:szCs w:val="24"/>
        </w:rPr>
        <w:t xml:space="preserve">tādu tiesību aktu stāšanās spēkā, kuru mērķis ir uzlabot sabiedrības veselības politikas plānošanu un īstenošanu tādās jomās </w:t>
      </w:r>
      <w:r w:rsidR="009157FE" w:rsidRPr="00E514AD">
        <w:rPr>
          <w:rFonts w:ascii="Times New Roman" w:hAnsi="Times New Roman" w:cs="Times New Roman"/>
          <w:sz w:val="24"/>
          <w:szCs w:val="24"/>
        </w:rPr>
        <w:t>mikroorganismu rezistence</w:t>
      </w:r>
      <w:r w:rsidR="00FC0AE0" w:rsidRPr="00E514AD">
        <w:rPr>
          <w:rFonts w:ascii="Times New Roman" w:hAnsi="Times New Roman" w:cs="Times New Roman"/>
          <w:sz w:val="24"/>
          <w:szCs w:val="24"/>
        </w:rPr>
        <w:t xml:space="preserve"> (</w:t>
      </w:r>
      <w:r w:rsidR="00FC0AE0" w:rsidRPr="00E514AD">
        <w:rPr>
          <w:rFonts w:ascii="Times New Roman" w:hAnsi="Times New Roman" w:cs="Times New Roman"/>
          <w:i/>
          <w:iCs/>
          <w:sz w:val="24"/>
          <w:szCs w:val="24"/>
        </w:rPr>
        <w:t>AMR</w:t>
      </w:r>
      <w:r w:rsidR="00FC0AE0" w:rsidRPr="00E514AD">
        <w:rPr>
          <w:rFonts w:ascii="Times New Roman" w:hAnsi="Times New Roman" w:cs="Times New Roman"/>
          <w:sz w:val="24"/>
          <w:szCs w:val="24"/>
        </w:rPr>
        <w:t>)</w:t>
      </w:r>
      <w:r w:rsidR="009157FE" w:rsidRPr="00E514AD">
        <w:rPr>
          <w:rFonts w:ascii="Times New Roman" w:hAnsi="Times New Roman" w:cs="Times New Roman"/>
          <w:sz w:val="24"/>
          <w:szCs w:val="24"/>
        </w:rPr>
        <w:t xml:space="preserve">, vakcinācija un infekcijas slimības. </w:t>
      </w:r>
    </w:p>
    <w:p w14:paraId="346F2219" w14:textId="58636FFB" w:rsidR="001E5ED0" w:rsidRPr="001E5ED0" w:rsidRDefault="005354C0" w:rsidP="00E514AD">
      <w:pPr>
        <w:pStyle w:val="ListParagraph"/>
        <w:numPr>
          <w:ilvl w:val="1"/>
          <w:numId w:val="3"/>
        </w:numPr>
        <w:spacing w:before="120" w:line="240" w:lineRule="auto"/>
        <w:ind w:left="720" w:hanging="720"/>
        <w:contextualSpacing w:val="0"/>
        <w:jc w:val="both"/>
        <w:rPr>
          <w:rFonts w:ascii="Times New Roman" w:eastAsia="Times New Roman" w:hAnsi="Times New Roman" w:cs="Times New Roman"/>
          <w:iCs/>
          <w:sz w:val="24"/>
          <w:szCs w:val="24"/>
        </w:rPr>
      </w:pPr>
      <w:bookmarkStart w:id="8" w:name="_Ref94209857"/>
      <w:r>
        <w:rPr>
          <w:rFonts w:ascii="Times New Roman" w:hAnsi="Times New Roman" w:cs="Times New Roman"/>
          <w:sz w:val="24"/>
          <w:szCs w:val="24"/>
        </w:rPr>
        <w:t xml:space="preserve">Šī ziņojuma </w:t>
      </w:r>
      <w:r w:rsidR="007236C6">
        <w:rPr>
          <w:rFonts w:ascii="Times New Roman" w:hAnsi="Times New Roman" w:cs="Times New Roman"/>
          <w:sz w:val="24"/>
          <w:szCs w:val="24"/>
        </w:rPr>
        <w:t xml:space="preserve">3.1.1. apakšpunktā minēto </w:t>
      </w:r>
      <w:r w:rsidR="00D12B39">
        <w:rPr>
          <w:rFonts w:ascii="Times New Roman" w:hAnsi="Times New Roman" w:cs="Times New Roman"/>
          <w:sz w:val="24"/>
          <w:szCs w:val="24"/>
        </w:rPr>
        <w:t>rādītāju</w:t>
      </w:r>
      <w:r w:rsidR="009B3328" w:rsidRPr="00EA7F61">
        <w:rPr>
          <w:rFonts w:ascii="Times New Roman" w:hAnsi="Times New Roman" w:cs="Times New Roman"/>
          <w:sz w:val="24"/>
          <w:szCs w:val="24"/>
        </w:rPr>
        <w:t xml:space="preserve"> </w:t>
      </w:r>
      <w:r w:rsidR="00401E54" w:rsidRPr="00EA7F61">
        <w:rPr>
          <w:rFonts w:ascii="Times New Roman" w:hAnsi="Times New Roman" w:cs="Times New Roman"/>
          <w:sz w:val="24"/>
          <w:szCs w:val="24"/>
        </w:rPr>
        <w:t>uzskat</w:t>
      </w:r>
      <w:r w:rsidR="00E1641E">
        <w:rPr>
          <w:rFonts w:ascii="Times New Roman" w:hAnsi="Times New Roman" w:cs="Times New Roman"/>
          <w:sz w:val="24"/>
          <w:szCs w:val="24"/>
        </w:rPr>
        <w:t>a</w:t>
      </w:r>
      <w:r w:rsidR="00401E54" w:rsidRPr="00EA7F61">
        <w:rPr>
          <w:rFonts w:ascii="Times New Roman" w:hAnsi="Times New Roman" w:cs="Times New Roman"/>
          <w:sz w:val="24"/>
          <w:szCs w:val="24"/>
        </w:rPr>
        <w:t xml:space="preserve"> par sasniegtu, kad </w:t>
      </w:r>
      <w:r w:rsidR="00FC0AE0" w:rsidRPr="003D3590">
        <w:rPr>
          <w:rFonts w:ascii="Times New Roman" w:hAnsi="Times New Roman" w:cs="Times New Roman"/>
          <w:sz w:val="24"/>
          <w:szCs w:val="24"/>
        </w:rPr>
        <w:t>Veselības</w:t>
      </w:r>
      <w:r w:rsidR="002E3B03" w:rsidRPr="00EA7F61">
        <w:rPr>
          <w:rFonts w:ascii="Times New Roman" w:hAnsi="Times New Roman" w:cs="Times New Roman"/>
          <w:sz w:val="24"/>
          <w:szCs w:val="24"/>
        </w:rPr>
        <w:t xml:space="preserve"> ministrija</w:t>
      </w:r>
      <w:r w:rsidR="00185787">
        <w:rPr>
          <w:rFonts w:ascii="Times New Roman" w:hAnsi="Times New Roman" w:cs="Times New Roman"/>
          <w:sz w:val="24"/>
          <w:szCs w:val="24"/>
        </w:rPr>
        <w:t xml:space="preserve"> </w:t>
      </w:r>
      <w:r w:rsidR="006849D8">
        <w:rPr>
          <w:rFonts w:ascii="Times New Roman" w:hAnsi="Times New Roman" w:cs="Times New Roman"/>
          <w:sz w:val="24"/>
          <w:szCs w:val="24"/>
        </w:rPr>
        <w:t xml:space="preserve">ir </w:t>
      </w:r>
      <w:r w:rsidR="006265FC" w:rsidRPr="00EA7F61">
        <w:rPr>
          <w:rFonts w:ascii="Times New Roman" w:hAnsi="Times New Roman" w:cs="Times New Roman"/>
          <w:sz w:val="24"/>
          <w:szCs w:val="24"/>
        </w:rPr>
        <w:t>izstrādā</w:t>
      </w:r>
      <w:r w:rsidR="006849D8">
        <w:rPr>
          <w:rFonts w:ascii="Times New Roman" w:hAnsi="Times New Roman" w:cs="Times New Roman"/>
          <w:sz w:val="24"/>
          <w:szCs w:val="24"/>
        </w:rPr>
        <w:t>jusi</w:t>
      </w:r>
      <w:r w:rsidR="006265FC" w:rsidRPr="00EA7F61">
        <w:rPr>
          <w:rFonts w:ascii="Times New Roman" w:hAnsi="Times New Roman" w:cs="Times New Roman"/>
          <w:sz w:val="24"/>
          <w:szCs w:val="24"/>
        </w:rPr>
        <w:t xml:space="preserve"> un </w:t>
      </w:r>
      <w:r w:rsidR="005E2B44" w:rsidRPr="00EA7F61">
        <w:rPr>
          <w:rFonts w:ascii="Times New Roman" w:hAnsi="Times New Roman" w:cs="Times New Roman"/>
          <w:sz w:val="24"/>
          <w:szCs w:val="24"/>
        </w:rPr>
        <w:t>pie</w:t>
      </w:r>
      <w:r w:rsidR="006849D8">
        <w:rPr>
          <w:rFonts w:ascii="Times New Roman" w:hAnsi="Times New Roman" w:cs="Times New Roman"/>
          <w:sz w:val="24"/>
          <w:szCs w:val="24"/>
        </w:rPr>
        <w:t>ņēmusi</w:t>
      </w:r>
      <w:r w:rsidR="00FD674A">
        <w:rPr>
          <w:rFonts w:ascii="Times New Roman" w:hAnsi="Times New Roman" w:cs="Times New Roman"/>
          <w:sz w:val="24"/>
          <w:szCs w:val="24"/>
        </w:rPr>
        <w:t xml:space="preserve"> </w:t>
      </w:r>
      <w:r w:rsidR="005E2B44" w:rsidRPr="00EA7F61">
        <w:rPr>
          <w:rFonts w:ascii="Times New Roman" w:hAnsi="Times New Roman" w:cs="Times New Roman"/>
          <w:sz w:val="24"/>
          <w:szCs w:val="24"/>
        </w:rPr>
        <w:t>saskaņotu metodiku</w:t>
      </w:r>
      <w:r w:rsidR="00F45E55" w:rsidRPr="00EA7F61">
        <w:rPr>
          <w:rFonts w:ascii="Times New Roman" w:hAnsi="Times New Roman" w:cs="Times New Roman"/>
          <w:sz w:val="24"/>
          <w:szCs w:val="24"/>
        </w:rPr>
        <w:t xml:space="preserve"> pētījumiem mikroorganismu rezistences (AMR), vakcinācijas</w:t>
      </w:r>
      <w:r w:rsidR="00793C7C" w:rsidRPr="00EA7F61">
        <w:rPr>
          <w:rFonts w:ascii="Times New Roman" w:hAnsi="Times New Roman" w:cs="Times New Roman"/>
          <w:sz w:val="24"/>
          <w:szCs w:val="24"/>
        </w:rPr>
        <w:t xml:space="preserve"> un infekcijas mazināšanas jomā</w:t>
      </w:r>
      <w:r w:rsidR="00B72E91" w:rsidRPr="00EA7F61">
        <w:rPr>
          <w:rFonts w:ascii="Times New Roman" w:eastAsia="Times New Roman" w:hAnsi="Times New Roman" w:cs="Times New Roman"/>
          <w:iCs/>
          <w:sz w:val="24"/>
          <w:szCs w:val="24"/>
        </w:rPr>
        <w:t>, ko pierāda</w:t>
      </w:r>
      <w:r w:rsidR="00E41E12">
        <w:rPr>
          <w:rFonts w:ascii="Times New Roman" w:eastAsia="Times New Roman" w:hAnsi="Times New Roman" w:cs="Times New Roman"/>
          <w:iCs/>
          <w:sz w:val="24"/>
          <w:szCs w:val="24"/>
        </w:rPr>
        <w:t xml:space="preserve"> ar</w:t>
      </w:r>
      <w:r w:rsidR="0003088F" w:rsidRPr="00EA7F61">
        <w:rPr>
          <w:rFonts w:ascii="Times New Roman" w:eastAsia="Times New Roman" w:hAnsi="Times New Roman" w:cs="Times New Roman"/>
          <w:iCs/>
          <w:sz w:val="24"/>
          <w:szCs w:val="24"/>
        </w:rPr>
        <w:t>:</w:t>
      </w:r>
      <w:bookmarkEnd w:id="8"/>
      <w:r w:rsidR="001E5ED0">
        <w:rPr>
          <w:rFonts w:ascii="Times New Roman" w:eastAsia="Times New Roman" w:hAnsi="Times New Roman" w:cs="Times New Roman"/>
          <w:iCs/>
          <w:sz w:val="24"/>
          <w:szCs w:val="24"/>
        </w:rPr>
        <w:t xml:space="preserve"> </w:t>
      </w:r>
      <w:r w:rsidR="001E5ED0" w:rsidRPr="001E5ED0">
        <w:rPr>
          <w:rFonts w:ascii="Times New Roman" w:hAnsi="Times New Roman" w:cs="Times New Roman"/>
          <w:sz w:val="24"/>
          <w:szCs w:val="24"/>
        </w:rPr>
        <w:t>kopsavilkuma dokument</w:t>
      </w:r>
      <w:r w:rsidR="001E5ED0">
        <w:rPr>
          <w:rFonts w:ascii="Times New Roman" w:hAnsi="Times New Roman" w:cs="Times New Roman"/>
          <w:sz w:val="24"/>
          <w:szCs w:val="24"/>
        </w:rPr>
        <w:t>u</w:t>
      </w:r>
      <w:r w:rsidR="001E5ED0" w:rsidRPr="001E5ED0">
        <w:rPr>
          <w:rFonts w:ascii="Times New Roman" w:hAnsi="Times New Roman" w:cs="Times New Roman"/>
          <w:sz w:val="24"/>
          <w:szCs w:val="24"/>
        </w:rPr>
        <w:t>, kurā pienācīgi pamatots, kā tiks apmierinoši sasniegts atskaites punkts (tostarp visi būtiskie elementi), kopā ar atbilstošām saitēm uz pamatojošajiem pierādījumiem. Šā dokumenta pielikumā iekļauj šādus dokumentārus pierādījumus</w:t>
      </w:r>
      <w:r w:rsidR="00D12B39">
        <w:rPr>
          <w:rFonts w:ascii="Times New Roman" w:hAnsi="Times New Roman" w:cs="Times New Roman"/>
          <w:sz w:val="24"/>
          <w:szCs w:val="24"/>
        </w:rPr>
        <w:t xml:space="preserve"> (liecības)</w:t>
      </w:r>
      <w:r w:rsidR="001E5ED0" w:rsidRPr="001E5ED0">
        <w:rPr>
          <w:rFonts w:ascii="Times New Roman" w:hAnsi="Times New Roman" w:cs="Times New Roman"/>
          <w:sz w:val="24"/>
          <w:szCs w:val="24"/>
        </w:rPr>
        <w:t xml:space="preserve">: </w:t>
      </w:r>
    </w:p>
    <w:p w14:paraId="66799675" w14:textId="618E044F" w:rsidR="00B067A4" w:rsidRPr="00B067A4" w:rsidRDefault="001E5ED0" w:rsidP="00B067A4">
      <w:pPr>
        <w:pStyle w:val="ListParagraph"/>
        <w:numPr>
          <w:ilvl w:val="2"/>
          <w:numId w:val="3"/>
        </w:numPr>
        <w:spacing w:before="120" w:after="0" w:line="240" w:lineRule="auto"/>
        <w:ind w:firstLine="698"/>
        <w:jc w:val="both"/>
        <w:rPr>
          <w:rFonts w:ascii="Times New Roman" w:eastAsia="Times New Roman" w:hAnsi="Times New Roman" w:cs="Times New Roman"/>
          <w:iCs/>
          <w:sz w:val="24"/>
          <w:szCs w:val="24"/>
        </w:rPr>
      </w:pPr>
      <w:r w:rsidRPr="00B067A4">
        <w:rPr>
          <w:rFonts w:ascii="Times New Roman" w:hAnsi="Times New Roman" w:cs="Times New Roman"/>
          <w:sz w:val="24"/>
          <w:szCs w:val="24"/>
        </w:rPr>
        <w:t xml:space="preserve">apstiprināto metodiku pētījumiem mikroorganismu rezistences jomā (kopiju); </w:t>
      </w:r>
    </w:p>
    <w:p w14:paraId="0D93E474" w14:textId="77777777" w:rsidR="00B067A4" w:rsidRPr="00B067A4" w:rsidRDefault="001E5ED0" w:rsidP="00B067A4">
      <w:pPr>
        <w:pStyle w:val="ListParagraph"/>
        <w:numPr>
          <w:ilvl w:val="2"/>
          <w:numId w:val="3"/>
        </w:numPr>
        <w:spacing w:before="120" w:after="0" w:line="240" w:lineRule="auto"/>
        <w:ind w:firstLine="698"/>
        <w:jc w:val="both"/>
        <w:rPr>
          <w:rFonts w:ascii="Times New Roman" w:eastAsia="Times New Roman" w:hAnsi="Times New Roman" w:cs="Times New Roman"/>
          <w:iCs/>
          <w:sz w:val="24"/>
          <w:szCs w:val="24"/>
        </w:rPr>
      </w:pPr>
      <w:r w:rsidRPr="00B067A4">
        <w:rPr>
          <w:rFonts w:ascii="Times New Roman" w:hAnsi="Times New Roman" w:cs="Times New Roman"/>
          <w:sz w:val="24"/>
          <w:szCs w:val="24"/>
        </w:rPr>
        <w:t xml:space="preserve">apstiprināto metodiku pētījumiem vakcinācijas jomā (kopiju); </w:t>
      </w:r>
    </w:p>
    <w:p w14:paraId="46255642" w14:textId="77777777" w:rsidR="00B067A4" w:rsidRPr="00B067A4" w:rsidRDefault="001E5ED0" w:rsidP="00B067A4">
      <w:pPr>
        <w:pStyle w:val="ListParagraph"/>
        <w:numPr>
          <w:ilvl w:val="2"/>
          <w:numId w:val="3"/>
        </w:numPr>
        <w:spacing w:before="120" w:after="0" w:line="240" w:lineRule="auto"/>
        <w:ind w:firstLine="698"/>
        <w:jc w:val="both"/>
        <w:rPr>
          <w:rFonts w:ascii="Times New Roman" w:eastAsia="Times New Roman" w:hAnsi="Times New Roman" w:cs="Times New Roman"/>
          <w:iCs/>
          <w:sz w:val="24"/>
          <w:szCs w:val="24"/>
        </w:rPr>
      </w:pPr>
      <w:r w:rsidRPr="00B067A4">
        <w:rPr>
          <w:rFonts w:ascii="Times New Roman" w:hAnsi="Times New Roman" w:cs="Times New Roman"/>
          <w:sz w:val="24"/>
          <w:szCs w:val="24"/>
        </w:rPr>
        <w:t xml:space="preserve">apstiprināto metodiku pētījumiem infekcijas mazināšanas jomā (kopiju); </w:t>
      </w:r>
    </w:p>
    <w:p w14:paraId="30B0860B" w14:textId="4C5724A3" w:rsidR="001E5ED0" w:rsidRPr="00B067A4" w:rsidRDefault="001E5ED0" w:rsidP="00B067A4">
      <w:pPr>
        <w:pStyle w:val="ListParagraph"/>
        <w:numPr>
          <w:ilvl w:val="2"/>
          <w:numId w:val="3"/>
        </w:numPr>
        <w:spacing w:before="120" w:after="0" w:line="240" w:lineRule="auto"/>
        <w:ind w:firstLine="698"/>
        <w:jc w:val="both"/>
        <w:rPr>
          <w:rFonts w:ascii="Times New Roman" w:eastAsia="Times New Roman" w:hAnsi="Times New Roman" w:cs="Times New Roman"/>
          <w:iCs/>
          <w:sz w:val="24"/>
          <w:szCs w:val="24"/>
        </w:rPr>
      </w:pPr>
      <w:r w:rsidRPr="00B067A4">
        <w:rPr>
          <w:rFonts w:ascii="Times New Roman" w:hAnsi="Times New Roman" w:cs="Times New Roman"/>
          <w:sz w:val="24"/>
          <w:szCs w:val="24"/>
        </w:rPr>
        <w:t>Veselības ministrijas vai tās padotībā esošās struktūras lēmumus, ar kuriem apstiprina šo trīs pētījumu metodikas (kopijas).</w:t>
      </w:r>
    </w:p>
    <w:p w14:paraId="1C823A23" w14:textId="77777777" w:rsidR="001E5ED0" w:rsidRDefault="001E5ED0" w:rsidP="00D12B39">
      <w:pPr>
        <w:pStyle w:val="ListParagraph"/>
        <w:spacing w:before="120" w:after="0" w:line="240" w:lineRule="auto"/>
        <w:ind w:left="709"/>
        <w:jc w:val="both"/>
        <w:rPr>
          <w:rFonts w:ascii="Times New Roman" w:hAnsi="Times New Roman" w:cs="Times New Roman"/>
          <w:sz w:val="24"/>
          <w:szCs w:val="24"/>
        </w:rPr>
      </w:pPr>
    </w:p>
    <w:p w14:paraId="185AE8FD" w14:textId="1B56E156" w:rsidR="006C4F70" w:rsidRDefault="005354C0" w:rsidP="00981FC4">
      <w:pPr>
        <w:pStyle w:val="ListParagraph"/>
        <w:numPr>
          <w:ilvl w:val="1"/>
          <w:numId w:val="3"/>
        </w:numPr>
        <w:spacing w:before="12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Šī ziņojuma </w:t>
      </w:r>
      <w:r w:rsidR="006968FD">
        <w:rPr>
          <w:rFonts w:ascii="Times New Roman" w:hAnsi="Times New Roman" w:cs="Times New Roman"/>
          <w:sz w:val="24"/>
          <w:szCs w:val="24"/>
        </w:rPr>
        <w:t>3.1.</w:t>
      </w:r>
      <w:r w:rsidR="005F2EDB">
        <w:rPr>
          <w:rFonts w:ascii="Times New Roman" w:hAnsi="Times New Roman" w:cs="Times New Roman"/>
          <w:sz w:val="24"/>
          <w:szCs w:val="24"/>
        </w:rPr>
        <w:t>2</w:t>
      </w:r>
      <w:r w:rsidR="006968FD">
        <w:rPr>
          <w:rFonts w:ascii="Times New Roman" w:hAnsi="Times New Roman" w:cs="Times New Roman"/>
          <w:sz w:val="24"/>
          <w:szCs w:val="24"/>
        </w:rPr>
        <w:t xml:space="preserve">. apakšpunktā </w:t>
      </w:r>
      <w:r w:rsidR="007236C6">
        <w:rPr>
          <w:rFonts w:ascii="Times New Roman" w:hAnsi="Times New Roman" w:cs="Times New Roman"/>
          <w:sz w:val="24"/>
          <w:szCs w:val="24"/>
        </w:rPr>
        <w:t xml:space="preserve">minēto </w:t>
      </w:r>
      <w:r w:rsidR="00D12B39">
        <w:rPr>
          <w:rFonts w:ascii="Times New Roman" w:hAnsi="Times New Roman" w:cs="Times New Roman"/>
          <w:sz w:val="24"/>
          <w:szCs w:val="24"/>
        </w:rPr>
        <w:t xml:space="preserve">rādītāju </w:t>
      </w:r>
      <w:r w:rsidR="00CB4717">
        <w:rPr>
          <w:rFonts w:ascii="Times New Roman" w:hAnsi="Times New Roman" w:cs="Times New Roman"/>
          <w:sz w:val="24"/>
          <w:szCs w:val="24"/>
        </w:rPr>
        <w:t>uzskat</w:t>
      </w:r>
      <w:r w:rsidR="00D12B39">
        <w:rPr>
          <w:rFonts w:ascii="Times New Roman" w:hAnsi="Times New Roman" w:cs="Times New Roman"/>
          <w:sz w:val="24"/>
          <w:szCs w:val="24"/>
        </w:rPr>
        <w:t>a</w:t>
      </w:r>
      <w:r w:rsidR="00CB4717">
        <w:rPr>
          <w:rFonts w:ascii="Times New Roman" w:hAnsi="Times New Roman" w:cs="Times New Roman"/>
          <w:sz w:val="24"/>
          <w:szCs w:val="24"/>
        </w:rPr>
        <w:t xml:space="preserve"> par sasniegtu, kad </w:t>
      </w:r>
      <w:r w:rsidR="00205ABF" w:rsidRPr="003D3590">
        <w:rPr>
          <w:rFonts w:ascii="Times New Roman" w:hAnsi="Times New Roman" w:cs="Times New Roman"/>
          <w:sz w:val="24"/>
          <w:szCs w:val="24"/>
        </w:rPr>
        <w:t>Veselības</w:t>
      </w:r>
      <w:r w:rsidR="002D2667">
        <w:rPr>
          <w:rFonts w:ascii="Times New Roman" w:hAnsi="Times New Roman" w:cs="Times New Roman"/>
          <w:sz w:val="24"/>
          <w:szCs w:val="24"/>
        </w:rPr>
        <w:t xml:space="preserve"> </w:t>
      </w:r>
      <w:r w:rsidR="00D645C9">
        <w:rPr>
          <w:rFonts w:ascii="Times New Roman" w:hAnsi="Times New Roman" w:cs="Times New Roman"/>
          <w:sz w:val="24"/>
          <w:szCs w:val="24"/>
        </w:rPr>
        <w:t>ministrija veikusi</w:t>
      </w:r>
      <w:r w:rsidR="006C4F70">
        <w:rPr>
          <w:rFonts w:ascii="Times New Roman" w:hAnsi="Times New Roman" w:cs="Times New Roman"/>
          <w:sz w:val="24"/>
          <w:szCs w:val="24"/>
        </w:rPr>
        <w:t xml:space="preserve"> un publicējusi trīs pētījumus:</w:t>
      </w:r>
    </w:p>
    <w:p w14:paraId="5E80FFE3" w14:textId="5F89DA50" w:rsidR="006C4F70" w:rsidRDefault="00C53335" w:rsidP="00981FC4">
      <w:pPr>
        <w:pStyle w:val="ListParagraph"/>
        <w:numPr>
          <w:ilvl w:val="2"/>
          <w:numId w:val="3"/>
        </w:numPr>
        <w:spacing w:before="120" w:after="0" w:line="240" w:lineRule="auto"/>
        <w:ind w:left="1134" w:hanging="425"/>
        <w:contextualSpacing w:val="0"/>
        <w:jc w:val="both"/>
        <w:rPr>
          <w:rFonts w:ascii="Times New Roman" w:hAnsi="Times New Roman" w:cs="Times New Roman"/>
          <w:sz w:val="24"/>
          <w:szCs w:val="24"/>
        </w:rPr>
      </w:pPr>
      <w:r>
        <w:rPr>
          <w:rFonts w:ascii="Times New Roman" w:hAnsi="Times New Roman" w:cs="Times New Roman"/>
          <w:sz w:val="24"/>
          <w:szCs w:val="24"/>
        </w:rPr>
        <w:t xml:space="preserve">par mikroorganismu rezistenci, lai </w:t>
      </w:r>
      <w:r w:rsidR="00F04643">
        <w:rPr>
          <w:rFonts w:ascii="Times New Roman" w:hAnsi="Times New Roman" w:cs="Times New Roman"/>
          <w:sz w:val="24"/>
          <w:szCs w:val="24"/>
        </w:rPr>
        <w:t>noteiktu visefektīvākās intervences un uzraudzības metodes;</w:t>
      </w:r>
    </w:p>
    <w:p w14:paraId="67086B16" w14:textId="46891617" w:rsidR="00F04643" w:rsidRDefault="00F04643" w:rsidP="00981FC4">
      <w:pPr>
        <w:pStyle w:val="ListParagraph"/>
        <w:numPr>
          <w:ilvl w:val="2"/>
          <w:numId w:val="3"/>
        </w:numPr>
        <w:spacing w:before="120" w:after="0" w:line="240" w:lineRule="auto"/>
        <w:ind w:left="1134" w:hanging="425"/>
        <w:contextualSpacing w:val="0"/>
        <w:jc w:val="both"/>
        <w:rPr>
          <w:rFonts w:ascii="Times New Roman" w:hAnsi="Times New Roman" w:cs="Times New Roman"/>
          <w:sz w:val="24"/>
          <w:szCs w:val="24"/>
        </w:rPr>
      </w:pPr>
      <w:r>
        <w:rPr>
          <w:rFonts w:ascii="Times New Roman" w:hAnsi="Times New Roman" w:cs="Times New Roman"/>
          <w:sz w:val="24"/>
          <w:szCs w:val="24"/>
        </w:rPr>
        <w:t xml:space="preserve">lai apzinātu </w:t>
      </w:r>
      <w:r w:rsidR="00A042BC">
        <w:rPr>
          <w:rFonts w:ascii="Times New Roman" w:hAnsi="Times New Roman" w:cs="Times New Roman"/>
          <w:sz w:val="24"/>
          <w:szCs w:val="24"/>
        </w:rPr>
        <w:t>nevakcinēšanās iemeslus;</w:t>
      </w:r>
    </w:p>
    <w:p w14:paraId="11E39D8F" w14:textId="142140D5" w:rsidR="000F0ED1" w:rsidRDefault="00A042BC" w:rsidP="00981FC4">
      <w:pPr>
        <w:pStyle w:val="ListParagraph"/>
        <w:numPr>
          <w:ilvl w:val="2"/>
          <w:numId w:val="3"/>
        </w:numPr>
        <w:spacing w:before="120" w:line="240" w:lineRule="auto"/>
        <w:ind w:left="1134" w:hanging="425"/>
        <w:contextualSpacing w:val="0"/>
        <w:jc w:val="both"/>
        <w:rPr>
          <w:rFonts w:ascii="Times New Roman" w:hAnsi="Times New Roman" w:cs="Times New Roman"/>
          <w:sz w:val="24"/>
          <w:szCs w:val="24"/>
        </w:rPr>
      </w:pPr>
      <w:r>
        <w:rPr>
          <w:rFonts w:ascii="Times New Roman" w:hAnsi="Times New Roman" w:cs="Times New Roman"/>
          <w:sz w:val="24"/>
          <w:szCs w:val="24"/>
        </w:rPr>
        <w:t xml:space="preserve">lai apzinātu </w:t>
      </w:r>
      <w:r w:rsidR="00D4364F">
        <w:rPr>
          <w:rFonts w:ascii="Times New Roman" w:hAnsi="Times New Roman" w:cs="Times New Roman"/>
          <w:sz w:val="24"/>
          <w:szCs w:val="24"/>
        </w:rPr>
        <w:t>infekcijas slimību izplatīšanās  riskus un to ietekmi uz sabiedrības veselības rādītājiem</w:t>
      </w:r>
      <w:r w:rsidR="002833A8">
        <w:rPr>
          <w:rFonts w:ascii="Times New Roman" w:hAnsi="Times New Roman" w:cs="Times New Roman"/>
          <w:sz w:val="24"/>
          <w:szCs w:val="24"/>
        </w:rPr>
        <w:t>,</w:t>
      </w:r>
    </w:p>
    <w:p w14:paraId="20C323C1" w14:textId="1191C743" w:rsidR="002F5CA1" w:rsidRDefault="002833A8" w:rsidP="002F5CA1">
      <w:pPr>
        <w:spacing w:before="120" w:line="240" w:lineRule="auto"/>
        <w:ind w:left="709"/>
        <w:jc w:val="both"/>
        <w:rPr>
          <w:rFonts w:ascii="Times New Roman" w:eastAsia="Times New Roman" w:hAnsi="Times New Roman" w:cs="Times New Roman"/>
          <w:iCs/>
          <w:sz w:val="24"/>
          <w:szCs w:val="24"/>
        </w:rPr>
      </w:pPr>
      <w:r w:rsidRPr="00EA7F61">
        <w:rPr>
          <w:rFonts w:ascii="Times New Roman" w:eastAsia="Times New Roman" w:hAnsi="Times New Roman" w:cs="Times New Roman"/>
          <w:iCs/>
          <w:sz w:val="24"/>
          <w:szCs w:val="24"/>
        </w:rPr>
        <w:t>ko pierāda</w:t>
      </w:r>
      <w:r w:rsidR="002F7A5B">
        <w:rPr>
          <w:rFonts w:ascii="Times New Roman" w:eastAsia="Times New Roman" w:hAnsi="Times New Roman" w:cs="Times New Roman"/>
          <w:iCs/>
          <w:sz w:val="24"/>
          <w:szCs w:val="24"/>
        </w:rPr>
        <w:t xml:space="preserve"> ar</w:t>
      </w:r>
      <w:r w:rsidRPr="00EA7F61">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r>
        <w:rPr>
          <w:rFonts w:ascii="Times New Roman" w:hAnsi="Times New Roman" w:cs="Times New Roman"/>
          <w:sz w:val="24"/>
          <w:szCs w:val="24"/>
        </w:rPr>
        <w:t>kopsavilkuma dokument</w:t>
      </w:r>
      <w:r w:rsidR="002F7A5B">
        <w:rPr>
          <w:rFonts w:ascii="Times New Roman" w:hAnsi="Times New Roman" w:cs="Times New Roman"/>
          <w:sz w:val="24"/>
          <w:szCs w:val="24"/>
        </w:rPr>
        <w:t>u</w:t>
      </w:r>
      <w:r>
        <w:rPr>
          <w:rFonts w:ascii="Times New Roman" w:hAnsi="Times New Roman" w:cs="Times New Roman"/>
          <w:sz w:val="24"/>
          <w:szCs w:val="24"/>
        </w:rPr>
        <w:t xml:space="preserve">, kurā pienācīgi pamatots, kā tiks apmierinoši sasniegts atskaites punkts (tostarp visi būtiskie elementi), kopā ar atbilstošām saitēm uz pamatojošajiem pierādījumiem. Šā dokumenta </w:t>
      </w:r>
      <w:r w:rsidR="00691956">
        <w:rPr>
          <w:rFonts w:ascii="Times New Roman" w:hAnsi="Times New Roman" w:cs="Times New Roman"/>
          <w:sz w:val="24"/>
          <w:szCs w:val="24"/>
        </w:rPr>
        <w:t xml:space="preserve">pielikumā </w:t>
      </w:r>
      <w:r>
        <w:rPr>
          <w:rFonts w:ascii="Times New Roman" w:hAnsi="Times New Roman" w:cs="Times New Roman"/>
          <w:sz w:val="24"/>
          <w:szCs w:val="24"/>
        </w:rPr>
        <w:t>iekļauj šādus dokumentārus pierādījumus: a) mikroorganismu rezistences, vakcinācijas un infekcijas mazināšanas jomā veikto pētījumu pieņemšanas akta kopiju; b) saites uz pētījumiem, kas publicēti Veselības ministrijas tīmekļa vietnē.</w:t>
      </w:r>
    </w:p>
    <w:p w14:paraId="7BF61067" w14:textId="38DBE75F" w:rsidR="005B1C85" w:rsidRDefault="005354C0" w:rsidP="002F5CA1">
      <w:pPr>
        <w:pStyle w:val="ListParagraph"/>
        <w:numPr>
          <w:ilvl w:val="1"/>
          <w:numId w:val="3"/>
        </w:numPr>
        <w:spacing w:before="120" w:after="0" w:line="240" w:lineRule="auto"/>
        <w:ind w:left="720" w:hanging="720"/>
        <w:contextualSpacing w:val="0"/>
        <w:jc w:val="both"/>
        <w:rPr>
          <w:rFonts w:ascii="Times New Roman" w:hAnsi="Times New Roman" w:cs="Times New Roman"/>
          <w:sz w:val="24"/>
          <w:szCs w:val="24"/>
        </w:rPr>
      </w:pPr>
      <w:r>
        <w:rPr>
          <w:rFonts w:ascii="Times New Roman" w:hAnsi="Times New Roman" w:cs="Times New Roman"/>
          <w:sz w:val="24"/>
          <w:szCs w:val="24"/>
        </w:rPr>
        <w:t xml:space="preserve">Šī ziņojuma </w:t>
      </w:r>
      <w:r w:rsidR="006968FD" w:rsidRPr="002F5CA1">
        <w:rPr>
          <w:rFonts w:ascii="Times New Roman" w:hAnsi="Times New Roman" w:cs="Times New Roman"/>
          <w:sz w:val="24"/>
          <w:szCs w:val="24"/>
        </w:rPr>
        <w:t>3.1.3. apakšpunktā minēto</w:t>
      </w:r>
      <w:r w:rsidR="00E96E81" w:rsidRPr="002F5CA1">
        <w:rPr>
          <w:rFonts w:ascii="Times New Roman" w:hAnsi="Times New Roman" w:cs="Times New Roman"/>
          <w:sz w:val="24"/>
          <w:szCs w:val="24"/>
        </w:rPr>
        <w:t xml:space="preserve"> </w:t>
      </w:r>
      <w:r w:rsidR="00183FBD" w:rsidRPr="002F5CA1">
        <w:rPr>
          <w:rFonts w:ascii="Times New Roman" w:hAnsi="Times New Roman" w:cs="Times New Roman"/>
          <w:sz w:val="24"/>
          <w:szCs w:val="24"/>
        </w:rPr>
        <w:t>rādītāju</w:t>
      </w:r>
      <w:r w:rsidR="00E96E81" w:rsidRPr="002F5CA1">
        <w:rPr>
          <w:rFonts w:ascii="Times New Roman" w:hAnsi="Times New Roman" w:cs="Times New Roman"/>
          <w:sz w:val="24"/>
          <w:szCs w:val="24"/>
        </w:rPr>
        <w:t xml:space="preserve"> </w:t>
      </w:r>
      <w:r w:rsidR="007F4F63" w:rsidRPr="002F5CA1">
        <w:rPr>
          <w:rFonts w:ascii="Times New Roman" w:hAnsi="Times New Roman" w:cs="Times New Roman"/>
          <w:sz w:val="24"/>
          <w:szCs w:val="24"/>
        </w:rPr>
        <w:t>uzskat</w:t>
      </w:r>
      <w:r w:rsidR="00995643" w:rsidRPr="002F5CA1">
        <w:rPr>
          <w:rFonts w:ascii="Times New Roman" w:hAnsi="Times New Roman" w:cs="Times New Roman"/>
          <w:sz w:val="24"/>
          <w:szCs w:val="24"/>
        </w:rPr>
        <w:t>a</w:t>
      </w:r>
      <w:r w:rsidR="007F4F63" w:rsidRPr="002F5CA1">
        <w:rPr>
          <w:rFonts w:ascii="Times New Roman" w:hAnsi="Times New Roman" w:cs="Times New Roman"/>
          <w:sz w:val="24"/>
          <w:szCs w:val="24"/>
        </w:rPr>
        <w:t xml:space="preserve"> par sasniegtu, kad </w:t>
      </w:r>
      <w:r w:rsidR="009F4833" w:rsidRPr="002F5CA1">
        <w:rPr>
          <w:rFonts w:ascii="Times New Roman" w:hAnsi="Times New Roman" w:cs="Times New Roman"/>
          <w:sz w:val="24"/>
          <w:szCs w:val="24"/>
        </w:rPr>
        <w:t xml:space="preserve">pamatojoties uz </w:t>
      </w:r>
      <w:r w:rsidR="00B76358" w:rsidRPr="002F5CA1">
        <w:rPr>
          <w:rFonts w:ascii="Times New Roman" w:hAnsi="Times New Roman" w:cs="Times New Roman"/>
          <w:sz w:val="24"/>
          <w:szCs w:val="24"/>
        </w:rPr>
        <w:t xml:space="preserve">pētījumu rezultātiem </w:t>
      </w:r>
      <w:r w:rsidR="000C7392" w:rsidRPr="002F5CA1">
        <w:rPr>
          <w:rFonts w:ascii="Times New Roman" w:hAnsi="Times New Roman" w:cs="Times New Roman"/>
          <w:sz w:val="24"/>
          <w:szCs w:val="24"/>
        </w:rPr>
        <w:t>mikroo</w:t>
      </w:r>
      <w:r w:rsidR="002537A8" w:rsidRPr="002F5CA1">
        <w:rPr>
          <w:rFonts w:ascii="Times New Roman" w:hAnsi="Times New Roman" w:cs="Times New Roman"/>
          <w:sz w:val="24"/>
          <w:szCs w:val="24"/>
        </w:rPr>
        <w:t>r</w:t>
      </w:r>
      <w:r w:rsidR="000C7392" w:rsidRPr="002F5CA1">
        <w:rPr>
          <w:rFonts w:ascii="Times New Roman" w:hAnsi="Times New Roman" w:cs="Times New Roman"/>
          <w:sz w:val="24"/>
          <w:szCs w:val="24"/>
        </w:rPr>
        <w:t>ganismu rezistences (AMR), vakcinācijas un infekciju slimību jomā</w:t>
      </w:r>
      <w:r w:rsidR="00B22209" w:rsidRPr="002F5CA1">
        <w:rPr>
          <w:rFonts w:ascii="Times New Roman" w:hAnsi="Times New Roman" w:cs="Times New Roman"/>
          <w:sz w:val="24"/>
          <w:szCs w:val="24"/>
        </w:rPr>
        <w:t>, stājas spēkā grozījumi tiesību aktos, kas saistīti ar sabiedrības veselības politiku</w:t>
      </w:r>
      <w:r w:rsidR="00A32075" w:rsidRPr="002F5CA1">
        <w:rPr>
          <w:rFonts w:ascii="Times New Roman" w:hAnsi="Times New Roman" w:cs="Times New Roman"/>
          <w:sz w:val="24"/>
          <w:szCs w:val="24"/>
        </w:rPr>
        <w:t>, piemēram, ieteikumos slimnīcām, Slimību p</w:t>
      </w:r>
      <w:r w:rsidR="00B86D5F" w:rsidRPr="002F5CA1">
        <w:rPr>
          <w:rFonts w:ascii="Times New Roman" w:hAnsi="Times New Roman" w:cs="Times New Roman"/>
          <w:sz w:val="24"/>
          <w:szCs w:val="24"/>
        </w:rPr>
        <w:t>r</w:t>
      </w:r>
      <w:r w:rsidR="00A32075" w:rsidRPr="002F5CA1">
        <w:rPr>
          <w:rFonts w:ascii="Times New Roman" w:hAnsi="Times New Roman" w:cs="Times New Roman"/>
          <w:sz w:val="24"/>
          <w:szCs w:val="24"/>
        </w:rPr>
        <w:t xml:space="preserve">ofilakses </w:t>
      </w:r>
      <w:r w:rsidR="00B86D5F" w:rsidRPr="002F5CA1">
        <w:rPr>
          <w:rFonts w:ascii="Times New Roman" w:hAnsi="Times New Roman" w:cs="Times New Roman"/>
          <w:sz w:val="24"/>
          <w:szCs w:val="24"/>
        </w:rPr>
        <w:t xml:space="preserve">un kontroles centra darba </w:t>
      </w:r>
      <w:r w:rsidR="00995643" w:rsidRPr="002F5CA1">
        <w:rPr>
          <w:rFonts w:ascii="Times New Roman" w:hAnsi="Times New Roman" w:cs="Times New Roman"/>
          <w:sz w:val="24"/>
          <w:szCs w:val="24"/>
        </w:rPr>
        <w:t xml:space="preserve">dokumentos, pamatnostādnēs, tiek uzlabots vakcinācijas process. </w:t>
      </w:r>
      <w:r w:rsidR="003C3EA1" w:rsidRPr="002F5CA1">
        <w:rPr>
          <w:rFonts w:ascii="Times New Roman" w:hAnsi="Times New Roman" w:cs="Times New Roman"/>
          <w:sz w:val="24"/>
          <w:szCs w:val="24"/>
        </w:rPr>
        <w:t>Dokumentārie pierādījumi ir</w:t>
      </w:r>
      <w:r w:rsidR="002F7A5B" w:rsidRPr="002F5CA1">
        <w:rPr>
          <w:rFonts w:ascii="Times New Roman" w:hAnsi="Times New Roman" w:cs="Times New Roman"/>
          <w:sz w:val="24"/>
          <w:szCs w:val="24"/>
        </w:rPr>
        <w:t>:</w:t>
      </w:r>
      <w:r w:rsidR="003C3EA1" w:rsidRPr="002F5CA1">
        <w:rPr>
          <w:rFonts w:ascii="Times New Roman" w:hAnsi="Times New Roman" w:cs="Times New Roman"/>
          <w:sz w:val="24"/>
          <w:szCs w:val="24"/>
        </w:rPr>
        <w:t xml:space="preserve"> k</w:t>
      </w:r>
      <w:r w:rsidR="0096601A" w:rsidRPr="002F5CA1">
        <w:rPr>
          <w:rFonts w:ascii="Times New Roman" w:hAnsi="Times New Roman" w:cs="Times New Roman"/>
          <w:sz w:val="24"/>
          <w:szCs w:val="24"/>
        </w:rPr>
        <w:t xml:space="preserve">opija </w:t>
      </w:r>
      <w:r w:rsidR="00A77438" w:rsidRPr="002F5CA1">
        <w:rPr>
          <w:rFonts w:ascii="Times New Roman" w:hAnsi="Times New Roman" w:cs="Times New Roman"/>
          <w:sz w:val="24"/>
          <w:szCs w:val="24"/>
        </w:rPr>
        <w:t>tiesību aktiem mikroorganismu rezistences, vakcinācijas un infekcijas slimību jomā un saite uz publikāciju oficiālajā izdevumā, tostarp atsauce uz norādi par stāšanos spēkā, kam pievienots kopsavilkuma dokuments, kurā pienācīgi pamatots, kā tiks apmierinoši sasniegts atskaites punkts (tostarp visi būtiskie elementi), kop</w:t>
      </w:r>
      <w:r w:rsidR="00EC4B31" w:rsidRPr="002F5CA1">
        <w:rPr>
          <w:rFonts w:ascii="Times New Roman" w:hAnsi="Times New Roman" w:cs="Times New Roman"/>
          <w:sz w:val="24"/>
          <w:szCs w:val="24"/>
        </w:rPr>
        <w:t>ā</w:t>
      </w:r>
      <w:r w:rsidR="00A77438" w:rsidRPr="002F5CA1">
        <w:rPr>
          <w:rFonts w:ascii="Times New Roman" w:hAnsi="Times New Roman" w:cs="Times New Roman"/>
          <w:sz w:val="24"/>
          <w:szCs w:val="24"/>
        </w:rPr>
        <w:t xml:space="preserve"> ar atbilstošām saitēm uz pamatojošajiem pierādījumiem. Šajā dokumentā </w:t>
      </w:r>
      <w:r w:rsidR="00A77438" w:rsidRPr="002F5CA1">
        <w:rPr>
          <w:rFonts w:ascii="Times New Roman" w:hAnsi="Times New Roman" w:cs="Times New Roman"/>
          <w:sz w:val="24"/>
          <w:szCs w:val="24"/>
        </w:rPr>
        <w:lastRenderedPageBreak/>
        <w:t>iekļauj skaidrojumu, kā mikroorganismu rezistences (AMR), vakcinācijas un infekcijas slimību jomā veikto pētījumu rezultāti tika ņemti vērā, gatavojot grozījumus.</w:t>
      </w:r>
    </w:p>
    <w:p w14:paraId="15AF70A6" w14:textId="4E8E4309" w:rsidR="00CA4C2D" w:rsidRDefault="00382E00" w:rsidP="000B7CC2">
      <w:pPr>
        <w:pStyle w:val="ListParagraph"/>
        <w:numPr>
          <w:ilvl w:val="1"/>
          <w:numId w:val="3"/>
        </w:numPr>
        <w:spacing w:before="120" w:after="0" w:line="240" w:lineRule="auto"/>
        <w:ind w:left="720" w:hanging="720"/>
        <w:contextualSpacing w:val="0"/>
        <w:jc w:val="both"/>
        <w:rPr>
          <w:rFonts w:ascii="Times New Roman" w:hAnsi="Times New Roman" w:cs="Times New Roman"/>
          <w:sz w:val="24"/>
          <w:szCs w:val="24"/>
        </w:rPr>
      </w:pPr>
      <w:r w:rsidRPr="00382E00">
        <w:rPr>
          <w:rFonts w:ascii="Times New Roman" w:hAnsi="Times New Roman" w:cs="Times New Roman"/>
          <w:sz w:val="24"/>
          <w:szCs w:val="24"/>
        </w:rPr>
        <w:t>Šī ziņojuma 3.2. un 3.3. apakšpunktā ar Veselības ministriju ir saprotam</w:t>
      </w:r>
      <w:r w:rsidR="00DB1415">
        <w:rPr>
          <w:rFonts w:ascii="Times New Roman" w:hAnsi="Times New Roman" w:cs="Times New Roman"/>
          <w:sz w:val="24"/>
          <w:szCs w:val="24"/>
        </w:rPr>
        <w:t>s</w:t>
      </w:r>
      <w:r w:rsidRPr="00382E00">
        <w:rPr>
          <w:rFonts w:ascii="Times New Roman" w:hAnsi="Times New Roman" w:cs="Times New Roman"/>
          <w:sz w:val="24"/>
          <w:szCs w:val="24"/>
        </w:rPr>
        <w:t xml:space="preserve"> </w:t>
      </w:r>
      <w:r w:rsidR="00DB1415">
        <w:rPr>
          <w:rFonts w:ascii="Times New Roman" w:hAnsi="Times New Roman" w:cs="Times New Roman"/>
          <w:sz w:val="24"/>
          <w:szCs w:val="24"/>
        </w:rPr>
        <w:t xml:space="preserve">resors, kas īsteno </w:t>
      </w:r>
      <w:r w:rsidRPr="00382E00">
        <w:rPr>
          <w:rFonts w:ascii="Times New Roman" w:hAnsi="Times New Roman" w:cs="Times New Roman"/>
          <w:sz w:val="24"/>
          <w:szCs w:val="24"/>
        </w:rPr>
        <w:t xml:space="preserve">veselības nozares </w:t>
      </w:r>
      <w:proofErr w:type="spellStart"/>
      <w:r w:rsidRPr="00382E00">
        <w:rPr>
          <w:rFonts w:ascii="Times New Roman" w:hAnsi="Times New Roman" w:cs="Times New Roman"/>
          <w:sz w:val="24"/>
          <w:szCs w:val="24"/>
        </w:rPr>
        <w:t>rīcībpolitik</w:t>
      </w:r>
      <w:r w:rsidR="00DB1415">
        <w:rPr>
          <w:rFonts w:ascii="Times New Roman" w:hAnsi="Times New Roman" w:cs="Times New Roman"/>
          <w:sz w:val="24"/>
          <w:szCs w:val="24"/>
        </w:rPr>
        <w:t>u</w:t>
      </w:r>
      <w:proofErr w:type="spellEnd"/>
      <w:r w:rsidRPr="00382E00">
        <w:rPr>
          <w:rFonts w:ascii="Times New Roman" w:hAnsi="Times New Roman" w:cs="Times New Roman"/>
          <w:sz w:val="24"/>
          <w:szCs w:val="24"/>
        </w:rPr>
        <w:t xml:space="preserve">, </w:t>
      </w:r>
      <w:r w:rsidR="00DB1415">
        <w:rPr>
          <w:rFonts w:ascii="Times New Roman" w:hAnsi="Times New Roman" w:cs="Times New Roman"/>
          <w:sz w:val="24"/>
          <w:szCs w:val="24"/>
        </w:rPr>
        <w:t xml:space="preserve"> t.i.</w:t>
      </w:r>
      <w:r w:rsidRPr="00382E00">
        <w:rPr>
          <w:rFonts w:ascii="Times New Roman" w:hAnsi="Times New Roman" w:cs="Times New Roman"/>
          <w:sz w:val="24"/>
          <w:szCs w:val="24"/>
        </w:rPr>
        <w:t xml:space="preserve"> gan Veselības ministrija kā veselības politikas ieviešanas ministrija, gan tās padotības iestāde Slimību profilakses un kontroles centrs atbilstoši nolikumam. Šī ziņojuma 3.2.</w:t>
      </w:r>
      <w:r>
        <w:rPr>
          <w:rFonts w:ascii="Times New Roman" w:hAnsi="Times New Roman" w:cs="Times New Roman"/>
          <w:sz w:val="24"/>
          <w:szCs w:val="24"/>
        </w:rPr>
        <w:t xml:space="preserve"> un</w:t>
      </w:r>
      <w:r w:rsidRPr="00382E00">
        <w:rPr>
          <w:rFonts w:ascii="Times New Roman" w:hAnsi="Times New Roman" w:cs="Times New Roman"/>
          <w:sz w:val="24"/>
          <w:szCs w:val="24"/>
        </w:rPr>
        <w:t xml:space="preserve"> 3.3. apakšpunktos ir norādīta Veselības ministrija, bet finansējuma saņēmēji ir Slimību profilakses un kontroles centrs un Veselības ministrija kā sadarbības </w:t>
      </w:r>
      <w:r w:rsidRPr="000B7CC2">
        <w:rPr>
          <w:rFonts w:ascii="Times New Roman" w:hAnsi="Times New Roman" w:cs="Times New Roman"/>
          <w:sz w:val="24"/>
          <w:szCs w:val="24"/>
        </w:rPr>
        <w:t>partneris.</w:t>
      </w:r>
    </w:p>
    <w:p w14:paraId="2540933B" w14:textId="77777777" w:rsidR="000B7CC2" w:rsidRPr="000B7CC2" w:rsidRDefault="000B7CC2" w:rsidP="000B7CC2">
      <w:pPr>
        <w:pStyle w:val="ListParagraph"/>
        <w:spacing w:before="120" w:after="0" w:line="240" w:lineRule="auto"/>
        <w:contextualSpacing w:val="0"/>
        <w:jc w:val="both"/>
        <w:rPr>
          <w:rFonts w:ascii="Times New Roman" w:hAnsi="Times New Roman" w:cs="Times New Roman"/>
          <w:sz w:val="24"/>
          <w:szCs w:val="24"/>
        </w:rPr>
      </w:pPr>
    </w:p>
    <w:p w14:paraId="6234DD95" w14:textId="0298081B" w:rsidR="00191722" w:rsidRPr="007F24D7" w:rsidRDefault="00191722" w:rsidP="00981FC4">
      <w:pPr>
        <w:pStyle w:val="Heading1"/>
        <w:numPr>
          <w:ilvl w:val="0"/>
          <w:numId w:val="3"/>
        </w:numPr>
        <w:spacing w:before="120" w:line="240" w:lineRule="auto"/>
        <w:ind w:hanging="720"/>
        <w:rPr>
          <w:rFonts w:eastAsia="Times New Roman" w:cs="Times New Roman"/>
          <w:b/>
          <w:bCs/>
          <w:sz w:val="24"/>
          <w:szCs w:val="24"/>
        </w:rPr>
      </w:pPr>
      <w:bookmarkStart w:id="9" w:name="_Toc110002932"/>
      <w:bookmarkEnd w:id="7"/>
      <w:r w:rsidRPr="007F24D7">
        <w:rPr>
          <w:rFonts w:eastAsia="Times New Roman" w:cs="Times New Roman"/>
          <w:b/>
          <w:bCs/>
          <w:sz w:val="24"/>
          <w:szCs w:val="24"/>
        </w:rPr>
        <w:t>Finansējums</w:t>
      </w:r>
      <w:bookmarkEnd w:id="9"/>
    </w:p>
    <w:p w14:paraId="5E4BA4B8" w14:textId="3FDA3E63" w:rsidR="00781C6B" w:rsidRPr="000C743B" w:rsidRDefault="008953C1" w:rsidP="00981FC4">
      <w:pPr>
        <w:pStyle w:val="ListParagraph"/>
        <w:numPr>
          <w:ilvl w:val="1"/>
          <w:numId w:val="3"/>
        </w:numPr>
        <w:spacing w:before="120" w:after="0" w:line="240" w:lineRule="auto"/>
        <w:ind w:left="720" w:hanging="720"/>
        <w:contextualSpacing w:val="0"/>
        <w:jc w:val="both"/>
        <w:rPr>
          <w:rFonts w:ascii="Times New Roman" w:hAnsi="Times New Roman" w:cs="Times New Roman"/>
          <w:sz w:val="24"/>
          <w:szCs w:val="24"/>
        </w:rPr>
      </w:pPr>
      <w:r w:rsidRPr="000C743B">
        <w:rPr>
          <w:rFonts w:ascii="Times New Roman" w:hAnsi="Times New Roman" w:cs="Times New Roman"/>
          <w:sz w:val="24"/>
          <w:szCs w:val="24"/>
        </w:rPr>
        <w:t>Investīcijas</w:t>
      </w:r>
      <w:r w:rsidR="007F6DA5" w:rsidRPr="000C743B">
        <w:rPr>
          <w:rFonts w:ascii="Times New Roman" w:hAnsi="Times New Roman" w:cs="Times New Roman"/>
          <w:sz w:val="24"/>
          <w:szCs w:val="24"/>
        </w:rPr>
        <w:t xml:space="preserve"> </w:t>
      </w:r>
      <w:r w:rsidRPr="000C743B">
        <w:rPr>
          <w:rFonts w:ascii="Times New Roman" w:hAnsi="Times New Roman" w:cs="Times New Roman"/>
          <w:sz w:val="24"/>
          <w:szCs w:val="24"/>
        </w:rPr>
        <w:t>kopējais attiecināmais</w:t>
      </w:r>
      <w:r w:rsidR="007F6DA5" w:rsidRPr="000C743B">
        <w:rPr>
          <w:rFonts w:ascii="Times New Roman" w:hAnsi="Times New Roman" w:cs="Times New Roman"/>
          <w:sz w:val="24"/>
          <w:szCs w:val="24"/>
        </w:rPr>
        <w:t xml:space="preserve"> </w:t>
      </w:r>
      <w:r w:rsidR="00732E9B" w:rsidRPr="000C743B">
        <w:rPr>
          <w:rFonts w:ascii="Times New Roman" w:hAnsi="Times New Roman" w:cs="Times New Roman"/>
          <w:sz w:val="24"/>
          <w:szCs w:val="24"/>
        </w:rPr>
        <w:t>atbalsta</w:t>
      </w:r>
      <w:r w:rsidR="00FB67AF" w:rsidRPr="000C743B">
        <w:rPr>
          <w:rFonts w:ascii="Times New Roman" w:hAnsi="Times New Roman" w:cs="Times New Roman"/>
          <w:sz w:val="24"/>
          <w:szCs w:val="24"/>
        </w:rPr>
        <w:t xml:space="preserve"> </w:t>
      </w:r>
      <w:r w:rsidR="00465D40" w:rsidRPr="000C743B">
        <w:rPr>
          <w:rFonts w:ascii="Times New Roman" w:hAnsi="Times New Roman" w:cs="Times New Roman"/>
          <w:sz w:val="24"/>
          <w:szCs w:val="24"/>
        </w:rPr>
        <w:t xml:space="preserve">finansējums </w:t>
      </w:r>
      <w:r w:rsidR="00781C6B" w:rsidRPr="000C743B">
        <w:rPr>
          <w:rFonts w:ascii="Times New Roman" w:hAnsi="Times New Roman" w:cs="Times New Roman"/>
          <w:sz w:val="24"/>
          <w:szCs w:val="24"/>
        </w:rPr>
        <w:t xml:space="preserve">ir </w:t>
      </w:r>
      <w:r w:rsidR="004B7BFB" w:rsidRPr="000C743B">
        <w:rPr>
          <w:rFonts w:ascii="Times New Roman" w:hAnsi="Times New Roman" w:cs="Times New Roman"/>
          <w:sz w:val="24"/>
          <w:szCs w:val="24"/>
        </w:rPr>
        <w:t xml:space="preserve">865 150,00 </w:t>
      </w:r>
      <w:r w:rsidR="00D72BA0" w:rsidRPr="000C743B">
        <w:rPr>
          <w:rFonts w:ascii="Times New Roman" w:hAnsi="Times New Roman" w:cs="Times New Roman"/>
          <w:i/>
          <w:iCs/>
          <w:sz w:val="24"/>
          <w:szCs w:val="24"/>
        </w:rPr>
        <w:t>e</w:t>
      </w:r>
      <w:r w:rsidR="00307461" w:rsidRPr="000C743B">
        <w:rPr>
          <w:rFonts w:ascii="Times New Roman" w:hAnsi="Times New Roman" w:cs="Times New Roman"/>
          <w:i/>
          <w:iCs/>
          <w:sz w:val="24"/>
          <w:szCs w:val="24"/>
        </w:rPr>
        <w:t>u</w:t>
      </w:r>
      <w:r w:rsidR="00D72BA0" w:rsidRPr="000C743B">
        <w:rPr>
          <w:rFonts w:ascii="Times New Roman" w:hAnsi="Times New Roman" w:cs="Times New Roman"/>
          <w:i/>
          <w:iCs/>
          <w:sz w:val="24"/>
          <w:szCs w:val="24"/>
        </w:rPr>
        <w:t>ro</w:t>
      </w:r>
      <w:r w:rsidR="00781C6B" w:rsidRPr="000C743B">
        <w:rPr>
          <w:rFonts w:ascii="Times New Roman" w:hAnsi="Times New Roman" w:cs="Times New Roman"/>
          <w:sz w:val="24"/>
          <w:szCs w:val="24"/>
        </w:rPr>
        <w:t xml:space="preserve">, tai skaitā </w:t>
      </w:r>
      <w:r w:rsidR="00633872" w:rsidRPr="000C743B">
        <w:rPr>
          <w:rFonts w:ascii="Times New Roman" w:hAnsi="Times New Roman" w:cs="Times New Roman"/>
          <w:sz w:val="24"/>
          <w:szCs w:val="24"/>
        </w:rPr>
        <w:t>Atveseļošanas fonda</w:t>
      </w:r>
      <w:r w:rsidR="00781C6B" w:rsidRPr="000C743B">
        <w:rPr>
          <w:rFonts w:ascii="Times New Roman" w:hAnsi="Times New Roman" w:cs="Times New Roman"/>
          <w:sz w:val="24"/>
          <w:szCs w:val="24"/>
        </w:rPr>
        <w:t xml:space="preserve"> finansējums ir </w:t>
      </w:r>
      <w:r w:rsidR="004B7BFB" w:rsidRPr="000C743B">
        <w:rPr>
          <w:rFonts w:ascii="Times New Roman" w:hAnsi="Times New Roman" w:cs="Times New Roman"/>
          <w:sz w:val="24"/>
          <w:szCs w:val="24"/>
        </w:rPr>
        <w:t>715</w:t>
      </w:r>
      <w:r w:rsidR="00EB7FE4">
        <w:rPr>
          <w:rFonts w:ascii="Times New Roman" w:hAnsi="Times New Roman" w:cs="Times New Roman"/>
          <w:sz w:val="24"/>
          <w:szCs w:val="24"/>
        </w:rPr>
        <w:t> </w:t>
      </w:r>
      <w:r w:rsidR="004B7BFB" w:rsidRPr="000C743B">
        <w:rPr>
          <w:rFonts w:ascii="Times New Roman" w:hAnsi="Times New Roman" w:cs="Times New Roman"/>
          <w:sz w:val="24"/>
          <w:szCs w:val="24"/>
        </w:rPr>
        <w:t>000</w:t>
      </w:r>
      <w:r w:rsidR="00EB7FE4">
        <w:rPr>
          <w:rFonts w:ascii="Times New Roman" w:hAnsi="Times New Roman" w:cs="Times New Roman"/>
          <w:sz w:val="24"/>
          <w:szCs w:val="24"/>
        </w:rPr>
        <w:t>,00</w:t>
      </w:r>
      <w:r w:rsidR="004B7BFB" w:rsidRPr="000C743B">
        <w:rPr>
          <w:rFonts w:ascii="Times New Roman" w:hAnsi="Times New Roman" w:cs="Times New Roman"/>
          <w:sz w:val="24"/>
          <w:szCs w:val="24"/>
        </w:rPr>
        <w:t xml:space="preserve"> </w:t>
      </w:r>
      <w:r w:rsidR="00781C6B" w:rsidRPr="000C743B">
        <w:rPr>
          <w:rFonts w:ascii="Times New Roman" w:hAnsi="Times New Roman" w:cs="Times New Roman"/>
          <w:i/>
          <w:iCs/>
          <w:sz w:val="24"/>
          <w:szCs w:val="24"/>
        </w:rPr>
        <w:t>euro</w:t>
      </w:r>
      <w:r w:rsidR="00781C6B" w:rsidRPr="000C743B">
        <w:rPr>
          <w:rFonts w:ascii="Times New Roman" w:hAnsi="Times New Roman" w:cs="Times New Roman"/>
          <w:sz w:val="24"/>
          <w:szCs w:val="24"/>
        </w:rPr>
        <w:t xml:space="preserve"> un </w:t>
      </w:r>
      <w:r w:rsidR="005260C8" w:rsidRPr="00AD2E1C">
        <w:rPr>
          <w:rFonts w:ascii="Times New Roman" w:hAnsi="Times New Roman" w:cs="Times New Roman"/>
          <w:sz w:val="24"/>
          <w:szCs w:val="24"/>
        </w:rPr>
        <w:t>nacionālais valsts budžeta finansējums pievienotās vērtības nodokļa</w:t>
      </w:r>
      <w:r w:rsidR="005260C8">
        <w:rPr>
          <w:rFonts w:ascii="Times New Roman" w:hAnsi="Times New Roman" w:cs="Times New Roman"/>
          <w:sz w:val="24"/>
          <w:szCs w:val="24"/>
        </w:rPr>
        <w:t xml:space="preserve"> (turpmāk – PVN)</w:t>
      </w:r>
      <w:r w:rsidR="005260C8" w:rsidRPr="00AD2E1C">
        <w:rPr>
          <w:rFonts w:ascii="Times New Roman" w:hAnsi="Times New Roman" w:cs="Times New Roman"/>
          <w:sz w:val="24"/>
          <w:szCs w:val="24"/>
        </w:rPr>
        <w:t xml:space="preserve"> segšanai</w:t>
      </w:r>
      <w:r w:rsidR="00781C6B" w:rsidRPr="000C743B">
        <w:rPr>
          <w:rFonts w:ascii="Times New Roman" w:hAnsi="Times New Roman" w:cs="Times New Roman"/>
          <w:sz w:val="24"/>
          <w:szCs w:val="24"/>
        </w:rPr>
        <w:t xml:space="preserve"> </w:t>
      </w:r>
      <w:r w:rsidR="0098497A" w:rsidRPr="000C743B">
        <w:rPr>
          <w:rFonts w:ascii="Times New Roman" w:hAnsi="Times New Roman" w:cs="Times New Roman"/>
          <w:sz w:val="24"/>
          <w:szCs w:val="24"/>
        </w:rPr>
        <w:t xml:space="preserve">ne vairāk kā </w:t>
      </w:r>
      <w:r w:rsidR="004B7BFB" w:rsidRPr="000C743B">
        <w:rPr>
          <w:rFonts w:ascii="Times New Roman" w:hAnsi="Times New Roman" w:cs="Times New Roman"/>
          <w:sz w:val="24"/>
          <w:szCs w:val="24"/>
        </w:rPr>
        <w:t>150 150</w:t>
      </w:r>
      <w:r w:rsidR="0030700E" w:rsidRPr="000C743B">
        <w:rPr>
          <w:rFonts w:ascii="Times New Roman" w:hAnsi="Times New Roman" w:cs="Times New Roman"/>
          <w:sz w:val="24"/>
          <w:szCs w:val="24"/>
        </w:rPr>
        <w:t>,</w:t>
      </w:r>
      <w:r w:rsidR="00B9172F" w:rsidRPr="000C743B">
        <w:rPr>
          <w:rFonts w:ascii="Times New Roman" w:hAnsi="Times New Roman" w:cs="Times New Roman"/>
          <w:sz w:val="24"/>
          <w:szCs w:val="24"/>
        </w:rPr>
        <w:t>00</w:t>
      </w:r>
      <w:r w:rsidR="00781C6B" w:rsidRPr="000C743B">
        <w:rPr>
          <w:rFonts w:ascii="Times New Roman" w:hAnsi="Times New Roman" w:cs="Times New Roman"/>
          <w:sz w:val="24"/>
          <w:szCs w:val="24"/>
        </w:rPr>
        <w:t> </w:t>
      </w:r>
      <w:r w:rsidR="00781C6B" w:rsidRPr="000C743B">
        <w:rPr>
          <w:rFonts w:ascii="Times New Roman" w:hAnsi="Times New Roman" w:cs="Times New Roman"/>
          <w:i/>
          <w:iCs/>
          <w:sz w:val="24"/>
          <w:szCs w:val="24"/>
        </w:rPr>
        <w:t>euro</w:t>
      </w:r>
      <w:r w:rsidR="00D25D61" w:rsidRPr="000C743B">
        <w:rPr>
          <w:rFonts w:ascii="Times New Roman" w:hAnsi="Times New Roman" w:cs="Times New Roman"/>
          <w:sz w:val="24"/>
          <w:szCs w:val="24"/>
        </w:rPr>
        <w:t>, atbilstoši</w:t>
      </w:r>
      <w:r w:rsidR="00CD5137">
        <w:rPr>
          <w:rFonts w:ascii="Times New Roman" w:hAnsi="Times New Roman" w:cs="Times New Roman"/>
          <w:sz w:val="24"/>
          <w:szCs w:val="24"/>
        </w:rPr>
        <w:t xml:space="preserve"> šī ziņojuma</w:t>
      </w:r>
      <w:r w:rsidR="00D25D61" w:rsidRPr="000C743B">
        <w:rPr>
          <w:rFonts w:ascii="Times New Roman" w:hAnsi="Times New Roman" w:cs="Times New Roman"/>
          <w:sz w:val="24"/>
          <w:szCs w:val="24"/>
        </w:rPr>
        <w:t xml:space="preserve"> </w:t>
      </w:r>
      <w:r w:rsidR="00E03C9D" w:rsidRPr="000C743B">
        <w:rPr>
          <w:rFonts w:ascii="Times New Roman" w:hAnsi="Times New Roman" w:cs="Times New Roman"/>
          <w:sz w:val="24"/>
          <w:szCs w:val="24"/>
        </w:rPr>
        <w:fldChar w:fldCharType="begin"/>
      </w:r>
      <w:r w:rsidR="00E03C9D" w:rsidRPr="000C743B">
        <w:rPr>
          <w:rFonts w:ascii="Times New Roman" w:hAnsi="Times New Roman" w:cs="Times New Roman"/>
          <w:sz w:val="24"/>
          <w:szCs w:val="24"/>
        </w:rPr>
        <w:instrText xml:space="preserve"> REF _Ref94209416 \r \h </w:instrText>
      </w:r>
      <w:r w:rsidR="00023E9A" w:rsidRPr="000C743B">
        <w:rPr>
          <w:rFonts w:ascii="Times New Roman" w:hAnsi="Times New Roman" w:cs="Times New Roman"/>
          <w:sz w:val="24"/>
          <w:szCs w:val="24"/>
        </w:rPr>
        <w:instrText xml:space="preserve"> \* MERGEFORMAT </w:instrText>
      </w:r>
      <w:r w:rsidR="00E03C9D" w:rsidRPr="000C743B">
        <w:rPr>
          <w:rFonts w:ascii="Times New Roman" w:hAnsi="Times New Roman" w:cs="Times New Roman"/>
          <w:sz w:val="24"/>
          <w:szCs w:val="24"/>
        </w:rPr>
      </w:r>
      <w:r w:rsidR="00E03C9D" w:rsidRPr="000C743B">
        <w:rPr>
          <w:rFonts w:ascii="Times New Roman" w:hAnsi="Times New Roman" w:cs="Times New Roman"/>
          <w:sz w:val="24"/>
          <w:szCs w:val="24"/>
        </w:rPr>
        <w:fldChar w:fldCharType="separate"/>
      </w:r>
      <w:r w:rsidR="003C69E9" w:rsidRPr="000C743B">
        <w:rPr>
          <w:rFonts w:ascii="Times New Roman" w:hAnsi="Times New Roman" w:cs="Times New Roman"/>
          <w:sz w:val="24"/>
          <w:szCs w:val="24"/>
        </w:rPr>
        <w:t>4.4</w:t>
      </w:r>
      <w:r w:rsidR="00E03C9D" w:rsidRPr="000C743B">
        <w:rPr>
          <w:rFonts w:ascii="Times New Roman" w:hAnsi="Times New Roman" w:cs="Times New Roman"/>
          <w:sz w:val="24"/>
          <w:szCs w:val="24"/>
        </w:rPr>
        <w:fldChar w:fldCharType="end"/>
      </w:r>
      <w:r w:rsidR="00D25D61" w:rsidRPr="000C743B">
        <w:rPr>
          <w:rFonts w:ascii="Times New Roman" w:hAnsi="Times New Roman" w:cs="Times New Roman"/>
          <w:sz w:val="24"/>
          <w:szCs w:val="24"/>
        </w:rPr>
        <w:t>.</w:t>
      </w:r>
      <w:r w:rsidR="000272E6">
        <w:rPr>
          <w:rFonts w:ascii="Times New Roman" w:hAnsi="Times New Roman" w:cs="Times New Roman"/>
          <w:sz w:val="24"/>
          <w:szCs w:val="24"/>
        </w:rPr>
        <w:t> </w:t>
      </w:r>
      <w:r w:rsidR="00D25D61" w:rsidRPr="000C743B">
        <w:rPr>
          <w:rFonts w:ascii="Times New Roman" w:hAnsi="Times New Roman" w:cs="Times New Roman"/>
          <w:sz w:val="24"/>
          <w:szCs w:val="24"/>
        </w:rPr>
        <w:t>apakšpunktā minētajam</w:t>
      </w:r>
      <w:r w:rsidR="00781C6B" w:rsidRPr="000C743B">
        <w:rPr>
          <w:rFonts w:ascii="Times New Roman" w:hAnsi="Times New Roman" w:cs="Times New Roman"/>
          <w:sz w:val="24"/>
          <w:szCs w:val="24"/>
        </w:rPr>
        <w:t xml:space="preserve">. </w:t>
      </w:r>
    </w:p>
    <w:p w14:paraId="67D190F4" w14:textId="1DD1B52F" w:rsidR="0051384A" w:rsidRPr="000C743B" w:rsidRDefault="00633872" w:rsidP="00981FC4">
      <w:pPr>
        <w:pStyle w:val="ListParagraph"/>
        <w:numPr>
          <w:ilvl w:val="1"/>
          <w:numId w:val="3"/>
        </w:numPr>
        <w:spacing w:before="120" w:after="0" w:line="240" w:lineRule="auto"/>
        <w:ind w:left="720" w:hanging="720"/>
        <w:contextualSpacing w:val="0"/>
        <w:jc w:val="both"/>
        <w:rPr>
          <w:rFonts w:ascii="Times New Roman" w:hAnsi="Times New Roman" w:cs="Times New Roman"/>
          <w:sz w:val="24"/>
          <w:szCs w:val="24"/>
        </w:rPr>
      </w:pPr>
      <w:r w:rsidRPr="000C743B">
        <w:rPr>
          <w:rFonts w:ascii="Times New Roman" w:hAnsi="Times New Roman" w:cs="Times New Roman"/>
          <w:sz w:val="24"/>
          <w:szCs w:val="24"/>
        </w:rPr>
        <w:t xml:space="preserve">Atveseļošanas fonda </w:t>
      </w:r>
      <w:r w:rsidR="00781C6B" w:rsidRPr="000C743B">
        <w:rPr>
          <w:rFonts w:ascii="Times New Roman" w:hAnsi="Times New Roman" w:cs="Times New Roman"/>
          <w:sz w:val="24"/>
          <w:szCs w:val="24"/>
        </w:rPr>
        <w:t xml:space="preserve">finansējums nesedz </w:t>
      </w:r>
      <w:r w:rsidR="005F73C8" w:rsidRPr="000C743B">
        <w:rPr>
          <w:rFonts w:ascii="Times New Roman" w:hAnsi="Times New Roman" w:cs="Times New Roman"/>
          <w:sz w:val="24"/>
          <w:szCs w:val="24"/>
        </w:rPr>
        <w:t>investīcijas PVN</w:t>
      </w:r>
      <w:r w:rsidR="00781C6B" w:rsidRPr="000C743B">
        <w:rPr>
          <w:rFonts w:ascii="Times New Roman" w:hAnsi="Times New Roman" w:cs="Times New Roman"/>
          <w:sz w:val="24"/>
          <w:szCs w:val="24"/>
        </w:rPr>
        <w:t xml:space="preserve"> </w:t>
      </w:r>
      <w:r w:rsidR="009F6E42">
        <w:rPr>
          <w:rFonts w:ascii="Times New Roman" w:hAnsi="Times New Roman" w:cs="Times New Roman"/>
          <w:sz w:val="24"/>
          <w:szCs w:val="24"/>
        </w:rPr>
        <w:t xml:space="preserve">un projekta administrēšanas </w:t>
      </w:r>
      <w:r w:rsidR="00781C6B" w:rsidRPr="000C743B">
        <w:rPr>
          <w:rFonts w:ascii="Times New Roman" w:hAnsi="Times New Roman" w:cs="Times New Roman"/>
          <w:sz w:val="24"/>
          <w:szCs w:val="24"/>
        </w:rPr>
        <w:t>izmaksas.</w:t>
      </w:r>
      <w:r w:rsidR="0051384A" w:rsidRPr="000C743B">
        <w:rPr>
          <w:rFonts w:ascii="Times New Roman" w:hAnsi="Times New Roman" w:cs="Times New Roman"/>
          <w:sz w:val="24"/>
          <w:szCs w:val="24"/>
        </w:rPr>
        <w:t xml:space="preserve"> </w:t>
      </w:r>
    </w:p>
    <w:p w14:paraId="2810E175" w14:textId="19A2BE16" w:rsidR="000C743B" w:rsidRPr="000C743B" w:rsidRDefault="0051384A" w:rsidP="000C743B">
      <w:pPr>
        <w:pStyle w:val="ListParagraph"/>
        <w:numPr>
          <w:ilvl w:val="1"/>
          <w:numId w:val="3"/>
        </w:numPr>
        <w:spacing w:before="120" w:after="0" w:line="240" w:lineRule="auto"/>
        <w:ind w:left="720" w:hanging="720"/>
        <w:contextualSpacing w:val="0"/>
        <w:jc w:val="both"/>
        <w:rPr>
          <w:rFonts w:ascii="Times New Roman" w:hAnsi="Times New Roman" w:cs="Times New Roman"/>
          <w:sz w:val="24"/>
          <w:szCs w:val="24"/>
        </w:rPr>
      </w:pPr>
      <w:r w:rsidRPr="000C743B">
        <w:rPr>
          <w:rStyle w:val="cf01"/>
          <w:rFonts w:ascii="Times New Roman" w:hAnsi="Times New Roman" w:cs="Times New Roman"/>
          <w:sz w:val="24"/>
          <w:szCs w:val="24"/>
        </w:rPr>
        <w:t xml:space="preserve">Ja finansējuma saņēmējs atgūst </w:t>
      </w:r>
      <w:r w:rsidR="005F73C8" w:rsidRPr="000C743B">
        <w:rPr>
          <w:rStyle w:val="cf01"/>
          <w:rFonts w:ascii="Times New Roman" w:hAnsi="Times New Roman" w:cs="Times New Roman"/>
          <w:sz w:val="24"/>
          <w:szCs w:val="24"/>
        </w:rPr>
        <w:t>PVN</w:t>
      </w:r>
      <w:r w:rsidRPr="000C743B">
        <w:rPr>
          <w:rStyle w:val="cf01"/>
          <w:rFonts w:ascii="Times New Roman" w:hAnsi="Times New Roman" w:cs="Times New Roman"/>
          <w:sz w:val="24"/>
          <w:szCs w:val="24"/>
        </w:rPr>
        <w:t xml:space="preserve"> vispārējā kārtībā, </w:t>
      </w:r>
      <w:r w:rsidR="00194AEF">
        <w:rPr>
          <w:rFonts w:ascii="Times New Roman" w:hAnsi="Times New Roman" w:cs="Times New Roman"/>
          <w:sz w:val="24"/>
          <w:szCs w:val="24"/>
        </w:rPr>
        <w:t>investīcijas</w:t>
      </w:r>
      <w:r w:rsidRPr="000C743B">
        <w:rPr>
          <w:rFonts w:ascii="Times New Roman" w:hAnsi="Times New Roman" w:cs="Times New Roman"/>
          <w:sz w:val="24"/>
          <w:szCs w:val="24"/>
        </w:rPr>
        <w:t xml:space="preserve"> atskaites punkta</w:t>
      </w:r>
      <w:r w:rsidRPr="000C743B">
        <w:rPr>
          <w:rStyle w:val="cf01"/>
          <w:rFonts w:ascii="Times New Roman" w:hAnsi="Times New Roman" w:cs="Times New Roman"/>
          <w:sz w:val="24"/>
          <w:szCs w:val="24"/>
        </w:rPr>
        <w:t xml:space="preserve"> ietvaros no nacionālā valsts budžeta finansējuma to nesedz.</w:t>
      </w:r>
    </w:p>
    <w:p w14:paraId="3CC5E85A" w14:textId="77777777" w:rsidR="004B5D5F" w:rsidRDefault="00194AEF" w:rsidP="004B5D5F">
      <w:pPr>
        <w:pStyle w:val="ListParagraph"/>
        <w:numPr>
          <w:ilvl w:val="1"/>
          <w:numId w:val="3"/>
        </w:numPr>
        <w:spacing w:before="120" w:after="0" w:line="240" w:lineRule="auto"/>
        <w:ind w:left="720" w:hanging="720"/>
        <w:contextualSpacing w:val="0"/>
        <w:jc w:val="both"/>
        <w:rPr>
          <w:rFonts w:ascii="Times New Roman" w:hAnsi="Times New Roman" w:cs="Times New Roman"/>
          <w:sz w:val="24"/>
          <w:szCs w:val="24"/>
        </w:rPr>
      </w:pPr>
      <w:bookmarkStart w:id="10" w:name="_Ref94209416"/>
      <w:r w:rsidRPr="00B824D5">
        <w:rPr>
          <w:rFonts w:ascii="Times New Roman" w:hAnsi="Times New Roman" w:cs="Times New Roman"/>
          <w:sz w:val="24"/>
          <w:szCs w:val="24"/>
        </w:rPr>
        <w:t>Kopējais n</w:t>
      </w:r>
      <w:r w:rsidR="00781C6B" w:rsidRPr="00B824D5">
        <w:rPr>
          <w:rFonts w:ascii="Times New Roman" w:hAnsi="Times New Roman" w:cs="Times New Roman"/>
          <w:sz w:val="24"/>
          <w:szCs w:val="24"/>
        </w:rPr>
        <w:t xml:space="preserve">acionālais valsts budžeta finansējums </w:t>
      </w:r>
      <w:r w:rsidR="000C743B" w:rsidRPr="00B824D5">
        <w:rPr>
          <w:rFonts w:ascii="Times New Roman" w:hAnsi="Times New Roman" w:cs="Times New Roman"/>
          <w:sz w:val="24"/>
          <w:szCs w:val="24"/>
        </w:rPr>
        <w:t>plānots</w:t>
      </w:r>
      <w:r w:rsidR="00781C6B" w:rsidRPr="00B824D5">
        <w:rPr>
          <w:rFonts w:ascii="Times New Roman" w:hAnsi="Times New Roman" w:cs="Times New Roman"/>
          <w:sz w:val="24"/>
          <w:szCs w:val="24"/>
        </w:rPr>
        <w:t xml:space="preserve"> </w:t>
      </w:r>
      <w:r w:rsidR="000C743B" w:rsidRPr="00B824D5">
        <w:rPr>
          <w:rFonts w:ascii="Times New Roman" w:hAnsi="Times New Roman" w:cs="Times New Roman"/>
          <w:sz w:val="24"/>
          <w:szCs w:val="24"/>
        </w:rPr>
        <w:t>PVN</w:t>
      </w:r>
      <w:r w:rsidR="00781C6B" w:rsidRPr="00B824D5">
        <w:rPr>
          <w:rFonts w:ascii="Times New Roman" w:hAnsi="Times New Roman" w:cs="Times New Roman"/>
          <w:sz w:val="24"/>
          <w:szCs w:val="24"/>
        </w:rPr>
        <w:t xml:space="preserve"> segšanai ne </w:t>
      </w:r>
      <w:r w:rsidR="0098497A" w:rsidRPr="00B824D5">
        <w:rPr>
          <w:rFonts w:ascii="Times New Roman" w:hAnsi="Times New Roman" w:cs="Times New Roman"/>
          <w:sz w:val="24"/>
          <w:szCs w:val="24"/>
        </w:rPr>
        <w:t xml:space="preserve">vairāk </w:t>
      </w:r>
      <w:r w:rsidR="00781C6B" w:rsidRPr="00B824D5">
        <w:rPr>
          <w:rFonts w:ascii="Times New Roman" w:hAnsi="Times New Roman" w:cs="Times New Roman"/>
          <w:sz w:val="24"/>
          <w:szCs w:val="24"/>
        </w:rPr>
        <w:t xml:space="preserve">kā </w:t>
      </w:r>
      <w:r w:rsidR="00FC5238" w:rsidRPr="00B824D5">
        <w:rPr>
          <w:rFonts w:ascii="Times New Roman" w:hAnsi="Times New Roman" w:cs="Times New Roman"/>
          <w:sz w:val="24"/>
          <w:szCs w:val="24"/>
        </w:rPr>
        <w:t>150</w:t>
      </w:r>
      <w:r w:rsidR="004B5D5F">
        <w:rPr>
          <w:rFonts w:ascii="Times New Roman" w:hAnsi="Times New Roman" w:cs="Times New Roman"/>
          <w:sz w:val="24"/>
          <w:szCs w:val="24"/>
        </w:rPr>
        <w:t> </w:t>
      </w:r>
      <w:r w:rsidR="00FC5238" w:rsidRPr="00B824D5">
        <w:rPr>
          <w:rFonts w:ascii="Times New Roman" w:hAnsi="Times New Roman" w:cs="Times New Roman"/>
          <w:sz w:val="24"/>
          <w:szCs w:val="24"/>
        </w:rPr>
        <w:t>150,00 </w:t>
      </w:r>
      <w:r w:rsidR="00307461" w:rsidRPr="00B824D5">
        <w:rPr>
          <w:rFonts w:ascii="Times New Roman" w:hAnsi="Times New Roman" w:cs="Times New Roman"/>
          <w:i/>
          <w:iCs/>
          <w:sz w:val="24"/>
          <w:szCs w:val="24"/>
        </w:rPr>
        <w:t>euro</w:t>
      </w:r>
      <w:r w:rsidR="00307461" w:rsidRPr="00B824D5">
        <w:rPr>
          <w:rFonts w:ascii="Times New Roman" w:hAnsi="Times New Roman" w:cs="Times New Roman"/>
          <w:sz w:val="24"/>
          <w:szCs w:val="24"/>
        </w:rPr>
        <w:t xml:space="preserve"> </w:t>
      </w:r>
      <w:r w:rsidR="00781C6B" w:rsidRPr="00B824D5">
        <w:rPr>
          <w:rFonts w:ascii="Times New Roman" w:hAnsi="Times New Roman" w:cs="Times New Roman"/>
          <w:sz w:val="24"/>
          <w:szCs w:val="24"/>
        </w:rPr>
        <w:t xml:space="preserve">apmērā, kas noteikts </w:t>
      </w:r>
      <w:r w:rsidR="00B77A33">
        <w:rPr>
          <w:rFonts w:ascii="Times New Roman" w:hAnsi="Times New Roman" w:cs="Times New Roman"/>
          <w:sz w:val="24"/>
          <w:szCs w:val="24"/>
        </w:rPr>
        <w:t>Ministru kabineta</w:t>
      </w:r>
      <w:r w:rsidR="00781C6B" w:rsidRPr="00B824D5">
        <w:rPr>
          <w:rFonts w:ascii="Times New Roman" w:hAnsi="Times New Roman" w:cs="Times New Roman"/>
          <w:sz w:val="24"/>
          <w:szCs w:val="24"/>
        </w:rPr>
        <w:t xml:space="preserve"> </w:t>
      </w:r>
      <w:proofErr w:type="spellStart"/>
      <w:r w:rsidR="00781C6B" w:rsidRPr="00B824D5">
        <w:rPr>
          <w:rFonts w:ascii="Times New Roman" w:hAnsi="Times New Roman" w:cs="Times New Roman"/>
          <w:sz w:val="24"/>
          <w:szCs w:val="24"/>
        </w:rPr>
        <w:t>protokollēmumā</w:t>
      </w:r>
      <w:proofErr w:type="spellEnd"/>
      <w:r w:rsidR="00B77A33">
        <w:rPr>
          <w:rFonts w:ascii="Times New Roman" w:hAnsi="Times New Roman" w:cs="Times New Roman"/>
          <w:sz w:val="24"/>
          <w:szCs w:val="24"/>
        </w:rPr>
        <w:t>, ar ko pieņemts šis ziņojums</w:t>
      </w:r>
      <w:r w:rsidR="00781C6B" w:rsidRPr="00B824D5">
        <w:rPr>
          <w:rFonts w:ascii="Times New Roman" w:hAnsi="Times New Roman" w:cs="Times New Roman"/>
          <w:sz w:val="24"/>
          <w:szCs w:val="24"/>
        </w:rPr>
        <w:t xml:space="preserve">. </w:t>
      </w:r>
      <w:r w:rsidR="00EE7B5A" w:rsidRPr="00B824D5">
        <w:rPr>
          <w:rFonts w:ascii="Times New Roman" w:hAnsi="Times New Roman" w:cs="Times New Roman"/>
          <w:sz w:val="24"/>
          <w:szCs w:val="24"/>
        </w:rPr>
        <w:t xml:space="preserve">Precīzi </w:t>
      </w:r>
      <w:r w:rsidR="00FC5238" w:rsidRPr="00B824D5">
        <w:rPr>
          <w:rFonts w:ascii="Times New Roman" w:hAnsi="Times New Roman" w:cs="Times New Roman"/>
          <w:sz w:val="24"/>
          <w:szCs w:val="24"/>
        </w:rPr>
        <w:t>PVN</w:t>
      </w:r>
      <w:r w:rsidR="00EE7B5A" w:rsidRPr="00B824D5">
        <w:rPr>
          <w:rFonts w:ascii="Times New Roman" w:hAnsi="Times New Roman" w:cs="Times New Roman"/>
          <w:sz w:val="24"/>
          <w:szCs w:val="24"/>
        </w:rPr>
        <w:t xml:space="preserve"> apmērs būs zināms projekta īstenošanas laikā, ziņojumā  norādīts iespējamais maksimālais</w:t>
      </w:r>
      <w:r w:rsidR="005D4227" w:rsidRPr="00B824D5">
        <w:rPr>
          <w:rFonts w:ascii="Times New Roman" w:hAnsi="Times New Roman" w:cs="Times New Roman"/>
          <w:sz w:val="24"/>
          <w:szCs w:val="24"/>
        </w:rPr>
        <w:t xml:space="preserve"> apmērs</w:t>
      </w:r>
      <w:r w:rsidR="00EE7B5A" w:rsidRPr="00B824D5">
        <w:rPr>
          <w:rFonts w:ascii="Times New Roman" w:hAnsi="Times New Roman" w:cs="Times New Roman"/>
          <w:sz w:val="24"/>
          <w:szCs w:val="24"/>
        </w:rPr>
        <w:t>.</w:t>
      </w:r>
      <w:bookmarkStart w:id="11" w:name="_Hlk92273015"/>
      <w:bookmarkEnd w:id="10"/>
    </w:p>
    <w:p w14:paraId="4BDBA981" w14:textId="77777777" w:rsidR="00D05BCE" w:rsidRPr="00D05BCE" w:rsidRDefault="006A1F35" w:rsidP="00D05BCE">
      <w:pPr>
        <w:pStyle w:val="ListParagraph"/>
        <w:numPr>
          <w:ilvl w:val="1"/>
          <w:numId w:val="3"/>
        </w:numPr>
        <w:spacing w:before="120" w:after="0" w:line="240" w:lineRule="auto"/>
        <w:ind w:left="720" w:hanging="720"/>
        <w:contextualSpacing w:val="0"/>
        <w:jc w:val="both"/>
        <w:rPr>
          <w:rFonts w:ascii="Times New Roman" w:hAnsi="Times New Roman" w:cs="Times New Roman"/>
          <w:sz w:val="24"/>
          <w:szCs w:val="24"/>
        </w:rPr>
      </w:pPr>
      <w:r w:rsidRPr="006A1F35">
        <w:rPr>
          <w:rFonts w:ascii="Times New Roman" w:eastAsia="Times New Roman" w:hAnsi="Times New Roman" w:cs="Times New Roman"/>
          <w:iCs/>
          <w:sz w:val="24"/>
          <w:szCs w:val="24"/>
        </w:rPr>
        <w:t>Ar investīcijas īstenošanas administrēšanu saistītos izdevumus segs finansējuma saņēmējs no pašu līdzekļiem</w:t>
      </w:r>
      <w:bookmarkEnd w:id="11"/>
      <w:r w:rsidRPr="006A1F35">
        <w:rPr>
          <w:rFonts w:ascii="Times New Roman" w:eastAsia="Times New Roman" w:hAnsi="Times New Roman" w:cs="Times New Roman"/>
          <w:iCs/>
          <w:sz w:val="24"/>
          <w:szCs w:val="24"/>
        </w:rPr>
        <w:t>.</w:t>
      </w:r>
    </w:p>
    <w:p w14:paraId="64E49482" w14:textId="663781E6" w:rsidR="00D05BCE" w:rsidRPr="004B5D5F" w:rsidRDefault="00D05BCE" w:rsidP="0073515D">
      <w:pPr>
        <w:pStyle w:val="ListParagraph"/>
        <w:numPr>
          <w:ilvl w:val="1"/>
          <w:numId w:val="3"/>
        </w:numPr>
        <w:spacing w:before="120" w:after="0" w:line="240" w:lineRule="auto"/>
        <w:ind w:left="720" w:hanging="720"/>
        <w:contextualSpacing w:val="0"/>
        <w:jc w:val="both"/>
        <w:rPr>
          <w:rFonts w:ascii="Times New Roman" w:hAnsi="Times New Roman" w:cs="Times New Roman"/>
          <w:sz w:val="24"/>
          <w:szCs w:val="24"/>
        </w:rPr>
      </w:pPr>
      <w:r w:rsidRPr="00D05BCE">
        <w:rPr>
          <w:rFonts w:ascii="Times New Roman" w:eastAsia="Times New Roman" w:hAnsi="Times New Roman" w:cs="Times New Roman"/>
          <w:iCs/>
          <w:sz w:val="24"/>
          <w:szCs w:val="24"/>
        </w:rPr>
        <w:t>Finansējuma saņēmējs izdevumus plāno no 2022.</w:t>
      </w:r>
      <w:r w:rsidR="00F60AB2">
        <w:rPr>
          <w:rFonts w:ascii="Times New Roman" w:eastAsia="Times New Roman" w:hAnsi="Times New Roman" w:cs="Times New Roman"/>
          <w:iCs/>
          <w:sz w:val="24"/>
          <w:szCs w:val="24"/>
        </w:rPr>
        <w:t> </w:t>
      </w:r>
      <w:r w:rsidRPr="00D05BCE">
        <w:rPr>
          <w:rFonts w:ascii="Times New Roman" w:eastAsia="Times New Roman" w:hAnsi="Times New Roman" w:cs="Times New Roman"/>
          <w:iCs/>
          <w:sz w:val="24"/>
          <w:szCs w:val="24"/>
        </w:rPr>
        <w:t>gada 1.</w:t>
      </w:r>
      <w:r w:rsidR="00F60AB2">
        <w:rPr>
          <w:rFonts w:ascii="Times New Roman" w:eastAsia="Times New Roman" w:hAnsi="Times New Roman" w:cs="Times New Roman"/>
          <w:iCs/>
          <w:sz w:val="24"/>
          <w:szCs w:val="24"/>
        </w:rPr>
        <w:t> </w:t>
      </w:r>
      <w:r w:rsidRPr="00D05BCE">
        <w:rPr>
          <w:rFonts w:ascii="Times New Roman" w:eastAsia="Times New Roman" w:hAnsi="Times New Roman" w:cs="Times New Roman"/>
          <w:iCs/>
          <w:sz w:val="24"/>
          <w:szCs w:val="24"/>
        </w:rPr>
        <w:t xml:space="preserve">janvāra </w:t>
      </w:r>
      <w:r w:rsidRPr="00972C01">
        <w:rPr>
          <w:rFonts w:ascii="Times New Roman" w:eastAsia="Times New Roman" w:hAnsi="Times New Roman" w:cs="Times New Roman"/>
          <w:iCs/>
          <w:sz w:val="24"/>
          <w:szCs w:val="24"/>
        </w:rPr>
        <w:t>līdz 2026.</w:t>
      </w:r>
      <w:r w:rsidR="00F60AB2" w:rsidRPr="00972C01">
        <w:rPr>
          <w:rFonts w:ascii="Times New Roman" w:eastAsia="Times New Roman" w:hAnsi="Times New Roman" w:cs="Times New Roman"/>
          <w:iCs/>
          <w:sz w:val="24"/>
          <w:szCs w:val="24"/>
        </w:rPr>
        <w:t> </w:t>
      </w:r>
      <w:r w:rsidRPr="00972C01">
        <w:rPr>
          <w:rFonts w:ascii="Times New Roman" w:eastAsia="Times New Roman" w:hAnsi="Times New Roman" w:cs="Times New Roman"/>
          <w:iCs/>
          <w:sz w:val="24"/>
          <w:szCs w:val="24"/>
        </w:rPr>
        <w:t xml:space="preserve">gada </w:t>
      </w:r>
      <w:r w:rsidR="008A1DFB" w:rsidRPr="00972C01">
        <w:rPr>
          <w:rFonts w:ascii="Times New Roman" w:eastAsia="Times New Roman" w:hAnsi="Times New Roman" w:cs="Times New Roman"/>
          <w:iCs/>
          <w:sz w:val="24"/>
          <w:szCs w:val="24"/>
        </w:rPr>
        <w:t>1</w:t>
      </w:r>
      <w:r w:rsidR="008A1DFB">
        <w:rPr>
          <w:rFonts w:ascii="Times New Roman" w:eastAsia="Times New Roman" w:hAnsi="Times New Roman" w:cs="Times New Roman"/>
          <w:iCs/>
          <w:sz w:val="24"/>
          <w:szCs w:val="24"/>
        </w:rPr>
        <w:t>.jūlijam</w:t>
      </w:r>
      <w:r w:rsidRPr="00D05BCE">
        <w:rPr>
          <w:rFonts w:ascii="Times New Roman" w:eastAsia="Times New Roman" w:hAnsi="Times New Roman" w:cs="Times New Roman"/>
          <w:iCs/>
          <w:sz w:val="24"/>
          <w:szCs w:val="24"/>
        </w:rPr>
        <w:t xml:space="preserve"> investīcijas kopējā pieejamā finansējuma ietvaros saskaņā ar Atveseļošanas fonda plānā noteikto un MK noteikumiem Nr.</w:t>
      </w:r>
      <w:r w:rsidR="00F60AB2">
        <w:rPr>
          <w:rFonts w:ascii="Times New Roman" w:eastAsia="Times New Roman" w:hAnsi="Times New Roman" w:cs="Times New Roman"/>
          <w:iCs/>
          <w:sz w:val="24"/>
          <w:szCs w:val="24"/>
        </w:rPr>
        <w:t> </w:t>
      </w:r>
      <w:r w:rsidRPr="00D05BCE">
        <w:rPr>
          <w:rFonts w:ascii="Times New Roman" w:eastAsia="Times New Roman" w:hAnsi="Times New Roman" w:cs="Times New Roman"/>
          <w:iCs/>
          <w:sz w:val="24"/>
          <w:szCs w:val="24"/>
        </w:rPr>
        <w:t xml:space="preserve">621. </w:t>
      </w:r>
      <w:r w:rsidRPr="00D05BCE">
        <w:rPr>
          <w:rFonts w:ascii="Times New Roman" w:hAnsi="Times New Roman" w:cs="Times New Roman"/>
          <w:sz w:val="24"/>
          <w:szCs w:val="24"/>
        </w:rPr>
        <w:t>2022.</w:t>
      </w:r>
      <w:r w:rsidR="00F60AB2">
        <w:rPr>
          <w:rFonts w:ascii="Times New Roman" w:hAnsi="Times New Roman" w:cs="Times New Roman"/>
          <w:sz w:val="24"/>
          <w:szCs w:val="24"/>
        </w:rPr>
        <w:t> </w:t>
      </w:r>
      <w:r w:rsidRPr="00D05BCE">
        <w:rPr>
          <w:rFonts w:ascii="Times New Roman" w:hAnsi="Times New Roman" w:cs="Times New Roman"/>
          <w:sz w:val="24"/>
          <w:szCs w:val="24"/>
        </w:rPr>
        <w:t>gadā plānotos izdevumus finansējuma saņēmējs sākotnēji segs no saviem līdzekļiem, pēc šī informatīvā ziņojuma izskatīšanas MK, projekta vērtēšanas un vienošanās par projekta īstenošanu noslēgšanas iesniegs apmaksai nozares ministrijai</w:t>
      </w:r>
      <w:r w:rsidRPr="00D05BCE">
        <w:rPr>
          <w:rFonts w:ascii="Times New Roman" w:eastAsia="Times New Roman" w:hAnsi="Times New Roman" w:cs="Times New Roman"/>
          <w:iCs/>
          <w:sz w:val="24"/>
          <w:szCs w:val="24"/>
        </w:rPr>
        <w:t>.</w:t>
      </w:r>
    </w:p>
    <w:p w14:paraId="70F3E221" w14:textId="219198BB" w:rsidR="004B5D5F" w:rsidRDefault="004B5D5F" w:rsidP="004B5D5F">
      <w:pPr>
        <w:pStyle w:val="ListParagraph"/>
        <w:numPr>
          <w:ilvl w:val="1"/>
          <w:numId w:val="3"/>
        </w:numPr>
        <w:spacing w:before="120" w:after="0" w:line="240" w:lineRule="auto"/>
        <w:ind w:left="720" w:hanging="720"/>
        <w:contextualSpacing w:val="0"/>
        <w:jc w:val="both"/>
        <w:rPr>
          <w:rFonts w:ascii="Times New Roman" w:hAnsi="Times New Roman" w:cs="Times New Roman"/>
          <w:sz w:val="24"/>
          <w:szCs w:val="24"/>
        </w:rPr>
      </w:pPr>
      <w:r w:rsidRPr="00A46F3D">
        <w:rPr>
          <w:rFonts w:ascii="Times New Roman" w:hAnsi="Times New Roman" w:cs="Times New Roman"/>
          <w:sz w:val="24"/>
          <w:szCs w:val="24"/>
        </w:rPr>
        <w:t>Investīcijas atbalst</w:t>
      </w:r>
      <w:r>
        <w:rPr>
          <w:rFonts w:ascii="Times New Roman" w:hAnsi="Times New Roman" w:cs="Times New Roman"/>
          <w:sz w:val="24"/>
          <w:szCs w:val="24"/>
        </w:rPr>
        <w:t xml:space="preserve">s tiks sniegts </w:t>
      </w:r>
      <w:proofErr w:type="spellStart"/>
      <w:r w:rsidRPr="00A46F3D">
        <w:rPr>
          <w:rFonts w:ascii="Times New Roman" w:hAnsi="Times New Roman" w:cs="Times New Roman"/>
          <w:sz w:val="24"/>
          <w:szCs w:val="24"/>
        </w:rPr>
        <w:t>grant</w:t>
      </w:r>
      <w:r>
        <w:rPr>
          <w:rFonts w:ascii="Times New Roman" w:hAnsi="Times New Roman" w:cs="Times New Roman"/>
          <w:sz w:val="24"/>
          <w:szCs w:val="24"/>
        </w:rPr>
        <w:t>a</w:t>
      </w:r>
      <w:proofErr w:type="spellEnd"/>
      <w:r>
        <w:rPr>
          <w:rFonts w:ascii="Times New Roman" w:hAnsi="Times New Roman" w:cs="Times New Roman"/>
          <w:sz w:val="24"/>
          <w:szCs w:val="24"/>
        </w:rPr>
        <w:t xml:space="preserve"> veidā</w:t>
      </w:r>
      <w:r w:rsidRPr="00A46F3D">
        <w:rPr>
          <w:rFonts w:ascii="Times New Roman" w:hAnsi="Times New Roman" w:cs="Times New Roman"/>
          <w:sz w:val="24"/>
          <w:szCs w:val="24"/>
        </w:rPr>
        <w:t>.</w:t>
      </w:r>
    </w:p>
    <w:p w14:paraId="699CF71A" w14:textId="77777777" w:rsidR="000B7CC2" w:rsidRPr="004B5D5F" w:rsidRDefault="000B7CC2" w:rsidP="000B7CC2">
      <w:pPr>
        <w:pStyle w:val="ListParagraph"/>
        <w:spacing w:before="120" w:after="0" w:line="240" w:lineRule="auto"/>
        <w:contextualSpacing w:val="0"/>
        <w:jc w:val="both"/>
        <w:rPr>
          <w:rFonts w:ascii="Times New Roman" w:hAnsi="Times New Roman" w:cs="Times New Roman"/>
          <w:sz w:val="24"/>
          <w:szCs w:val="24"/>
        </w:rPr>
      </w:pPr>
    </w:p>
    <w:p w14:paraId="2D6ECED5" w14:textId="50ABABA4" w:rsidR="00CF751C" w:rsidRPr="00664D24" w:rsidRDefault="0014143E" w:rsidP="00981FC4">
      <w:pPr>
        <w:pStyle w:val="Heading1"/>
        <w:numPr>
          <w:ilvl w:val="0"/>
          <w:numId w:val="3"/>
        </w:numPr>
        <w:spacing w:before="120" w:line="240" w:lineRule="auto"/>
        <w:ind w:hanging="720"/>
        <w:rPr>
          <w:rFonts w:eastAsia="Times New Roman" w:cs="Times New Roman"/>
          <w:b/>
          <w:bCs/>
          <w:sz w:val="24"/>
          <w:szCs w:val="24"/>
        </w:rPr>
      </w:pPr>
      <w:bookmarkStart w:id="12" w:name="_Toc110002933"/>
      <w:r w:rsidRPr="00664D24">
        <w:rPr>
          <w:rFonts w:eastAsia="Times New Roman" w:cs="Times New Roman"/>
          <w:b/>
          <w:bCs/>
          <w:sz w:val="24"/>
          <w:szCs w:val="24"/>
        </w:rPr>
        <w:t>Valsts atbalsts</w:t>
      </w:r>
      <w:bookmarkEnd w:id="12"/>
    </w:p>
    <w:p w14:paraId="1837C26B" w14:textId="348629CE" w:rsidR="00F140A5" w:rsidRPr="003416EF" w:rsidRDefault="00F36833" w:rsidP="003416EF">
      <w:pPr>
        <w:pStyle w:val="ListParagraph"/>
        <w:numPr>
          <w:ilvl w:val="1"/>
          <w:numId w:val="3"/>
        </w:numPr>
        <w:spacing w:before="120" w:after="0" w:line="240" w:lineRule="auto"/>
        <w:ind w:left="720" w:hanging="720"/>
        <w:contextualSpacing w:val="0"/>
        <w:jc w:val="both"/>
        <w:rPr>
          <w:rFonts w:ascii="Times New Roman" w:hAnsi="Times New Roman" w:cs="Times New Roman"/>
          <w:sz w:val="24"/>
          <w:szCs w:val="24"/>
        </w:rPr>
      </w:pPr>
      <w:r w:rsidRPr="00F36833">
        <w:rPr>
          <w:rFonts w:ascii="Times New Roman" w:eastAsia="Times New Roman" w:hAnsi="Times New Roman" w:cs="Times New Roman"/>
          <w:iCs/>
          <w:sz w:val="24"/>
          <w:szCs w:val="24"/>
        </w:rPr>
        <w:t xml:space="preserve">Atbalsts nav kvalificējams kā komercdarbības atbalsts, jo tiks piešķirts valsts deleģētas funkcijas veikšanai atbilstoši Ministru kabineta </w:t>
      </w:r>
      <w:r w:rsidR="003416EF" w:rsidRPr="00A46F3D">
        <w:rPr>
          <w:rFonts w:ascii="Times New Roman" w:hAnsi="Times New Roman" w:cs="Times New Roman"/>
          <w:sz w:val="24"/>
          <w:szCs w:val="24"/>
        </w:rPr>
        <w:t>2012.gada 3.aprīļa noteikum</w:t>
      </w:r>
      <w:r w:rsidR="0075063D">
        <w:rPr>
          <w:rFonts w:ascii="Times New Roman" w:hAnsi="Times New Roman" w:cs="Times New Roman"/>
          <w:sz w:val="24"/>
          <w:szCs w:val="24"/>
        </w:rPr>
        <w:t>u</w:t>
      </w:r>
      <w:r w:rsidR="003416EF" w:rsidRPr="00A46F3D">
        <w:rPr>
          <w:rFonts w:ascii="Times New Roman" w:hAnsi="Times New Roman" w:cs="Times New Roman"/>
          <w:sz w:val="24"/>
          <w:szCs w:val="24"/>
        </w:rPr>
        <w:t xml:space="preserve"> Nr.</w:t>
      </w:r>
      <w:r w:rsidR="0018183A">
        <w:rPr>
          <w:rFonts w:ascii="Times New Roman" w:hAnsi="Times New Roman" w:cs="Times New Roman"/>
          <w:sz w:val="24"/>
          <w:szCs w:val="24"/>
        </w:rPr>
        <w:t> </w:t>
      </w:r>
      <w:r w:rsidR="003416EF" w:rsidRPr="00A46F3D">
        <w:rPr>
          <w:rFonts w:ascii="Times New Roman" w:hAnsi="Times New Roman" w:cs="Times New Roman"/>
          <w:sz w:val="24"/>
          <w:szCs w:val="24"/>
        </w:rPr>
        <w:t>241</w:t>
      </w:r>
      <w:r w:rsidR="0018183A">
        <w:rPr>
          <w:rFonts w:ascii="Times New Roman" w:hAnsi="Times New Roman" w:cs="Times New Roman"/>
          <w:sz w:val="24"/>
          <w:szCs w:val="24"/>
        </w:rPr>
        <w:t xml:space="preserve"> </w:t>
      </w:r>
      <w:r w:rsidR="003416EF" w:rsidRPr="00A46F3D">
        <w:rPr>
          <w:rFonts w:ascii="Times New Roman" w:hAnsi="Times New Roman" w:cs="Times New Roman"/>
          <w:sz w:val="24"/>
          <w:szCs w:val="24"/>
        </w:rPr>
        <w:t xml:space="preserve"> “Slimību profilakses un kontroles centra nolikums"</w:t>
      </w:r>
      <w:r w:rsidR="003416EF">
        <w:rPr>
          <w:rStyle w:val="FootnoteReference"/>
          <w:rFonts w:ascii="Times New Roman" w:hAnsi="Times New Roman" w:cs="Times New Roman"/>
          <w:sz w:val="24"/>
          <w:szCs w:val="24"/>
        </w:rPr>
        <w:footnoteReference w:id="6"/>
      </w:r>
      <w:r w:rsidR="00496A8E">
        <w:rPr>
          <w:rFonts w:ascii="Times New Roman" w:hAnsi="Times New Roman" w:cs="Times New Roman"/>
          <w:sz w:val="24"/>
          <w:szCs w:val="24"/>
        </w:rPr>
        <w:t xml:space="preserve"> 3.1., 3.3., 3.6. un 3.7.apakšpunkt</w:t>
      </w:r>
      <w:r w:rsidR="0075063D">
        <w:rPr>
          <w:rFonts w:ascii="Times New Roman" w:hAnsi="Times New Roman" w:cs="Times New Roman"/>
          <w:sz w:val="24"/>
          <w:szCs w:val="24"/>
        </w:rPr>
        <w:t>am</w:t>
      </w:r>
      <w:r w:rsidR="00496A8E">
        <w:rPr>
          <w:rFonts w:ascii="Times New Roman" w:hAnsi="Times New Roman" w:cs="Times New Roman"/>
          <w:sz w:val="24"/>
          <w:szCs w:val="24"/>
        </w:rPr>
        <w:t xml:space="preserve"> </w:t>
      </w:r>
      <w:r w:rsidR="00A60B41" w:rsidRPr="00545563">
        <w:rPr>
          <w:rFonts w:ascii="Times New Roman" w:hAnsi="Times New Roman" w:cs="Times New Roman"/>
          <w:sz w:val="24"/>
          <w:szCs w:val="24"/>
          <w:shd w:val="clear" w:color="auto" w:fill="FFFFFF"/>
        </w:rPr>
        <w:t xml:space="preserve">veikt infekcijas slimību epidemioloģisko uzraudzību, monitoringu un izlūkošanu, </w:t>
      </w:r>
      <w:r w:rsidR="00A60B41" w:rsidRPr="00CB1DEA">
        <w:rPr>
          <w:rFonts w:ascii="Times New Roman" w:hAnsi="Times New Roman" w:cs="Times New Roman"/>
          <w:sz w:val="24"/>
          <w:szCs w:val="24"/>
          <w:shd w:val="clear" w:color="auto" w:fill="FFFFFF"/>
        </w:rPr>
        <w:t xml:space="preserve">iegūt, apkopot, apstrādāt un analizēt sabiedrības veselības un veselības aprūpes statistikas informāciju, veikt </w:t>
      </w:r>
      <w:r w:rsidR="00A60B41" w:rsidRPr="00CB1DEA">
        <w:rPr>
          <w:rFonts w:ascii="Times New Roman" w:hAnsi="Times New Roman" w:cs="Times New Roman"/>
          <w:sz w:val="24"/>
          <w:szCs w:val="24"/>
          <w:shd w:val="clear" w:color="auto" w:fill="FFFFFF"/>
        </w:rPr>
        <w:lastRenderedPageBreak/>
        <w:t>sabiedrības veselības monitoringu</w:t>
      </w:r>
      <w:r w:rsidR="0075063D">
        <w:rPr>
          <w:rFonts w:ascii="Times New Roman" w:hAnsi="Times New Roman" w:cs="Times New Roman"/>
          <w:sz w:val="24"/>
          <w:szCs w:val="24"/>
          <w:shd w:val="clear" w:color="auto" w:fill="FFFFFF"/>
        </w:rPr>
        <w:t xml:space="preserve">, </w:t>
      </w:r>
      <w:r w:rsidR="0075063D" w:rsidRPr="0075063D">
        <w:rPr>
          <w:rFonts w:ascii="Times New Roman" w:hAnsi="Times New Roman" w:cs="Times New Roman"/>
          <w:sz w:val="24"/>
          <w:szCs w:val="24"/>
          <w:shd w:val="clear" w:color="auto" w:fill="FFFFFF"/>
        </w:rPr>
        <w:t>izstrādāt uz zinātniskiem pierādījumiem balstītus un labākajai starptautiskajai praksei atbilstošus priekšlikumus veselības aprūpes un sabiedrības veselības politikas veidošanai un sniegt priekšlikumus par šīs politikas prioritātēm</w:t>
      </w:r>
      <w:r w:rsidR="00496A8E">
        <w:rPr>
          <w:rFonts w:ascii="Times New Roman" w:hAnsi="Times New Roman" w:cs="Times New Roman"/>
          <w:sz w:val="24"/>
          <w:szCs w:val="24"/>
          <w:shd w:val="clear" w:color="auto" w:fill="FFFFFF"/>
        </w:rPr>
        <w:t>.</w:t>
      </w:r>
    </w:p>
    <w:p w14:paraId="718D927E" w14:textId="630ACA0F" w:rsidR="00F140A5" w:rsidRDefault="00F140A5" w:rsidP="00F140A5">
      <w:pPr>
        <w:pStyle w:val="ListParagraph"/>
        <w:numPr>
          <w:ilvl w:val="1"/>
          <w:numId w:val="3"/>
        </w:numPr>
        <w:spacing w:before="120" w:after="0" w:line="240" w:lineRule="auto"/>
        <w:ind w:left="720" w:hanging="720"/>
        <w:contextualSpacing w:val="0"/>
        <w:jc w:val="both"/>
        <w:rPr>
          <w:rFonts w:ascii="Times New Roman" w:hAnsi="Times New Roman" w:cs="Times New Roman"/>
          <w:sz w:val="24"/>
          <w:szCs w:val="24"/>
        </w:rPr>
      </w:pPr>
      <w:r w:rsidRPr="00F140A5">
        <w:rPr>
          <w:rFonts w:ascii="Times New Roman" w:hAnsi="Times New Roman" w:cs="Times New Roman"/>
          <w:sz w:val="24"/>
          <w:szCs w:val="24"/>
        </w:rPr>
        <w:t>Nozares ministrija uzrauga un ir atbildīga par to, ka visā uzraudzības periodā finansējuma saņēmējam piešķirtais atbalsts nav kvalificējams kā komercdarbības atbalsts.</w:t>
      </w:r>
    </w:p>
    <w:p w14:paraId="2FF69477" w14:textId="77777777" w:rsidR="000B7CC2" w:rsidRPr="0073515D" w:rsidRDefault="000B7CC2" w:rsidP="000B7CC2">
      <w:pPr>
        <w:pStyle w:val="ListParagraph"/>
        <w:spacing w:before="120" w:after="0" w:line="240" w:lineRule="auto"/>
        <w:contextualSpacing w:val="0"/>
        <w:jc w:val="both"/>
        <w:rPr>
          <w:rFonts w:ascii="Times New Roman" w:hAnsi="Times New Roman" w:cs="Times New Roman"/>
          <w:sz w:val="24"/>
          <w:szCs w:val="24"/>
        </w:rPr>
      </w:pPr>
    </w:p>
    <w:p w14:paraId="55E68A6F" w14:textId="483FACE3" w:rsidR="00767D86" w:rsidRPr="003416EF" w:rsidRDefault="00767D86" w:rsidP="00981FC4">
      <w:pPr>
        <w:pStyle w:val="Heading1"/>
        <w:numPr>
          <w:ilvl w:val="0"/>
          <w:numId w:val="3"/>
        </w:numPr>
        <w:spacing w:before="120" w:line="240" w:lineRule="auto"/>
        <w:ind w:hanging="720"/>
        <w:rPr>
          <w:rFonts w:eastAsia="Times New Roman" w:cs="Times New Roman"/>
          <w:b/>
          <w:bCs/>
          <w:sz w:val="24"/>
          <w:szCs w:val="24"/>
        </w:rPr>
      </w:pPr>
      <w:bookmarkStart w:id="13" w:name="_Toc110002934"/>
      <w:r w:rsidRPr="003416EF">
        <w:rPr>
          <w:rFonts w:eastAsia="Times New Roman" w:cs="Times New Roman"/>
          <w:b/>
          <w:bCs/>
          <w:sz w:val="24"/>
          <w:szCs w:val="24"/>
        </w:rPr>
        <w:t>A</w:t>
      </w:r>
      <w:r w:rsidR="00191722" w:rsidRPr="003416EF">
        <w:rPr>
          <w:rFonts w:eastAsia="Times New Roman" w:cs="Times New Roman"/>
          <w:b/>
          <w:bCs/>
          <w:sz w:val="24"/>
          <w:szCs w:val="24"/>
        </w:rPr>
        <w:t>tbalstāmās darbības</w:t>
      </w:r>
      <w:r w:rsidRPr="003416EF">
        <w:rPr>
          <w:rFonts w:eastAsia="Times New Roman" w:cs="Times New Roman"/>
          <w:b/>
          <w:bCs/>
          <w:sz w:val="24"/>
          <w:szCs w:val="24"/>
        </w:rPr>
        <w:t xml:space="preserve"> un </w:t>
      </w:r>
      <w:r w:rsidR="00191722" w:rsidRPr="003416EF">
        <w:rPr>
          <w:rFonts w:eastAsia="Times New Roman" w:cs="Times New Roman"/>
          <w:b/>
          <w:bCs/>
          <w:sz w:val="24"/>
          <w:szCs w:val="24"/>
        </w:rPr>
        <w:t>attiecināmās izmaksas</w:t>
      </w:r>
      <w:bookmarkEnd w:id="13"/>
    </w:p>
    <w:p w14:paraId="4B53B8A2" w14:textId="2BAD9764" w:rsidR="000D7B27" w:rsidRDefault="00607B36" w:rsidP="00981FC4">
      <w:pPr>
        <w:pStyle w:val="ListParagraph"/>
        <w:numPr>
          <w:ilvl w:val="1"/>
          <w:numId w:val="3"/>
        </w:numPr>
        <w:spacing w:before="120" w:after="0" w:line="240" w:lineRule="auto"/>
        <w:ind w:left="720" w:hanging="720"/>
        <w:contextualSpacing w:val="0"/>
        <w:jc w:val="both"/>
        <w:rPr>
          <w:rFonts w:ascii="Times New Roman" w:hAnsi="Times New Roman" w:cs="Times New Roman"/>
          <w:sz w:val="24"/>
          <w:szCs w:val="24"/>
        </w:rPr>
      </w:pPr>
      <w:bookmarkStart w:id="14" w:name="_Ref94209769"/>
      <w:r>
        <w:rPr>
          <w:rFonts w:ascii="Times New Roman" w:hAnsi="Times New Roman" w:cs="Times New Roman"/>
          <w:sz w:val="24"/>
          <w:szCs w:val="24"/>
        </w:rPr>
        <w:t>Investīcijas</w:t>
      </w:r>
      <w:r w:rsidR="000D7B27" w:rsidRPr="00043279">
        <w:rPr>
          <w:rFonts w:ascii="Times New Roman" w:hAnsi="Times New Roman" w:cs="Times New Roman"/>
          <w:sz w:val="24"/>
          <w:szCs w:val="24"/>
        </w:rPr>
        <w:t xml:space="preserve"> atskaites punkt</w:t>
      </w:r>
      <w:r w:rsidR="00043279" w:rsidRPr="00043279">
        <w:rPr>
          <w:rFonts w:ascii="Times New Roman" w:hAnsi="Times New Roman" w:cs="Times New Roman"/>
          <w:sz w:val="24"/>
          <w:szCs w:val="24"/>
        </w:rPr>
        <w:t>u</w:t>
      </w:r>
      <w:r w:rsidR="000D7B27" w:rsidRPr="00043279">
        <w:rPr>
          <w:rFonts w:ascii="Times New Roman" w:hAnsi="Times New Roman" w:cs="Times New Roman"/>
          <w:sz w:val="24"/>
          <w:szCs w:val="24"/>
        </w:rPr>
        <w:t xml:space="preserve"> ietvaros atbalstāmās darbības:</w:t>
      </w:r>
      <w:bookmarkEnd w:id="14"/>
    </w:p>
    <w:p w14:paraId="2A98CE0B" w14:textId="77777777" w:rsidR="00912DFE" w:rsidRDefault="00912DFE" w:rsidP="00912DFE">
      <w:pPr>
        <w:pStyle w:val="ListParagraph"/>
        <w:numPr>
          <w:ilvl w:val="2"/>
          <w:numId w:val="3"/>
        </w:numPr>
        <w:spacing w:before="120" w:after="0" w:line="240" w:lineRule="auto"/>
        <w:ind w:firstLine="131"/>
        <w:contextualSpacing w:val="0"/>
        <w:jc w:val="both"/>
        <w:rPr>
          <w:rFonts w:ascii="Times New Roman" w:hAnsi="Times New Roman" w:cs="Times New Roman"/>
          <w:sz w:val="24"/>
          <w:szCs w:val="24"/>
        </w:rPr>
      </w:pPr>
      <w:r>
        <w:rPr>
          <w:rFonts w:ascii="Times New Roman" w:hAnsi="Times New Roman" w:cs="Times New Roman"/>
          <w:sz w:val="24"/>
          <w:szCs w:val="24"/>
        </w:rPr>
        <w:t>pētniecības metodikas dokumentācijas izstrāde, konsultācijas, tajā skaitā skaidrojošais darbs par pētniecības metodikas ieviešanu;</w:t>
      </w:r>
    </w:p>
    <w:p w14:paraId="4A00108E" w14:textId="47D32053" w:rsidR="00912DFE" w:rsidRDefault="00845B81" w:rsidP="00912DFE">
      <w:pPr>
        <w:pStyle w:val="ListParagraph"/>
        <w:numPr>
          <w:ilvl w:val="2"/>
          <w:numId w:val="3"/>
        </w:numPr>
        <w:spacing w:before="120" w:after="0" w:line="240" w:lineRule="auto"/>
        <w:ind w:firstLine="131"/>
        <w:contextualSpacing w:val="0"/>
        <w:jc w:val="both"/>
        <w:rPr>
          <w:rFonts w:ascii="Times New Roman" w:hAnsi="Times New Roman" w:cs="Times New Roman"/>
          <w:sz w:val="24"/>
          <w:szCs w:val="24"/>
        </w:rPr>
      </w:pPr>
      <w:r>
        <w:rPr>
          <w:rFonts w:ascii="Times New Roman" w:hAnsi="Times New Roman" w:cs="Times New Roman"/>
          <w:sz w:val="24"/>
          <w:szCs w:val="24"/>
        </w:rPr>
        <w:t>pētījumu</w:t>
      </w:r>
      <w:r w:rsidR="00912DFE">
        <w:rPr>
          <w:rFonts w:ascii="Times New Roman" w:hAnsi="Times New Roman" w:cs="Times New Roman"/>
          <w:sz w:val="24"/>
          <w:szCs w:val="24"/>
        </w:rPr>
        <w:t xml:space="preserve"> veikšana sabiedrības veselības jomā, konsultācijas, tajā skaitā skaidrojošais darbs par </w:t>
      </w:r>
      <w:r>
        <w:rPr>
          <w:rFonts w:ascii="Times New Roman" w:hAnsi="Times New Roman" w:cs="Times New Roman"/>
          <w:sz w:val="24"/>
          <w:szCs w:val="24"/>
        </w:rPr>
        <w:t>pētījumu</w:t>
      </w:r>
      <w:r w:rsidR="00912DFE">
        <w:rPr>
          <w:rFonts w:ascii="Times New Roman" w:hAnsi="Times New Roman" w:cs="Times New Roman"/>
          <w:sz w:val="24"/>
          <w:szCs w:val="24"/>
        </w:rPr>
        <w:t xml:space="preserve"> </w:t>
      </w:r>
      <w:r>
        <w:rPr>
          <w:rFonts w:ascii="Times New Roman" w:hAnsi="Times New Roman" w:cs="Times New Roman"/>
          <w:sz w:val="24"/>
          <w:szCs w:val="24"/>
        </w:rPr>
        <w:t>veikšanu</w:t>
      </w:r>
      <w:r w:rsidR="00912DFE">
        <w:rPr>
          <w:rFonts w:ascii="Times New Roman" w:hAnsi="Times New Roman" w:cs="Times New Roman"/>
          <w:sz w:val="24"/>
          <w:szCs w:val="24"/>
        </w:rPr>
        <w:t>;</w:t>
      </w:r>
    </w:p>
    <w:p w14:paraId="7A2F8E98" w14:textId="637F5C59" w:rsidR="00912DFE" w:rsidRDefault="00912DFE" w:rsidP="00912DFE">
      <w:pPr>
        <w:pStyle w:val="ListParagraph"/>
        <w:numPr>
          <w:ilvl w:val="2"/>
          <w:numId w:val="3"/>
        </w:numPr>
        <w:spacing w:before="120" w:after="0" w:line="240" w:lineRule="auto"/>
        <w:ind w:firstLine="131"/>
        <w:contextualSpacing w:val="0"/>
        <w:jc w:val="both"/>
        <w:rPr>
          <w:rFonts w:ascii="Times New Roman" w:hAnsi="Times New Roman" w:cs="Times New Roman"/>
          <w:sz w:val="24"/>
          <w:szCs w:val="24"/>
        </w:rPr>
      </w:pPr>
      <w:bookmarkStart w:id="15" w:name="_Ref94209782"/>
      <w:proofErr w:type="spellStart"/>
      <w:r>
        <w:rPr>
          <w:rFonts w:ascii="Times New Roman" w:hAnsi="Times New Roman" w:cs="Times New Roman"/>
          <w:sz w:val="24"/>
          <w:szCs w:val="24"/>
        </w:rPr>
        <w:t>izvērtējuma</w:t>
      </w:r>
      <w:proofErr w:type="spellEnd"/>
      <w:r>
        <w:rPr>
          <w:rFonts w:ascii="Times New Roman" w:hAnsi="Times New Roman" w:cs="Times New Roman"/>
          <w:sz w:val="24"/>
          <w:szCs w:val="24"/>
        </w:rPr>
        <w:t xml:space="preserve"> veikšana </w:t>
      </w:r>
      <w:r w:rsidR="00726445">
        <w:rPr>
          <w:rFonts w:ascii="Times New Roman" w:hAnsi="Times New Roman" w:cs="Times New Roman"/>
          <w:sz w:val="24"/>
          <w:szCs w:val="24"/>
        </w:rPr>
        <w:t xml:space="preserve">par nepieciešamajiem </w:t>
      </w:r>
      <w:r>
        <w:rPr>
          <w:rFonts w:ascii="Times New Roman" w:hAnsi="Times New Roman" w:cs="Times New Roman"/>
          <w:sz w:val="24"/>
          <w:szCs w:val="24"/>
        </w:rPr>
        <w:t>tiesību aktu grozījum</w:t>
      </w:r>
      <w:r w:rsidR="00726445">
        <w:rPr>
          <w:rFonts w:ascii="Times New Roman" w:hAnsi="Times New Roman" w:cs="Times New Roman"/>
          <w:sz w:val="24"/>
          <w:szCs w:val="24"/>
        </w:rPr>
        <w:t>iem</w:t>
      </w:r>
      <w:r>
        <w:rPr>
          <w:rFonts w:ascii="Times New Roman" w:hAnsi="Times New Roman" w:cs="Times New Roman"/>
          <w:sz w:val="24"/>
          <w:szCs w:val="24"/>
        </w:rPr>
        <w:t xml:space="preserve"> </w:t>
      </w:r>
      <w:r w:rsidR="000B2893">
        <w:rPr>
          <w:rFonts w:ascii="Times New Roman" w:hAnsi="Times New Roman" w:cs="Times New Roman"/>
          <w:sz w:val="24"/>
          <w:szCs w:val="24"/>
        </w:rPr>
        <w:t xml:space="preserve">sabiedrības veselības politikas </w:t>
      </w:r>
      <w:r>
        <w:rPr>
          <w:rFonts w:ascii="Times New Roman" w:hAnsi="Times New Roman" w:cs="Times New Roman"/>
          <w:sz w:val="24"/>
          <w:szCs w:val="24"/>
        </w:rPr>
        <w:t>jomā, konsultācijas, tajā skaitā skaidrojošais darbs par tiesību aktu grozījumu ieviešanu;</w:t>
      </w:r>
    </w:p>
    <w:p w14:paraId="04005219" w14:textId="096D15A3" w:rsidR="00845B81" w:rsidRPr="00335269" w:rsidRDefault="00845B81" w:rsidP="00912DFE">
      <w:pPr>
        <w:pStyle w:val="ListParagraph"/>
        <w:numPr>
          <w:ilvl w:val="2"/>
          <w:numId w:val="3"/>
        </w:numPr>
        <w:spacing w:before="120" w:after="0" w:line="240" w:lineRule="auto"/>
        <w:ind w:firstLine="131"/>
        <w:contextualSpacing w:val="0"/>
        <w:jc w:val="both"/>
        <w:rPr>
          <w:rFonts w:ascii="Times New Roman" w:hAnsi="Times New Roman" w:cs="Times New Roman"/>
          <w:sz w:val="24"/>
          <w:szCs w:val="24"/>
        </w:rPr>
      </w:pPr>
      <w:r>
        <w:rPr>
          <w:rFonts w:ascii="Times New Roman" w:hAnsi="Times New Roman" w:cs="Times New Roman"/>
          <w:sz w:val="24"/>
          <w:szCs w:val="24"/>
        </w:rPr>
        <w:t>citas darbības, kas nepieciešamas investīcijas atskaites punktu un mērķa sasniegšanai.</w:t>
      </w:r>
    </w:p>
    <w:p w14:paraId="69CC73D8" w14:textId="5A7D0F4F" w:rsidR="00404D8D" w:rsidRPr="00D57976" w:rsidRDefault="00607B36" w:rsidP="00981FC4">
      <w:pPr>
        <w:pStyle w:val="ListParagraph"/>
        <w:numPr>
          <w:ilvl w:val="1"/>
          <w:numId w:val="3"/>
        </w:numPr>
        <w:spacing w:before="120" w:after="0" w:line="240" w:lineRule="auto"/>
        <w:ind w:left="567" w:hanging="425"/>
        <w:contextualSpacing w:val="0"/>
        <w:jc w:val="both"/>
        <w:rPr>
          <w:rFonts w:ascii="Times New Roman" w:eastAsia="Times New Roman" w:hAnsi="Times New Roman" w:cs="Times New Roman"/>
          <w:iCs/>
          <w:sz w:val="24"/>
          <w:szCs w:val="24"/>
        </w:rPr>
      </w:pPr>
      <w:r>
        <w:rPr>
          <w:rFonts w:ascii="Times New Roman" w:hAnsi="Times New Roman" w:cs="Times New Roman"/>
          <w:sz w:val="24"/>
          <w:szCs w:val="24"/>
        </w:rPr>
        <w:t>Investīcijas</w:t>
      </w:r>
      <w:r w:rsidR="000D7B27" w:rsidRPr="00D57976">
        <w:rPr>
          <w:rFonts w:ascii="Times New Roman" w:hAnsi="Times New Roman" w:cs="Times New Roman"/>
          <w:sz w:val="24"/>
          <w:szCs w:val="24"/>
        </w:rPr>
        <w:t xml:space="preserve"> atskaites punkta ietvaros attiecināmās izmaksas </w:t>
      </w:r>
      <w:r w:rsidR="00A90348">
        <w:rPr>
          <w:rFonts w:ascii="Times New Roman" w:hAnsi="Times New Roman" w:cs="Times New Roman"/>
          <w:sz w:val="24"/>
          <w:szCs w:val="24"/>
        </w:rPr>
        <w:t>investīcijas atskaites punktu</w:t>
      </w:r>
      <w:r w:rsidR="000D7B27" w:rsidRPr="00D57976">
        <w:rPr>
          <w:rFonts w:ascii="Times New Roman" w:hAnsi="Times New Roman" w:cs="Times New Roman"/>
          <w:sz w:val="24"/>
          <w:szCs w:val="24"/>
        </w:rPr>
        <w:t xml:space="preserve"> </w:t>
      </w:r>
      <w:r w:rsidR="000D7B27" w:rsidRPr="00D57976">
        <w:rPr>
          <w:rFonts w:ascii="Times New Roman" w:eastAsia="Times New Roman" w:hAnsi="Times New Roman" w:cs="Times New Roman"/>
          <w:iCs/>
          <w:sz w:val="24"/>
          <w:szCs w:val="24"/>
        </w:rPr>
        <w:t>ieviešanai:</w:t>
      </w:r>
      <w:bookmarkEnd w:id="15"/>
    </w:p>
    <w:p w14:paraId="61883D39" w14:textId="0E8F9CDF" w:rsidR="00845B81" w:rsidRPr="00D57976" w:rsidRDefault="00845B81" w:rsidP="00845B81">
      <w:pPr>
        <w:pStyle w:val="ListParagraph"/>
        <w:numPr>
          <w:ilvl w:val="2"/>
          <w:numId w:val="3"/>
        </w:numPr>
        <w:spacing w:before="120" w:after="0" w:line="240" w:lineRule="auto"/>
        <w:ind w:firstLine="131"/>
        <w:contextualSpacing w:val="0"/>
        <w:jc w:val="both"/>
        <w:rPr>
          <w:rFonts w:ascii="Times New Roman" w:hAnsi="Times New Roman" w:cs="Times New Roman"/>
          <w:sz w:val="24"/>
          <w:szCs w:val="24"/>
        </w:rPr>
      </w:pPr>
      <w:r w:rsidRPr="00D57976">
        <w:rPr>
          <w:rFonts w:ascii="Times New Roman" w:eastAsia="Times New Roman" w:hAnsi="Times New Roman" w:cs="Times New Roman"/>
          <w:iCs/>
          <w:sz w:val="24"/>
          <w:szCs w:val="24"/>
        </w:rPr>
        <w:t xml:space="preserve">izmaksas  </w:t>
      </w:r>
      <w:r>
        <w:rPr>
          <w:rFonts w:ascii="Times New Roman" w:hAnsi="Times New Roman" w:cs="Times New Roman"/>
          <w:sz w:val="24"/>
          <w:szCs w:val="24"/>
        </w:rPr>
        <w:t>pētniecības</w:t>
      </w:r>
      <w:r w:rsidRPr="00D57976">
        <w:rPr>
          <w:rFonts w:ascii="Times New Roman" w:hAnsi="Times New Roman" w:cs="Times New Roman"/>
          <w:sz w:val="24"/>
          <w:szCs w:val="24"/>
        </w:rPr>
        <w:t xml:space="preserve"> metodikas </w:t>
      </w:r>
      <w:r>
        <w:rPr>
          <w:rFonts w:ascii="Times New Roman" w:hAnsi="Times New Roman" w:cs="Times New Roman"/>
          <w:sz w:val="24"/>
          <w:szCs w:val="24"/>
        </w:rPr>
        <w:t>izstrādei, ekspertu</w:t>
      </w:r>
      <w:r w:rsidR="0011378F">
        <w:rPr>
          <w:rFonts w:ascii="Times New Roman" w:hAnsi="Times New Roman" w:cs="Times New Roman"/>
          <w:sz w:val="24"/>
          <w:szCs w:val="24"/>
        </w:rPr>
        <w:t xml:space="preserve"> </w:t>
      </w:r>
      <w:r>
        <w:rPr>
          <w:rFonts w:ascii="Times New Roman" w:hAnsi="Times New Roman" w:cs="Times New Roman"/>
          <w:sz w:val="24"/>
          <w:szCs w:val="24"/>
        </w:rPr>
        <w:t>izmaksas</w:t>
      </w:r>
      <w:r w:rsidRPr="00D57976">
        <w:rPr>
          <w:rFonts w:ascii="Times New Roman" w:hAnsi="Times New Roman" w:cs="Times New Roman"/>
          <w:sz w:val="24"/>
          <w:szCs w:val="24"/>
        </w:rPr>
        <w:t>;</w:t>
      </w:r>
    </w:p>
    <w:p w14:paraId="749F049D" w14:textId="3681E05E" w:rsidR="00845B81" w:rsidRPr="00D57976" w:rsidRDefault="00845B81" w:rsidP="00845B81">
      <w:pPr>
        <w:pStyle w:val="ListParagraph"/>
        <w:numPr>
          <w:ilvl w:val="2"/>
          <w:numId w:val="3"/>
        </w:numPr>
        <w:spacing w:before="120" w:after="0" w:line="240" w:lineRule="auto"/>
        <w:ind w:firstLine="131"/>
        <w:contextualSpacing w:val="0"/>
        <w:jc w:val="both"/>
        <w:rPr>
          <w:rFonts w:ascii="Times New Roman" w:hAnsi="Times New Roman" w:cs="Times New Roman"/>
          <w:sz w:val="24"/>
          <w:szCs w:val="24"/>
        </w:rPr>
      </w:pPr>
      <w:r w:rsidRPr="00D57976">
        <w:rPr>
          <w:rFonts w:ascii="Times New Roman" w:eastAsia="Times New Roman" w:hAnsi="Times New Roman" w:cs="Times New Roman"/>
          <w:iCs/>
          <w:sz w:val="24"/>
          <w:szCs w:val="24"/>
        </w:rPr>
        <w:t xml:space="preserve">izmaksas </w:t>
      </w:r>
      <w:r>
        <w:rPr>
          <w:rFonts w:ascii="Times New Roman" w:hAnsi="Times New Roman" w:cs="Times New Roman"/>
          <w:sz w:val="24"/>
          <w:szCs w:val="24"/>
        </w:rPr>
        <w:t>pētījumu</w:t>
      </w:r>
      <w:r w:rsidRPr="00D57976">
        <w:rPr>
          <w:rFonts w:ascii="Times New Roman" w:hAnsi="Times New Roman" w:cs="Times New Roman"/>
          <w:sz w:val="24"/>
          <w:szCs w:val="24"/>
        </w:rPr>
        <w:t xml:space="preserve"> veikšana</w:t>
      </w:r>
      <w:r>
        <w:rPr>
          <w:rFonts w:ascii="Times New Roman" w:hAnsi="Times New Roman" w:cs="Times New Roman"/>
          <w:sz w:val="24"/>
          <w:szCs w:val="24"/>
        </w:rPr>
        <w:t>i</w:t>
      </w:r>
      <w:r w:rsidRPr="00D57976">
        <w:rPr>
          <w:rFonts w:ascii="Times New Roman" w:hAnsi="Times New Roman" w:cs="Times New Roman"/>
          <w:sz w:val="24"/>
          <w:szCs w:val="24"/>
        </w:rPr>
        <w:t xml:space="preserve"> sabiedrības veselības politikas plānošanas jomā</w:t>
      </w:r>
      <w:r>
        <w:rPr>
          <w:rFonts w:ascii="Times New Roman" w:hAnsi="Times New Roman" w:cs="Times New Roman"/>
          <w:sz w:val="24"/>
          <w:szCs w:val="24"/>
        </w:rPr>
        <w:t>, ekspertu</w:t>
      </w:r>
      <w:r w:rsidR="0011378F">
        <w:rPr>
          <w:rFonts w:ascii="Times New Roman" w:hAnsi="Times New Roman" w:cs="Times New Roman"/>
          <w:sz w:val="24"/>
          <w:szCs w:val="24"/>
        </w:rPr>
        <w:t xml:space="preserve"> </w:t>
      </w:r>
      <w:r>
        <w:rPr>
          <w:rFonts w:ascii="Times New Roman" w:hAnsi="Times New Roman" w:cs="Times New Roman"/>
          <w:sz w:val="24"/>
          <w:szCs w:val="24"/>
        </w:rPr>
        <w:t xml:space="preserve"> izmaksas</w:t>
      </w:r>
      <w:r w:rsidRPr="00D57976">
        <w:rPr>
          <w:rFonts w:ascii="Times New Roman" w:hAnsi="Times New Roman" w:cs="Times New Roman"/>
          <w:sz w:val="24"/>
          <w:szCs w:val="24"/>
        </w:rPr>
        <w:t>;</w:t>
      </w:r>
    </w:p>
    <w:p w14:paraId="2C6136E4" w14:textId="40CE9A18" w:rsidR="00845B81" w:rsidRDefault="00845B81" w:rsidP="00845B81">
      <w:pPr>
        <w:pStyle w:val="ListParagraph"/>
        <w:numPr>
          <w:ilvl w:val="2"/>
          <w:numId w:val="3"/>
        </w:numPr>
        <w:spacing w:before="120" w:after="0" w:line="240" w:lineRule="auto"/>
        <w:ind w:firstLine="131"/>
        <w:contextualSpacing w:val="0"/>
        <w:jc w:val="both"/>
        <w:rPr>
          <w:rFonts w:ascii="Times New Roman" w:hAnsi="Times New Roman" w:cs="Times New Roman"/>
          <w:sz w:val="24"/>
          <w:szCs w:val="24"/>
        </w:rPr>
      </w:pPr>
      <w:proofErr w:type="spellStart"/>
      <w:r w:rsidRPr="00D57976">
        <w:rPr>
          <w:rFonts w:ascii="Times New Roman" w:hAnsi="Times New Roman" w:cs="Times New Roman"/>
          <w:sz w:val="24"/>
          <w:szCs w:val="24"/>
        </w:rPr>
        <w:t>izvērtējuma</w:t>
      </w:r>
      <w:proofErr w:type="spellEnd"/>
      <w:r w:rsidRPr="00D57976">
        <w:rPr>
          <w:rFonts w:ascii="Times New Roman" w:hAnsi="Times New Roman" w:cs="Times New Roman"/>
          <w:sz w:val="24"/>
          <w:szCs w:val="24"/>
        </w:rPr>
        <w:t xml:space="preserve"> veikšana </w:t>
      </w:r>
      <w:r w:rsidR="00726445">
        <w:rPr>
          <w:rFonts w:ascii="Times New Roman" w:hAnsi="Times New Roman" w:cs="Times New Roman"/>
          <w:sz w:val="24"/>
          <w:szCs w:val="24"/>
        </w:rPr>
        <w:t xml:space="preserve">par nepieciešamajiem </w:t>
      </w:r>
      <w:r w:rsidRPr="00D57976">
        <w:rPr>
          <w:rFonts w:ascii="Times New Roman" w:hAnsi="Times New Roman" w:cs="Times New Roman"/>
          <w:sz w:val="24"/>
          <w:szCs w:val="24"/>
        </w:rPr>
        <w:t>tiesību aktu grozījum</w:t>
      </w:r>
      <w:r w:rsidR="00726445">
        <w:rPr>
          <w:rFonts w:ascii="Times New Roman" w:hAnsi="Times New Roman" w:cs="Times New Roman"/>
          <w:sz w:val="24"/>
          <w:szCs w:val="24"/>
        </w:rPr>
        <w:t>iem</w:t>
      </w:r>
      <w:r w:rsidR="006A1982">
        <w:rPr>
          <w:rFonts w:ascii="Times New Roman" w:hAnsi="Times New Roman" w:cs="Times New Roman"/>
          <w:sz w:val="24"/>
          <w:szCs w:val="24"/>
        </w:rPr>
        <w:t xml:space="preserve"> sabiedrības veselības politikas</w:t>
      </w:r>
      <w:r w:rsidRPr="00D57976">
        <w:rPr>
          <w:rFonts w:ascii="Times New Roman" w:hAnsi="Times New Roman" w:cs="Times New Roman"/>
          <w:sz w:val="24"/>
          <w:szCs w:val="24"/>
        </w:rPr>
        <w:t xml:space="preserve"> jomā</w:t>
      </w:r>
      <w:r>
        <w:rPr>
          <w:rFonts w:ascii="Times New Roman" w:hAnsi="Times New Roman" w:cs="Times New Roman"/>
          <w:sz w:val="24"/>
          <w:szCs w:val="24"/>
        </w:rPr>
        <w:t>, ekspertu</w:t>
      </w:r>
      <w:r w:rsidR="0011378F">
        <w:rPr>
          <w:rFonts w:ascii="Times New Roman" w:hAnsi="Times New Roman" w:cs="Times New Roman"/>
          <w:sz w:val="24"/>
          <w:szCs w:val="24"/>
        </w:rPr>
        <w:t xml:space="preserve"> </w:t>
      </w:r>
      <w:r>
        <w:rPr>
          <w:rFonts w:ascii="Times New Roman" w:hAnsi="Times New Roman" w:cs="Times New Roman"/>
          <w:sz w:val="24"/>
          <w:szCs w:val="24"/>
        </w:rPr>
        <w:t xml:space="preserve"> izmaksas</w:t>
      </w:r>
      <w:r w:rsidRPr="00D57976">
        <w:rPr>
          <w:rFonts w:ascii="Times New Roman" w:hAnsi="Times New Roman" w:cs="Times New Roman"/>
          <w:sz w:val="24"/>
          <w:szCs w:val="24"/>
        </w:rPr>
        <w:t>.</w:t>
      </w:r>
    </w:p>
    <w:p w14:paraId="66C33A3C" w14:textId="78BFD99C" w:rsidR="00673320" w:rsidRPr="003D3590" w:rsidRDefault="00673320" w:rsidP="00673320">
      <w:pPr>
        <w:pStyle w:val="ListParagraph"/>
        <w:numPr>
          <w:ilvl w:val="2"/>
          <w:numId w:val="3"/>
        </w:numPr>
        <w:spacing w:before="120" w:after="0" w:line="240" w:lineRule="auto"/>
        <w:ind w:firstLine="131"/>
        <w:contextualSpacing w:val="0"/>
        <w:jc w:val="both"/>
        <w:rPr>
          <w:rFonts w:ascii="Times New Roman" w:hAnsi="Times New Roman" w:cs="Times New Roman"/>
          <w:sz w:val="24"/>
          <w:szCs w:val="24"/>
        </w:rPr>
      </w:pPr>
      <w:r w:rsidRPr="003D3590">
        <w:rPr>
          <w:rFonts w:ascii="Times New Roman" w:hAnsi="Times New Roman" w:cs="Times New Roman"/>
          <w:sz w:val="24"/>
          <w:szCs w:val="24"/>
        </w:rPr>
        <w:t xml:space="preserve">citas </w:t>
      </w:r>
      <w:r w:rsidR="009E0EC4" w:rsidRPr="003D3590">
        <w:rPr>
          <w:rFonts w:ascii="Times New Roman" w:hAnsi="Times New Roman" w:cs="Times New Roman"/>
          <w:sz w:val="24"/>
          <w:szCs w:val="24"/>
        </w:rPr>
        <w:t xml:space="preserve">ar </w:t>
      </w:r>
      <w:r w:rsidRPr="003D3590">
        <w:rPr>
          <w:rFonts w:ascii="Times New Roman" w:hAnsi="Times New Roman" w:cs="Times New Roman"/>
          <w:sz w:val="24"/>
          <w:szCs w:val="24"/>
        </w:rPr>
        <w:t>investīcijas atskaites punktu un mērķa sasniegšan</w:t>
      </w:r>
      <w:r w:rsidR="009E0EC4" w:rsidRPr="003D3590">
        <w:rPr>
          <w:rFonts w:ascii="Times New Roman" w:hAnsi="Times New Roman" w:cs="Times New Roman"/>
          <w:sz w:val="24"/>
          <w:szCs w:val="24"/>
        </w:rPr>
        <w:t>u saistītās izmaksas</w:t>
      </w:r>
      <w:r w:rsidRPr="003D3590">
        <w:rPr>
          <w:rFonts w:ascii="Times New Roman" w:hAnsi="Times New Roman" w:cs="Times New Roman"/>
          <w:sz w:val="24"/>
          <w:szCs w:val="24"/>
        </w:rPr>
        <w:t>.</w:t>
      </w:r>
    </w:p>
    <w:p w14:paraId="43A6541F" w14:textId="5A8BBBB4" w:rsidR="002A24E5" w:rsidRPr="00F80910" w:rsidRDefault="002A24E5" w:rsidP="00981FC4">
      <w:pPr>
        <w:pStyle w:val="ListParagraph"/>
        <w:numPr>
          <w:ilvl w:val="1"/>
          <w:numId w:val="3"/>
        </w:numPr>
        <w:spacing w:before="120" w:after="0" w:line="240" w:lineRule="auto"/>
        <w:ind w:left="567" w:hanging="425"/>
        <w:contextualSpacing w:val="0"/>
        <w:jc w:val="both"/>
        <w:rPr>
          <w:rFonts w:ascii="Times New Roman" w:hAnsi="Times New Roman" w:cs="Times New Roman"/>
          <w:sz w:val="24"/>
          <w:szCs w:val="24"/>
        </w:rPr>
      </w:pPr>
      <w:r w:rsidRPr="00F80910">
        <w:rPr>
          <w:rFonts w:ascii="Times New Roman" w:hAnsi="Times New Roman" w:cs="Times New Roman"/>
          <w:sz w:val="24"/>
          <w:szCs w:val="24"/>
        </w:rPr>
        <w:t xml:space="preserve">Ir atbalstāmas </w:t>
      </w:r>
      <w:r w:rsidR="00607B36">
        <w:rPr>
          <w:rFonts w:ascii="Times New Roman" w:hAnsi="Times New Roman" w:cs="Times New Roman"/>
          <w:sz w:val="24"/>
          <w:szCs w:val="24"/>
        </w:rPr>
        <w:t>investīcijas</w:t>
      </w:r>
      <w:r w:rsidRPr="00F80910">
        <w:rPr>
          <w:rFonts w:ascii="Times New Roman" w:hAnsi="Times New Roman" w:cs="Times New Roman"/>
          <w:sz w:val="24"/>
          <w:szCs w:val="24"/>
        </w:rPr>
        <w:t xml:space="preserve"> atskaites punkta</w:t>
      </w:r>
      <w:r w:rsidR="00133A82" w:rsidRPr="00F80910">
        <w:rPr>
          <w:rFonts w:ascii="Times New Roman" w:hAnsi="Times New Roman" w:cs="Times New Roman"/>
          <w:sz w:val="24"/>
          <w:szCs w:val="24"/>
        </w:rPr>
        <w:t xml:space="preserve"> ietvaros atbalstāmo darbību</w:t>
      </w:r>
      <w:r w:rsidRPr="00F80910">
        <w:rPr>
          <w:rFonts w:ascii="Times New Roman" w:hAnsi="Times New Roman" w:cs="Times New Roman"/>
          <w:sz w:val="24"/>
          <w:szCs w:val="24"/>
        </w:rPr>
        <w:t xml:space="preserve"> īstenošanas personāla atlīdzības izmaksas, kas radušās uz darba līguma vai uzņēmuma (pakalpojuma) līguma pamata, tai skaitā normatīvajos aktos noteiktās piemaksas un nodokļi, un ir terminētas uz </w:t>
      </w:r>
      <w:r w:rsidR="00607B36">
        <w:rPr>
          <w:rFonts w:ascii="Times New Roman" w:hAnsi="Times New Roman" w:cs="Times New Roman"/>
          <w:sz w:val="24"/>
          <w:szCs w:val="24"/>
        </w:rPr>
        <w:t>investīcijas</w:t>
      </w:r>
      <w:r w:rsidRPr="00F80910">
        <w:rPr>
          <w:rFonts w:ascii="Times New Roman" w:hAnsi="Times New Roman" w:cs="Times New Roman"/>
          <w:sz w:val="24"/>
          <w:szCs w:val="24"/>
        </w:rPr>
        <w:t xml:space="preserve"> atskaites punkta un mērķa īstenošanas laiku.</w:t>
      </w:r>
    </w:p>
    <w:p w14:paraId="0E089DAC" w14:textId="50FA5340" w:rsidR="00404D8D" w:rsidRPr="009E0EC4" w:rsidRDefault="009D04A0" w:rsidP="009E0EC4">
      <w:pPr>
        <w:pStyle w:val="ListParagraph"/>
        <w:numPr>
          <w:ilvl w:val="1"/>
          <w:numId w:val="3"/>
        </w:numPr>
        <w:spacing w:before="120" w:after="0" w:line="240" w:lineRule="auto"/>
        <w:ind w:left="567" w:hanging="425"/>
        <w:contextualSpacing w:val="0"/>
        <w:jc w:val="both"/>
        <w:rPr>
          <w:rFonts w:ascii="Times New Roman" w:hAnsi="Times New Roman" w:cs="Times New Roman"/>
          <w:sz w:val="24"/>
          <w:szCs w:val="24"/>
        </w:rPr>
      </w:pPr>
      <w:bookmarkStart w:id="16" w:name="_Ref94209535"/>
      <w:r w:rsidRPr="002A0868">
        <w:rPr>
          <w:rFonts w:ascii="Times New Roman" w:hAnsi="Times New Roman" w:cs="Times New Roman"/>
          <w:sz w:val="24"/>
          <w:szCs w:val="24"/>
        </w:rPr>
        <w:t>Indikatīvie i</w:t>
      </w:r>
      <w:r w:rsidR="00404D8D" w:rsidRPr="002A0868">
        <w:rPr>
          <w:rFonts w:ascii="Times New Roman" w:hAnsi="Times New Roman" w:cs="Times New Roman"/>
          <w:sz w:val="24"/>
          <w:szCs w:val="24"/>
        </w:rPr>
        <w:t xml:space="preserve">zmaksu aprēķini balstīti uz </w:t>
      </w:r>
      <w:r w:rsidR="00633872" w:rsidRPr="002A0868">
        <w:rPr>
          <w:rFonts w:ascii="Times New Roman" w:hAnsi="Times New Roman" w:cs="Times New Roman"/>
          <w:sz w:val="24"/>
          <w:szCs w:val="24"/>
        </w:rPr>
        <w:t>Atveseļošanas fonda</w:t>
      </w:r>
      <w:r w:rsidR="00404D8D" w:rsidRPr="002A0868">
        <w:rPr>
          <w:rFonts w:ascii="Times New Roman" w:hAnsi="Times New Roman" w:cs="Times New Roman"/>
          <w:sz w:val="24"/>
          <w:szCs w:val="24"/>
        </w:rPr>
        <w:t xml:space="preserve"> plānā </w:t>
      </w:r>
      <w:r w:rsidR="00B9172F" w:rsidRPr="002A0868">
        <w:rPr>
          <w:rFonts w:ascii="Times New Roman" w:hAnsi="Times New Roman" w:cs="Times New Roman"/>
          <w:sz w:val="24"/>
          <w:szCs w:val="24"/>
        </w:rPr>
        <w:t>2.pielikuma 2.tabulā “Plānotās izmaksas un ekoloģiskā un digitālā ietekme</w:t>
      </w:r>
      <w:r w:rsidR="00C9344C" w:rsidRPr="002A0868">
        <w:rPr>
          <w:rFonts w:ascii="Times New Roman" w:hAnsi="Times New Roman" w:cs="Times New Roman"/>
          <w:sz w:val="24"/>
          <w:szCs w:val="24"/>
        </w:rPr>
        <w:t>”</w:t>
      </w:r>
      <w:r w:rsidR="00B9172F" w:rsidRPr="002A0868">
        <w:rPr>
          <w:rFonts w:ascii="Times New Roman" w:hAnsi="Times New Roman" w:cs="Times New Roman"/>
          <w:sz w:val="24"/>
          <w:szCs w:val="24"/>
        </w:rPr>
        <w:t xml:space="preserve"> </w:t>
      </w:r>
      <w:r w:rsidR="00404D8D" w:rsidRPr="002A0868">
        <w:rPr>
          <w:rFonts w:ascii="Times New Roman" w:hAnsi="Times New Roman" w:cs="Times New Roman"/>
          <w:sz w:val="24"/>
          <w:szCs w:val="24"/>
        </w:rPr>
        <w:t>ietverto izmaksu pamatojošo informāciju</w:t>
      </w:r>
      <w:r w:rsidR="00B9172F" w:rsidRPr="002A0868">
        <w:rPr>
          <w:rFonts w:ascii="Times New Roman" w:hAnsi="Times New Roman" w:cs="Times New Roman"/>
          <w:sz w:val="24"/>
          <w:szCs w:val="24"/>
        </w:rPr>
        <w:t xml:space="preserve"> pa</w:t>
      </w:r>
      <w:r w:rsidR="00C9344C" w:rsidRPr="002A0868">
        <w:rPr>
          <w:rFonts w:ascii="Times New Roman" w:hAnsi="Times New Roman" w:cs="Times New Roman"/>
          <w:sz w:val="24"/>
          <w:szCs w:val="24"/>
        </w:rPr>
        <w:t>r</w:t>
      </w:r>
      <w:r w:rsidR="00B9172F" w:rsidRPr="002A0868">
        <w:rPr>
          <w:rFonts w:ascii="Times New Roman" w:hAnsi="Times New Roman" w:cs="Times New Roman"/>
          <w:sz w:val="24"/>
          <w:szCs w:val="24"/>
        </w:rPr>
        <w:t xml:space="preserve"> konkrētām darbību pozīcijām</w:t>
      </w:r>
      <w:r w:rsidR="00404D8D" w:rsidRPr="002A0868">
        <w:rPr>
          <w:rFonts w:ascii="Times New Roman" w:hAnsi="Times New Roman" w:cs="Times New Roman"/>
          <w:sz w:val="24"/>
          <w:szCs w:val="24"/>
        </w:rPr>
        <w:t xml:space="preserve">. </w:t>
      </w:r>
      <w:r w:rsidR="00607B36">
        <w:rPr>
          <w:rFonts w:ascii="Times New Roman" w:hAnsi="Times New Roman" w:cs="Times New Roman"/>
          <w:sz w:val="24"/>
          <w:szCs w:val="24"/>
        </w:rPr>
        <w:t>In</w:t>
      </w:r>
      <w:r w:rsidR="00C23F95">
        <w:rPr>
          <w:rFonts w:ascii="Times New Roman" w:hAnsi="Times New Roman" w:cs="Times New Roman"/>
          <w:sz w:val="24"/>
          <w:szCs w:val="24"/>
        </w:rPr>
        <w:t>vestīcijas</w:t>
      </w:r>
      <w:r w:rsidR="00404D8D" w:rsidRPr="002A0868">
        <w:rPr>
          <w:rFonts w:ascii="Times New Roman" w:hAnsi="Times New Roman" w:cs="Times New Roman"/>
          <w:sz w:val="24"/>
          <w:szCs w:val="24"/>
        </w:rPr>
        <w:t xml:space="preserve"> izmaksas veido </w:t>
      </w:r>
      <w:r w:rsidR="000D2464">
        <w:rPr>
          <w:rFonts w:ascii="Times New Roman" w:hAnsi="Times New Roman" w:cs="Times New Roman"/>
          <w:sz w:val="24"/>
          <w:szCs w:val="24"/>
        </w:rPr>
        <w:t>trīs atskaites punktu ieviešana</w:t>
      </w:r>
      <w:r w:rsidR="00404D8D" w:rsidRPr="002A0868">
        <w:rPr>
          <w:rFonts w:ascii="Times New Roman" w:hAnsi="Times New Roman" w:cs="Times New Roman"/>
          <w:sz w:val="24"/>
          <w:szCs w:val="24"/>
        </w:rPr>
        <w:t xml:space="preserve">, kurās atbilstoši </w:t>
      </w:r>
      <w:r w:rsidR="00633872" w:rsidRPr="002A0868">
        <w:rPr>
          <w:rFonts w:ascii="Times New Roman" w:hAnsi="Times New Roman" w:cs="Times New Roman"/>
          <w:sz w:val="24"/>
          <w:szCs w:val="24"/>
        </w:rPr>
        <w:t>Atveseļošanas fonda</w:t>
      </w:r>
      <w:r w:rsidR="00404D8D" w:rsidRPr="002A0868">
        <w:rPr>
          <w:rFonts w:ascii="Times New Roman" w:hAnsi="Times New Roman" w:cs="Times New Roman"/>
          <w:sz w:val="24"/>
          <w:szCs w:val="24"/>
        </w:rPr>
        <w:t xml:space="preserve"> plānam ietilpst</w:t>
      </w:r>
      <w:bookmarkEnd w:id="16"/>
      <w:r w:rsidR="009E0EC4">
        <w:rPr>
          <w:rFonts w:ascii="Times New Roman" w:hAnsi="Times New Roman" w:cs="Times New Roman"/>
          <w:sz w:val="24"/>
          <w:szCs w:val="24"/>
        </w:rPr>
        <w:t xml:space="preserve"> “A</w:t>
      </w:r>
      <w:r w:rsidR="00B72775" w:rsidRPr="009E0EC4">
        <w:rPr>
          <w:rFonts w:ascii="Times New Roman" w:eastAsia="Times New Roman" w:hAnsi="Times New Roman" w:cs="Times New Roman"/>
          <w:iCs/>
          <w:sz w:val="24"/>
          <w:szCs w:val="24"/>
        </w:rPr>
        <w:t>tbalsts sabiedrības veselības pētījumu veikšanai</w:t>
      </w:r>
      <w:r w:rsidR="009E0EC4">
        <w:rPr>
          <w:rFonts w:ascii="Times New Roman" w:eastAsia="Times New Roman" w:hAnsi="Times New Roman" w:cs="Times New Roman"/>
          <w:iCs/>
          <w:sz w:val="24"/>
          <w:szCs w:val="24"/>
        </w:rPr>
        <w:t>”</w:t>
      </w:r>
      <w:r w:rsidR="00B72775" w:rsidRPr="009E0EC4">
        <w:rPr>
          <w:rFonts w:ascii="Times New Roman" w:eastAsia="Times New Roman" w:hAnsi="Times New Roman" w:cs="Times New Roman"/>
          <w:iCs/>
          <w:sz w:val="24"/>
          <w:szCs w:val="24"/>
        </w:rPr>
        <w:t xml:space="preserve"> 865 150</w:t>
      </w:r>
      <w:r w:rsidR="0036271A" w:rsidRPr="009E0EC4">
        <w:rPr>
          <w:rFonts w:ascii="Times New Roman" w:eastAsia="Times New Roman" w:hAnsi="Times New Roman" w:cs="Times New Roman"/>
          <w:iCs/>
          <w:sz w:val="24"/>
          <w:szCs w:val="24"/>
        </w:rPr>
        <w:t xml:space="preserve"> </w:t>
      </w:r>
      <w:r w:rsidR="0036271A" w:rsidRPr="009E0EC4">
        <w:rPr>
          <w:rFonts w:ascii="Times New Roman" w:eastAsia="Times New Roman" w:hAnsi="Times New Roman" w:cs="Times New Roman"/>
          <w:i/>
          <w:sz w:val="24"/>
          <w:szCs w:val="24"/>
        </w:rPr>
        <w:t>euro</w:t>
      </w:r>
      <w:r w:rsidR="0036271A" w:rsidRPr="009E0EC4">
        <w:rPr>
          <w:rFonts w:ascii="Times New Roman" w:eastAsia="Times New Roman" w:hAnsi="Times New Roman" w:cs="Times New Roman"/>
          <w:iCs/>
          <w:sz w:val="24"/>
          <w:szCs w:val="24"/>
        </w:rPr>
        <w:t xml:space="preserve"> apmērā, kas iekļauj </w:t>
      </w:r>
      <w:r w:rsidR="00633872" w:rsidRPr="009E0EC4">
        <w:rPr>
          <w:rFonts w:ascii="Times New Roman" w:eastAsia="Times New Roman" w:hAnsi="Times New Roman" w:cs="Times New Roman"/>
          <w:iCs/>
          <w:sz w:val="24"/>
          <w:szCs w:val="24"/>
        </w:rPr>
        <w:t>Atveseļošanas fonda</w:t>
      </w:r>
      <w:r w:rsidR="0036271A" w:rsidRPr="009E0EC4">
        <w:rPr>
          <w:rFonts w:ascii="Times New Roman" w:eastAsia="Times New Roman" w:hAnsi="Times New Roman" w:cs="Times New Roman"/>
          <w:iCs/>
          <w:sz w:val="24"/>
          <w:szCs w:val="24"/>
        </w:rPr>
        <w:t xml:space="preserve"> finansējumu </w:t>
      </w:r>
      <w:r w:rsidR="00B72775" w:rsidRPr="009E0EC4">
        <w:rPr>
          <w:rFonts w:ascii="Times New Roman" w:eastAsia="Times New Roman" w:hAnsi="Times New Roman" w:cs="Times New Roman"/>
          <w:iCs/>
          <w:sz w:val="24"/>
          <w:szCs w:val="24"/>
        </w:rPr>
        <w:t>715 000</w:t>
      </w:r>
      <w:r w:rsidR="0036271A" w:rsidRPr="009E0EC4">
        <w:rPr>
          <w:rFonts w:ascii="Times New Roman" w:eastAsia="Times New Roman" w:hAnsi="Times New Roman" w:cs="Times New Roman"/>
          <w:iCs/>
          <w:sz w:val="24"/>
          <w:szCs w:val="24"/>
        </w:rPr>
        <w:t xml:space="preserve"> </w:t>
      </w:r>
      <w:r w:rsidR="0036271A" w:rsidRPr="009E0EC4">
        <w:rPr>
          <w:rFonts w:ascii="Times New Roman" w:eastAsia="Times New Roman" w:hAnsi="Times New Roman" w:cs="Times New Roman"/>
          <w:i/>
          <w:sz w:val="24"/>
          <w:szCs w:val="24"/>
        </w:rPr>
        <w:t>euro</w:t>
      </w:r>
      <w:r w:rsidR="0036271A" w:rsidRPr="009E0EC4">
        <w:rPr>
          <w:rFonts w:ascii="Times New Roman" w:eastAsia="Times New Roman" w:hAnsi="Times New Roman" w:cs="Times New Roman"/>
          <w:iCs/>
          <w:sz w:val="24"/>
          <w:szCs w:val="24"/>
        </w:rPr>
        <w:t xml:space="preserve">, un valsts budžeta finansējumu </w:t>
      </w:r>
      <w:r w:rsidR="00EA39A7" w:rsidRPr="009E0EC4">
        <w:rPr>
          <w:rFonts w:ascii="Times New Roman" w:eastAsia="Times New Roman" w:hAnsi="Times New Roman" w:cs="Times New Roman"/>
          <w:iCs/>
          <w:sz w:val="24"/>
          <w:szCs w:val="24"/>
        </w:rPr>
        <w:t xml:space="preserve">pievienotās vērtības nodokļa </w:t>
      </w:r>
      <w:r w:rsidR="0036271A" w:rsidRPr="009E0EC4">
        <w:rPr>
          <w:rFonts w:ascii="Times New Roman" w:eastAsia="Times New Roman" w:hAnsi="Times New Roman" w:cs="Times New Roman"/>
          <w:iCs/>
          <w:sz w:val="24"/>
          <w:szCs w:val="24"/>
        </w:rPr>
        <w:t xml:space="preserve">segšanai </w:t>
      </w:r>
      <w:r w:rsidR="00B72775" w:rsidRPr="009E0EC4">
        <w:rPr>
          <w:rFonts w:ascii="Times New Roman" w:eastAsia="Times New Roman" w:hAnsi="Times New Roman" w:cs="Times New Roman"/>
          <w:iCs/>
          <w:sz w:val="24"/>
          <w:szCs w:val="24"/>
        </w:rPr>
        <w:t>150</w:t>
      </w:r>
      <w:r w:rsidR="00AC0BA1" w:rsidRPr="009E0EC4">
        <w:rPr>
          <w:rFonts w:ascii="Times New Roman" w:eastAsia="Times New Roman" w:hAnsi="Times New Roman" w:cs="Times New Roman"/>
          <w:iCs/>
          <w:sz w:val="24"/>
          <w:szCs w:val="24"/>
        </w:rPr>
        <w:t> </w:t>
      </w:r>
      <w:r w:rsidR="00B72775" w:rsidRPr="009E0EC4">
        <w:rPr>
          <w:rFonts w:ascii="Times New Roman" w:eastAsia="Times New Roman" w:hAnsi="Times New Roman" w:cs="Times New Roman"/>
          <w:iCs/>
          <w:sz w:val="24"/>
          <w:szCs w:val="24"/>
        </w:rPr>
        <w:t>150</w:t>
      </w:r>
      <w:r w:rsidR="00AC0BA1" w:rsidRPr="009E0EC4">
        <w:rPr>
          <w:rFonts w:ascii="Times New Roman" w:eastAsia="Times New Roman" w:hAnsi="Times New Roman" w:cs="Times New Roman"/>
          <w:iCs/>
          <w:sz w:val="24"/>
          <w:szCs w:val="24"/>
        </w:rPr>
        <w:t> </w:t>
      </w:r>
      <w:r w:rsidR="0036271A" w:rsidRPr="009E0EC4">
        <w:rPr>
          <w:rFonts w:ascii="Times New Roman" w:eastAsia="Times New Roman" w:hAnsi="Times New Roman" w:cs="Times New Roman"/>
          <w:i/>
          <w:sz w:val="24"/>
          <w:szCs w:val="24"/>
        </w:rPr>
        <w:t>euro</w:t>
      </w:r>
      <w:r w:rsidR="0036271A" w:rsidRPr="009E0EC4">
        <w:rPr>
          <w:rFonts w:ascii="Times New Roman" w:eastAsia="Times New Roman" w:hAnsi="Times New Roman" w:cs="Times New Roman"/>
          <w:iCs/>
          <w:sz w:val="24"/>
          <w:szCs w:val="24"/>
        </w:rPr>
        <w:t xml:space="preserve"> apmērā</w:t>
      </w:r>
      <w:r w:rsidR="00404D8D" w:rsidRPr="009E0EC4">
        <w:rPr>
          <w:rFonts w:ascii="Times New Roman" w:eastAsia="Times New Roman" w:hAnsi="Times New Roman" w:cs="Times New Roman"/>
          <w:iCs/>
          <w:sz w:val="24"/>
          <w:szCs w:val="24"/>
        </w:rPr>
        <w:t>, izmaksas veido:</w:t>
      </w:r>
    </w:p>
    <w:p w14:paraId="1C3F6BC0" w14:textId="3B8204AE" w:rsidR="00673320" w:rsidRPr="00FF4A63" w:rsidRDefault="00673320" w:rsidP="00981FC4">
      <w:pPr>
        <w:pStyle w:val="ListParagraph"/>
        <w:numPr>
          <w:ilvl w:val="3"/>
          <w:numId w:val="3"/>
        </w:numPr>
        <w:spacing w:before="120" w:after="0" w:line="240" w:lineRule="auto"/>
        <w:ind w:left="2127"/>
        <w:contextualSpacing w:val="0"/>
        <w:jc w:val="both"/>
        <w:rPr>
          <w:rFonts w:ascii="Times New Roman" w:eastAsia="Times New Roman" w:hAnsi="Times New Roman" w:cs="Times New Roman"/>
          <w:sz w:val="24"/>
          <w:szCs w:val="24"/>
        </w:rPr>
      </w:pPr>
      <w:r w:rsidRPr="00FF4A63">
        <w:rPr>
          <w:rFonts w:ascii="Times New Roman" w:eastAsia="Times New Roman" w:hAnsi="Times New Roman" w:cs="Times New Roman"/>
          <w:sz w:val="24"/>
          <w:szCs w:val="24"/>
        </w:rPr>
        <w:t xml:space="preserve"> </w:t>
      </w:r>
      <w:r w:rsidR="00CB42D1">
        <w:rPr>
          <w:rFonts w:ascii="Times New Roman" w:hAnsi="Times New Roman" w:cs="Times New Roman"/>
          <w:sz w:val="24"/>
          <w:szCs w:val="24"/>
        </w:rPr>
        <w:t>m</w:t>
      </w:r>
      <w:r w:rsidRPr="00FF4A63">
        <w:rPr>
          <w:rFonts w:ascii="Times New Roman" w:hAnsi="Times New Roman" w:cs="Times New Roman"/>
          <w:sz w:val="24"/>
          <w:szCs w:val="24"/>
        </w:rPr>
        <w:t xml:space="preserve">etodikas pieņemšana trīs pētījumiem ar mērķi uzlabot sabiedrības veselības politikas plānošanu un īstenošanu </w:t>
      </w:r>
      <w:r w:rsidRPr="00FF4A63">
        <w:rPr>
          <w:rFonts w:ascii="Times New Roman" w:hAnsi="Times New Roman" w:cs="Times New Roman"/>
          <w:sz w:val="24"/>
          <w:szCs w:val="24"/>
        </w:rPr>
        <w:lastRenderedPageBreak/>
        <w:t>mikroorganismu rezistences, vakcinācijas un infekcij</w:t>
      </w:r>
      <w:r w:rsidR="00CB42D1">
        <w:rPr>
          <w:rFonts w:ascii="Times New Roman" w:hAnsi="Times New Roman" w:cs="Times New Roman"/>
          <w:sz w:val="24"/>
          <w:szCs w:val="24"/>
        </w:rPr>
        <w:t>as</w:t>
      </w:r>
      <w:r w:rsidRPr="00FF4A63">
        <w:rPr>
          <w:rFonts w:ascii="Times New Roman" w:hAnsi="Times New Roman" w:cs="Times New Roman"/>
          <w:sz w:val="24"/>
          <w:szCs w:val="24"/>
        </w:rPr>
        <w:t xml:space="preserve"> slimību jomā – 71 500 </w:t>
      </w:r>
      <w:r w:rsidRPr="00FF4A63">
        <w:rPr>
          <w:rFonts w:ascii="Times New Roman" w:hAnsi="Times New Roman" w:cs="Times New Roman"/>
          <w:i/>
          <w:iCs/>
          <w:sz w:val="24"/>
          <w:szCs w:val="24"/>
        </w:rPr>
        <w:t>euro</w:t>
      </w:r>
      <w:r w:rsidR="00E71298">
        <w:rPr>
          <w:rFonts w:ascii="Times New Roman" w:hAnsi="Times New Roman" w:cs="Times New Roman"/>
          <w:i/>
          <w:iCs/>
          <w:sz w:val="24"/>
          <w:szCs w:val="24"/>
        </w:rPr>
        <w:t xml:space="preserve"> </w:t>
      </w:r>
      <w:r w:rsidR="00E71298" w:rsidRPr="00E71298">
        <w:rPr>
          <w:rFonts w:ascii="Times New Roman" w:hAnsi="Times New Roman" w:cs="Times New Roman"/>
          <w:sz w:val="24"/>
          <w:szCs w:val="24"/>
        </w:rPr>
        <w:t>(bez PVN)</w:t>
      </w:r>
      <w:r w:rsidRPr="00E71298">
        <w:rPr>
          <w:rFonts w:ascii="Times New Roman" w:hAnsi="Times New Roman" w:cs="Times New Roman"/>
          <w:sz w:val="24"/>
          <w:szCs w:val="24"/>
        </w:rPr>
        <w:t>;</w:t>
      </w:r>
    </w:p>
    <w:p w14:paraId="0F43DC8B" w14:textId="7ACDAE1B" w:rsidR="00673320" w:rsidRPr="00FF4A63" w:rsidRDefault="00673320" w:rsidP="00981FC4">
      <w:pPr>
        <w:pStyle w:val="ListParagraph"/>
        <w:numPr>
          <w:ilvl w:val="3"/>
          <w:numId w:val="3"/>
        </w:numPr>
        <w:spacing w:before="120" w:after="0" w:line="240" w:lineRule="auto"/>
        <w:ind w:left="2127"/>
        <w:contextualSpacing w:val="0"/>
        <w:jc w:val="both"/>
        <w:rPr>
          <w:rFonts w:ascii="Times New Roman" w:eastAsia="Times New Roman" w:hAnsi="Times New Roman" w:cs="Times New Roman"/>
          <w:sz w:val="24"/>
          <w:szCs w:val="24"/>
        </w:rPr>
      </w:pPr>
      <w:r w:rsidRPr="00FF4A63">
        <w:rPr>
          <w:rFonts w:ascii="Times New Roman" w:eastAsia="Times New Roman" w:hAnsi="Times New Roman" w:cs="Times New Roman"/>
          <w:sz w:val="24"/>
          <w:szCs w:val="24"/>
        </w:rPr>
        <w:t xml:space="preserve"> </w:t>
      </w:r>
      <w:r w:rsidR="00CB42D1">
        <w:rPr>
          <w:rFonts w:ascii="Times New Roman" w:hAnsi="Times New Roman" w:cs="Times New Roman"/>
          <w:sz w:val="24"/>
          <w:szCs w:val="24"/>
        </w:rPr>
        <w:t>s</w:t>
      </w:r>
      <w:r w:rsidRPr="00FF4A63">
        <w:rPr>
          <w:rFonts w:ascii="Times New Roman" w:hAnsi="Times New Roman" w:cs="Times New Roman"/>
          <w:sz w:val="24"/>
          <w:szCs w:val="24"/>
        </w:rPr>
        <w:t xml:space="preserve">abiedrības veselības pētniecība, kas veikta, lai uzlabotu sabiedrības veselības politikas plānošanu un īstenošanu mikroorganismu rezistences, vakcinācijas un infekcijas slimību jomā </w:t>
      </w:r>
      <w:r w:rsidR="00B72775" w:rsidRPr="00FF4A63">
        <w:rPr>
          <w:rFonts w:ascii="Times New Roman" w:hAnsi="Times New Roman" w:cs="Times New Roman"/>
          <w:sz w:val="24"/>
          <w:szCs w:val="24"/>
        </w:rPr>
        <w:t>–</w:t>
      </w:r>
      <w:r w:rsidRPr="00FF4A63">
        <w:rPr>
          <w:rFonts w:ascii="Times New Roman" w:hAnsi="Times New Roman" w:cs="Times New Roman"/>
          <w:sz w:val="24"/>
          <w:szCs w:val="24"/>
        </w:rPr>
        <w:t xml:space="preserve"> </w:t>
      </w:r>
      <w:r w:rsidR="00B72775" w:rsidRPr="00FF4A63">
        <w:rPr>
          <w:rFonts w:ascii="Times New Roman" w:hAnsi="Times New Roman" w:cs="Times New Roman"/>
          <w:sz w:val="24"/>
          <w:szCs w:val="24"/>
        </w:rPr>
        <w:t xml:space="preserve">572 000 </w:t>
      </w:r>
      <w:r w:rsidR="00B72775" w:rsidRPr="00FF4A63">
        <w:rPr>
          <w:rFonts w:ascii="Times New Roman" w:hAnsi="Times New Roman" w:cs="Times New Roman"/>
          <w:i/>
          <w:iCs/>
          <w:sz w:val="24"/>
          <w:szCs w:val="24"/>
        </w:rPr>
        <w:t>euro</w:t>
      </w:r>
      <w:r w:rsidR="00E71298">
        <w:rPr>
          <w:rFonts w:ascii="Times New Roman" w:hAnsi="Times New Roman" w:cs="Times New Roman"/>
          <w:sz w:val="24"/>
          <w:szCs w:val="24"/>
        </w:rPr>
        <w:t xml:space="preserve"> </w:t>
      </w:r>
      <w:r w:rsidR="00E71298" w:rsidRPr="00E71298">
        <w:rPr>
          <w:rFonts w:ascii="Times New Roman" w:hAnsi="Times New Roman" w:cs="Times New Roman"/>
          <w:sz w:val="24"/>
          <w:szCs w:val="24"/>
        </w:rPr>
        <w:t>(bez PVN);</w:t>
      </w:r>
      <w:r w:rsidR="00B72775" w:rsidRPr="00FF4A63">
        <w:rPr>
          <w:rFonts w:ascii="Times New Roman" w:hAnsi="Times New Roman" w:cs="Times New Roman"/>
          <w:sz w:val="24"/>
          <w:szCs w:val="24"/>
        </w:rPr>
        <w:t xml:space="preserve"> </w:t>
      </w:r>
    </w:p>
    <w:p w14:paraId="31B5656E" w14:textId="3E46D2CC" w:rsidR="00B72775" w:rsidRPr="00FF4A63" w:rsidRDefault="00B72775" w:rsidP="00981FC4">
      <w:pPr>
        <w:pStyle w:val="ListParagraph"/>
        <w:numPr>
          <w:ilvl w:val="3"/>
          <w:numId w:val="3"/>
        </w:numPr>
        <w:spacing w:before="120" w:after="0" w:line="240" w:lineRule="auto"/>
        <w:ind w:left="2127"/>
        <w:contextualSpacing w:val="0"/>
        <w:jc w:val="both"/>
        <w:rPr>
          <w:rFonts w:ascii="Times New Roman" w:eastAsia="Times New Roman" w:hAnsi="Times New Roman" w:cs="Times New Roman"/>
          <w:sz w:val="24"/>
          <w:szCs w:val="24"/>
        </w:rPr>
      </w:pPr>
      <w:r w:rsidRPr="00FF4A63">
        <w:rPr>
          <w:rFonts w:ascii="Times New Roman" w:eastAsia="Times New Roman" w:hAnsi="Times New Roman" w:cs="Times New Roman"/>
          <w:sz w:val="24"/>
          <w:szCs w:val="24"/>
        </w:rPr>
        <w:t xml:space="preserve"> </w:t>
      </w:r>
      <w:r w:rsidR="00CB42D1">
        <w:rPr>
          <w:rFonts w:ascii="Times New Roman" w:hAnsi="Times New Roman" w:cs="Times New Roman"/>
          <w:sz w:val="24"/>
          <w:szCs w:val="24"/>
        </w:rPr>
        <w:t>t</w:t>
      </w:r>
      <w:r w:rsidRPr="00FF4A63">
        <w:rPr>
          <w:rFonts w:ascii="Times New Roman" w:hAnsi="Times New Roman" w:cs="Times New Roman"/>
          <w:sz w:val="24"/>
          <w:szCs w:val="24"/>
        </w:rPr>
        <w:t>ādu tiesību aktu grozījumu stāšanās spēkā, kuru mērķis ir uzlabot sabiedrības veselības politikas plānošanu un īstenošanu tādās jomās, kā</w:t>
      </w:r>
      <w:r w:rsidR="00956AC7">
        <w:rPr>
          <w:rFonts w:ascii="Times New Roman" w:hAnsi="Times New Roman" w:cs="Times New Roman"/>
          <w:sz w:val="24"/>
          <w:szCs w:val="24"/>
        </w:rPr>
        <w:t xml:space="preserve"> mikroorganismu rezistence</w:t>
      </w:r>
      <w:r w:rsidRPr="00FF4A63">
        <w:rPr>
          <w:rFonts w:ascii="Times New Roman" w:hAnsi="Times New Roman" w:cs="Times New Roman"/>
          <w:sz w:val="24"/>
          <w:szCs w:val="24"/>
        </w:rPr>
        <w:t xml:space="preserve">, vakcinācija un infekcijas slimības – 71 500 </w:t>
      </w:r>
      <w:r w:rsidRPr="00FF4A63">
        <w:rPr>
          <w:rFonts w:ascii="Times New Roman" w:hAnsi="Times New Roman" w:cs="Times New Roman"/>
          <w:i/>
          <w:iCs/>
          <w:sz w:val="24"/>
          <w:szCs w:val="24"/>
        </w:rPr>
        <w:t>euro</w:t>
      </w:r>
      <w:r w:rsidR="00E71298">
        <w:rPr>
          <w:rFonts w:ascii="Times New Roman" w:hAnsi="Times New Roman" w:cs="Times New Roman"/>
          <w:i/>
          <w:iCs/>
          <w:sz w:val="24"/>
          <w:szCs w:val="24"/>
        </w:rPr>
        <w:t xml:space="preserve"> </w:t>
      </w:r>
      <w:r w:rsidR="00E71298" w:rsidRPr="00E71298">
        <w:rPr>
          <w:rFonts w:ascii="Times New Roman" w:hAnsi="Times New Roman" w:cs="Times New Roman"/>
          <w:sz w:val="24"/>
          <w:szCs w:val="24"/>
        </w:rPr>
        <w:t>(bez PVN)</w:t>
      </w:r>
      <w:r w:rsidR="00E71298">
        <w:rPr>
          <w:rFonts w:ascii="Times New Roman" w:hAnsi="Times New Roman" w:cs="Times New Roman"/>
          <w:sz w:val="24"/>
          <w:szCs w:val="24"/>
        </w:rPr>
        <w:t>.</w:t>
      </w:r>
    </w:p>
    <w:p w14:paraId="7D0174A6" w14:textId="15A72229" w:rsidR="002C264D" w:rsidRPr="002132C3" w:rsidRDefault="00C9344C" w:rsidP="00981FC4">
      <w:pPr>
        <w:pStyle w:val="ListParagraph"/>
        <w:numPr>
          <w:ilvl w:val="1"/>
          <w:numId w:val="3"/>
        </w:numPr>
        <w:spacing w:before="120" w:after="0" w:line="240" w:lineRule="auto"/>
        <w:ind w:left="567" w:hanging="425"/>
        <w:contextualSpacing w:val="0"/>
        <w:jc w:val="both"/>
        <w:rPr>
          <w:rFonts w:ascii="Times New Roman" w:hAnsi="Times New Roman" w:cs="Times New Roman"/>
          <w:sz w:val="24"/>
          <w:szCs w:val="24"/>
        </w:rPr>
      </w:pPr>
      <w:r w:rsidRPr="002132C3">
        <w:rPr>
          <w:rFonts w:ascii="Times New Roman" w:hAnsi="Times New Roman" w:cs="Times New Roman"/>
          <w:sz w:val="24"/>
          <w:szCs w:val="24"/>
        </w:rPr>
        <w:t>Šī ziņojuma</w:t>
      </w:r>
      <w:r w:rsidR="000B7CC2">
        <w:rPr>
          <w:rFonts w:ascii="Times New Roman" w:hAnsi="Times New Roman" w:cs="Times New Roman"/>
          <w:sz w:val="24"/>
          <w:szCs w:val="24"/>
        </w:rPr>
        <w:t xml:space="preserve"> 6.4. </w:t>
      </w:r>
      <w:r w:rsidRPr="002132C3">
        <w:rPr>
          <w:rFonts w:ascii="Times New Roman" w:hAnsi="Times New Roman" w:cs="Times New Roman"/>
          <w:sz w:val="24"/>
          <w:szCs w:val="24"/>
        </w:rPr>
        <w:t xml:space="preserve">apakšpunktā minētajiem </w:t>
      </w:r>
      <w:r w:rsidR="00C23F95">
        <w:rPr>
          <w:rFonts w:ascii="Times New Roman" w:hAnsi="Times New Roman" w:cs="Times New Roman"/>
          <w:sz w:val="24"/>
          <w:szCs w:val="24"/>
        </w:rPr>
        <w:t>investīcijas</w:t>
      </w:r>
      <w:r w:rsidR="00F81150" w:rsidRPr="002132C3">
        <w:rPr>
          <w:rFonts w:ascii="Times New Roman" w:hAnsi="Times New Roman" w:cs="Times New Roman"/>
          <w:sz w:val="24"/>
          <w:szCs w:val="24"/>
        </w:rPr>
        <w:t xml:space="preserve"> atskaites punkta </w:t>
      </w:r>
      <w:r w:rsidR="003350B0" w:rsidRPr="002132C3">
        <w:rPr>
          <w:rFonts w:ascii="Times New Roman" w:hAnsi="Times New Roman" w:cs="Times New Roman"/>
          <w:sz w:val="24"/>
          <w:szCs w:val="24"/>
        </w:rPr>
        <w:t xml:space="preserve">rādītāju </w:t>
      </w:r>
      <w:r w:rsidR="00F81150" w:rsidRPr="002132C3">
        <w:rPr>
          <w:rFonts w:ascii="Times New Roman" w:hAnsi="Times New Roman" w:cs="Times New Roman"/>
          <w:sz w:val="24"/>
          <w:szCs w:val="24"/>
        </w:rPr>
        <w:t>sasniegšanas</w:t>
      </w:r>
      <w:r w:rsidR="00300916" w:rsidRPr="002132C3">
        <w:rPr>
          <w:rFonts w:ascii="Times New Roman" w:hAnsi="Times New Roman" w:cs="Times New Roman"/>
          <w:sz w:val="24"/>
          <w:szCs w:val="24"/>
        </w:rPr>
        <w:t xml:space="preserve"> izmaksu aprēķiniem ir informatīvs raksturs. </w:t>
      </w:r>
      <w:r w:rsidR="008B44DB" w:rsidRPr="002132C3">
        <w:rPr>
          <w:rFonts w:ascii="Times New Roman" w:hAnsi="Times New Roman" w:cs="Times New Roman"/>
          <w:sz w:val="24"/>
          <w:szCs w:val="24"/>
        </w:rPr>
        <w:t>F</w:t>
      </w:r>
      <w:r w:rsidR="00C964DD" w:rsidRPr="002132C3">
        <w:rPr>
          <w:rFonts w:ascii="Times New Roman" w:hAnsi="Times New Roman" w:cs="Times New Roman"/>
          <w:sz w:val="24"/>
          <w:szCs w:val="24"/>
        </w:rPr>
        <w:t xml:space="preserve">inansējuma </w:t>
      </w:r>
      <w:r w:rsidR="00300916" w:rsidRPr="002132C3">
        <w:rPr>
          <w:rFonts w:ascii="Times New Roman" w:hAnsi="Times New Roman" w:cs="Times New Roman"/>
          <w:sz w:val="24"/>
          <w:szCs w:val="24"/>
        </w:rPr>
        <w:t xml:space="preserve">saņēmējs, saskaņojot ar </w:t>
      </w:r>
      <w:r w:rsidR="00B4168D" w:rsidRPr="002132C3">
        <w:rPr>
          <w:rFonts w:ascii="Times New Roman" w:hAnsi="Times New Roman" w:cs="Times New Roman"/>
          <w:sz w:val="24"/>
          <w:szCs w:val="24"/>
        </w:rPr>
        <w:t>nozares ministriju</w:t>
      </w:r>
      <w:r w:rsidR="00300916" w:rsidRPr="002132C3">
        <w:rPr>
          <w:rFonts w:ascii="Times New Roman" w:hAnsi="Times New Roman" w:cs="Times New Roman"/>
          <w:sz w:val="24"/>
          <w:szCs w:val="24"/>
        </w:rPr>
        <w:t>, var veikt izmaiņas augstāk minētajās izmaksu pozīcijās tiktāl, cik</w:t>
      </w:r>
      <w:r w:rsidR="00DD6B10" w:rsidRPr="002132C3">
        <w:rPr>
          <w:rFonts w:ascii="Times New Roman" w:hAnsi="Times New Roman" w:cs="Times New Roman"/>
          <w:sz w:val="24"/>
          <w:szCs w:val="24"/>
        </w:rPr>
        <w:t xml:space="preserve"> </w:t>
      </w:r>
      <w:r w:rsidR="00300916" w:rsidRPr="002132C3">
        <w:rPr>
          <w:rFonts w:ascii="Times New Roman" w:hAnsi="Times New Roman" w:cs="Times New Roman"/>
          <w:sz w:val="24"/>
          <w:szCs w:val="24"/>
        </w:rPr>
        <w:t xml:space="preserve">to veikšana neietekmē </w:t>
      </w:r>
      <w:r w:rsidR="00C23F95">
        <w:rPr>
          <w:rFonts w:ascii="Times New Roman" w:hAnsi="Times New Roman" w:cs="Times New Roman"/>
          <w:sz w:val="24"/>
          <w:szCs w:val="24"/>
        </w:rPr>
        <w:t>investīcijas</w:t>
      </w:r>
      <w:r w:rsidR="00300916" w:rsidRPr="002132C3">
        <w:rPr>
          <w:rFonts w:ascii="Times New Roman" w:hAnsi="Times New Roman" w:cs="Times New Roman"/>
          <w:sz w:val="24"/>
          <w:szCs w:val="24"/>
        </w:rPr>
        <w:t xml:space="preserve"> atskaites punkta mērķu sasniegšanu</w:t>
      </w:r>
      <w:r w:rsidR="006A1982" w:rsidRPr="006A1982">
        <w:rPr>
          <w:rFonts w:ascii="Times New Roman" w:hAnsi="Times New Roman" w:cs="Times New Roman"/>
          <w:sz w:val="24"/>
          <w:szCs w:val="24"/>
        </w:rPr>
        <w:t xml:space="preserve">, kā arī izmaiņas izmaksu pozīcijās nepārsniedz </w:t>
      </w:r>
      <w:r w:rsidR="00461CC3" w:rsidRPr="00461CC3">
        <w:rPr>
          <w:rFonts w:ascii="Times New Roman" w:hAnsi="Times New Roman" w:cs="Times New Roman"/>
          <w:sz w:val="24"/>
          <w:szCs w:val="24"/>
        </w:rPr>
        <w:t>konkrētajai investīcijai piešķirto finansējuma apjomu.</w:t>
      </w:r>
    </w:p>
    <w:p w14:paraId="49FDF0A3" w14:textId="77777777" w:rsidR="00DF4187" w:rsidRDefault="00C23F95" w:rsidP="00DF4187">
      <w:pPr>
        <w:pStyle w:val="ListParagraph"/>
        <w:numPr>
          <w:ilvl w:val="1"/>
          <w:numId w:val="3"/>
        </w:numPr>
        <w:spacing w:before="120" w:after="0" w:line="240" w:lineRule="auto"/>
        <w:ind w:left="567" w:hanging="425"/>
        <w:contextualSpacing w:val="0"/>
        <w:jc w:val="both"/>
        <w:rPr>
          <w:rFonts w:ascii="Times New Roman" w:hAnsi="Times New Roman" w:cs="Times New Roman"/>
          <w:sz w:val="24"/>
          <w:szCs w:val="24"/>
        </w:rPr>
      </w:pPr>
      <w:r>
        <w:rPr>
          <w:rFonts w:ascii="Times New Roman" w:hAnsi="Times New Roman" w:cs="Times New Roman"/>
          <w:sz w:val="24"/>
          <w:szCs w:val="24"/>
        </w:rPr>
        <w:t>Investīcijas</w:t>
      </w:r>
      <w:r w:rsidR="00DE391B" w:rsidRPr="002132C3">
        <w:rPr>
          <w:rFonts w:ascii="Times New Roman" w:hAnsi="Times New Roman" w:cs="Times New Roman"/>
          <w:sz w:val="24"/>
          <w:szCs w:val="24"/>
        </w:rPr>
        <w:t xml:space="preserve"> atskaites punkta īstenošanas izmaksas nepārsniedz Atveseļošanas fonda plānā plānotās izmaksas.</w:t>
      </w:r>
    </w:p>
    <w:p w14:paraId="664AB5C2" w14:textId="48C22363" w:rsidR="00AD4675" w:rsidRPr="00DF4187" w:rsidRDefault="00AD4675" w:rsidP="00DF4187">
      <w:pPr>
        <w:pStyle w:val="ListParagraph"/>
        <w:numPr>
          <w:ilvl w:val="1"/>
          <w:numId w:val="3"/>
        </w:numPr>
        <w:spacing w:before="120" w:after="0" w:line="240" w:lineRule="auto"/>
        <w:ind w:left="567" w:hanging="425"/>
        <w:contextualSpacing w:val="0"/>
        <w:jc w:val="both"/>
        <w:rPr>
          <w:rFonts w:ascii="Times New Roman" w:hAnsi="Times New Roman" w:cs="Times New Roman"/>
          <w:sz w:val="24"/>
          <w:szCs w:val="24"/>
        </w:rPr>
      </w:pPr>
      <w:r w:rsidRPr="00DF4187">
        <w:rPr>
          <w:rFonts w:ascii="Times New Roman" w:hAnsi="Times New Roman" w:cs="Times New Roman"/>
          <w:sz w:val="24"/>
          <w:szCs w:val="24"/>
        </w:rPr>
        <w:t xml:space="preserve">Ja </w:t>
      </w:r>
      <w:r w:rsidR="009817C6">
        <w:rPr>
          <w:rFonts w:ascii="Times New Roman" w:hAnsi="Times New Roman" w:cs="Times New Roman"/>
          <w:sz w:val="24"/>
          <w:szCs w:val="24"/>
        </w:rPr>
        <w:t xml:space="preserve">šī ziņojuma </w:t>
      </w:r>
      <w:r w:rsidRPr="00DF4187">
        <w:rPr>
          <w:rFonts w:ascii="Times New Roman" w:hAnsi="Times New Roman" w:cs="Times New Roman"/>
          <w:sz w:val="24"/>
          <w:szCs w:val="24"/>
        </w:rPr>
        <w:t>6.1. un 6.2.</w:t>
      </w:r>
      <w:r w:rsidR="00287E38">
        <w:rPr>
          <w:rFonts w:ascii="Times New Roman" w:hAnsi="Times New Roman" w:cs="Times New Roman"/>
          <w:sz w:val="24"/>
          <w:szCs w:val="24"/>
        </w:rPr>
        <w:t> apakšpunktā</w:t>
      </w:r>
      <w:r w:rsidRPr="00DF4187">
        <w:rPr>
          <w:rFonts w:ascii="Times New Roman" w:hAnsi="Times New Roman" w:cs="Times New Roman"/>
          <w:sz w:val="24"/>
          <w:szCs w:val="24"/>
        </w:rPr>
        <w:t xml:space="preserve"> atbalstāmo darbību un attiecināmo izmaksu ietvaros ir nepieciešams īstenot darbības, izmantojot publisko iepirkumu, tad, lai izslēgtu ekonomiskās priekšrocības preču piegādātājiem un pakalpojumu sniedzējiem, tādējādi novēršot tiem komercdarbības atbalsta piešķiršanu, tie jāizraugās atklātā, pārredzamā, nediskriminējošā un konkurenci nodrošinošā iepirkuma procedūrā.</w:t>
      </w:r>
    </w:p>
    <w:p w14:paraId="29A4503F" w14:textId="77777777" w:rsidR="00AD4675" w:rsidRPr="00AD4675" w:rsidRDefault="00AD4675" w:rsidP="00AD4675">
      <w:pPr>
        <w:spacing w:before="120" w:after="0" w:line="240" w:lineRule="auto"/>
        <w:jc w:val="both"/>
        <w:rPr>
          <w:rFonts w:ascii="Times New Roman" w:hAnsi="Times New Roman" w:cs="Times New Roman"/>
          <w:sz w:val="24"/>
          <w:szCs w:val="24"/>
        </w:rPr>
      </w:pPr>
    </w:p>
    <w:p w14:paraId="09673A37" w14:textId="19F4522A" w:rsidR="00500220" w:rsidRPr="00AD4675" w:rsidRDefault="00C23F95" w:rsidP="00981FC4">
      <w:pPr>
        <w:pStyle w:val="Heading1"/>
        <w:numPr>
          <w:ilvl w:val="0"/>
          <w:numId w:val="3"/>
        </w:numPr>
        <w:spacing w:before="120" w:line="240" w:lineRule="auto"/>
        <w:ind w:hanging="720"/>
        <w:rPr>
          <w:rFonts w:eastAsia="Times New Roman" w:cs="Times New Roman"/>
          <w:b/>
          <w:bCs/>
          <w:sz w:val="24"/>
          <w:szCs w:val="24"/>
        </w:rPr>
      </w:pPr>
      <w:bookmarkStart w:id="17" w:name="_Toc110002935"/>
      <w:r>
        <w:rPr>
          <w:rFonts w:eastAsia="Times New Roman" w:cs="Times New Roman"/>
          <w:b/>
          <w:bCs/>
          <w:sz w:val="24"/>
          <w:szCs w:val="24"/>
        </w:rPr>
        <w:t>Investīcijas</w:t>
      </w:r>
      <w:r w:rsidR="00500220" w:rsidRPr="00AD4675">
        <w:rPr>
          <w:rFonts w:eastAsia="Times New Roman" w:cs="Times New Roman"/>
          <w:b/>
          <w:bCs/>
          <w:sz w:val="24"/>
          <w:szCs w:val="24"/>
        </w:rPr>
        <w:t xml:space="preserve"> </w:t>
      </w:r>
      <w:r w:rsidR="00B607CB" w:rsidRPr="00AD4675">
        <w:rPr>
          <w:rFonts w:eastAsia="Times New Roman" w:cs="Times New Roman"/>
          <w:b/>
          <w:bCs/>
          <w:sz w:val="24"/>
          <w:szCs w:val="24"/>
        </w:rPr>
        <w:t xml:space="preserve">atskaites punkta </w:t>
      </w:r>
      <w:r w:rsidR="00500220" w:rsidRPr="00AD4675">
        <w:rPr>
          <w:rFonts w:eastAsia="Times New Roman" w:cs="Times New Roman"/>
          <w:b/>
          <w:bCs/>
          <w:sz w:val="24"/>
          <w:szCs w:val="24"/>
        </w:rPr>
        <w:t>īstenošanas nosacījumi</w:t>
      </w:r>
      <w:r w:rsidR="00C44E64" w:rsidRPr="00AD4675">
        <w:rPr>
          <w:rFonts w:eastAsia="Times New Roman" w:cs="Times New Roman"/>
          <w:b/>
          <w:bCs/>
          <w:sz w:val="24"/>
          <w:szCs w:val="24"/>
        </w:rPr>
        <w:t xml:space="preserve"> un finansējuma saņēmēja pienākumi</w:t>
      </w:r>
      <w:bookmarkEnd w:id="17"/>
    </w:p>
    <w:p w14:paraId="3CBEEE53" w14:textId="49716133" w:rsidR="009D383B" w:rsidRPr="001E26CF" w:rsidRDefault="00C23F95" w:rsidP="00981FC4">
      <w:pPr>
        <w:pStyle w:val="ListParagraph"/>
        <w:numPr>
          <w:ilvl w:val="1"/>
          <w:numId w:val="3"/>
        </w:numPr>
        <w:spacing w:before="120" w:after="0" w:line="240" w:lineRule="auto"/>
        <w:ind w:left="567" w:hanging="425"/>
        <w:contextualSpacing w:val="0"/>
        <w:jc w:val="both"/>
        <w:rPr>
          <w:rFonts w:ascii="Times New Roman" w:hAnsi="Times New Roman" w:cs="Times New Roman"/>
          <w:sz w:val="24"/>
          <w:szCs w:val="24"/>
        </w:rPr>
      </w:pPr>
      <w:r>
        <w:rPr>
          <w:rFonts w:ascii="Times New Roman" w:hAnsi="Times New Roman" w:cs="Times New Roman"/>
          <w:sz w:val="24"/>
          <w:szCs w:val="24"/>
        </w:rPr>
        <w:t>Investīcijas</w:t>
      </w:r>
      <w:r w:rsidR="00400169" w:rsidRPr="001E26CF">
        <w:rPr>
          <w:rFonts w:ascii="Times New Roman" w:hAnsi="Times New Roman" w:cs="Times New Roman"/>
          <w:sz w:val="24"/>
          <w:szCs w:val="24"/>
        </w:rPr>
        <w:t xml:space="preserve"> atskaites punkta </w:t>
      </w:r>
      <w:r w:rsidR="00DA02B7" w:rsidRPr="001E26CF">
        <w:rPr>
          <w:rFonts w:ascii="Times New Roman" w:hAnsi="Times New Roman" w:cs="Times New Roman"/>
          <w:sz w:val="24"/>
          <w:szCs w:val="24"/>
        </w:rPr>
        <w:t>ieviešanas teritorija – Latvijas Republika.</w:t>
      </w:r>
    </w:p>
    <w:p w14:paraId="09BD628A" w14:textId="540D06B0" w:rsidR="00A90EA5" w:rsidRPr="001E26CF" w:rsidRDefault="00541D27" w:rsidP="00981FC4">
      <w:pPr>
        <w:pStyle w:val="ListParagraph"/>
        <w:numPr>
          <w:ilvl w:val="1"/>
          <w:numId w:val="3"/>
        </w:numPr>
        <w:spacing w:before="120" w:after="0" w:line="240" w:lineRule="auto"/>
        <w:ind w:left="567" w:hanging="425"/>
        <w:contextualSpacing w:val="0"/>
        <w:jc w:val="both"/>
        <w:rPr>
          <w:rFonts w:ascii="Times New Roman" w:hAnsi="Times New Roman" w:cs="Times New Roman"/>
          <w:sz w:val="24"/>
          <w:szCs w:val="24"/>
        </w:rPr>
      </w:pPr>
      <w:r w:rsidRPr="001E26CF">
        <w:rPr>
          <w:rFonts w:ascii="Times New Roman" w:hAnsi="Times New Roman" w:cs="Times New Roman"/>
          <w:sz w:val="24"/>
          <w:szCs w:val="24"/>
        </w:rPr>
        <w:t>Finansējuma saņēmējs</w:t>
      </w:r>
      <w:r w:rsidR="00D84F09">
        <w:rPr>
          <w:rFonts w:ascii="Times New Roman" w:hAnsi="Times New Roman" w:cs="Times New Roman"/>
          <w:sz w:val="24"/>
          <w:szCs w:val="24"/>
        </w:rPr>
        <w:t xml:space="preserve"> </w:t>
      </w:r>
      <w:r w:rsidR="000C4993" w:rsidRPr="001E26CF">
        <w:rPr>
          <w:rFonts w:ascii="Times New Roman" w:hAnsi="Times New Roman" w:cs="Times New Roman"/>
          <w:sz w:val="24"/>
          <w:szCs w:val="24"/>
        </w:rPr>
        <w:t xml:space="preserve">mēneša laikā </w:t>
      </w:r>
      <w:r w:rsidRPr="001E26CF">
        <w:rPr>
          <w:rFonts w:ascii="Times New Roman" w:hAnsi="Times New Roman" w:cs="Times New Roman"/>
          <w:sz w:val="24"/>
          <w:szCs w:val="24"/>
        </w:rPr>
        <w:t xml:space="preserve">pēc </w:t>
      </w:r>
      <w:r w:rsidR="00B4168D" w:rsidRPr="001E26CF">
        <w:rPr>
          <w:rFonts w:ascii="Times New Roman" w:hAnsi="Times New Roman" w:cs="Times New Roman"/>
          <w:sz w:val="24"/>
          <w:szCs w:val="24"/>
        </w:rPr>
        <w:t>nozares ministrijas</w:t>
      </w:r>
      <w:r w:rsidRPr="001E26CF">
        <w:rPr>
          <w:rFonts w:ascii="Times New Roman" w:hAnsi="Times New Roman" w:cs="Times New Roman"/>
          <w:sz w:val="24"/>
          <w:szCs w:val="24"/>
        </w:rPr>
        <w:t xml:space="preserve"> uzaicinājuma </w:t>
      </w:r>
      <w:r w:rsidR="000C4993" w:rsidRPr="001E26CF">
        <w:rPr>
          <w:rFonts w:ascii="Times New Roman" w:hAnsi="Times New Roman" w:cs="Times New Roman"/>
          <w:sz w:val="24"/>
          <w:szCs w:val="24"/>
        </w:rPr>
        <w:t>sagatavo projektu un iesniedz to</w:t>
      </w:r>
      <w:r w:rsidRPr="001E26CF">
        <w:rPr>
          <w:rFonts w:ascii="Times New Roman" w:eastAsia="Times New Roman" w:hAnsi="Times New Roman" w:cs="Times New Roman"/>
          <w:sz w:val="24"/>
          <w:szCs w:val="24"/>
        </w:rPr>
        <w:t xml:space="preserve"> Kohēzijas politikas </w:t>
      </w:r>
      <w:r w:rsidR="000C4993" w:rsidRPr="001E26CF">
        <w:rPr>
          <w:rFonts w:ascii="Times New Roman" w:eastAsia="Times New Roman" w:hAnsi="Times New Roman" w:cs="Times New Roman"/>
          <w:sz w:val="24"/>
          <w:szCs w:val="24"/>
        </w:rPr>
        <w:t xml:space="preserve">fondu </w:t>
      </w:r>
      <w:r w:rsidRPr="001E26CF">
        <w:rPr>
          <w:rFonts w:ascii="Times New Roman" w:eastAsia="Times New Roman" w:hAnsi="Times New Roman" w:cs="Times New Roman"/>
          <w:sz w:val="24"/>
          <w:szCs w:val="24"/>
        </w:rPr>
        <w:t xml:space="preserve">vadības informācijas sistēmā (turpmāk – </w:t>
      </w:r>
      <w:r w:rsidR="000C4993" w:rsidRPr="001E26CF">
        <w:rPr>
          <w:rFonts w:ascii="Times New Roman" w:eastAsia="Times New Roman" w:hAnsi="Times New Roman" w:cs="Times New Roman"/>
          <w:sz w:val="24"/>
          <w:szCs w:val="24"/>
        </w:rPr>
        <w:t>vadības informācijas sistēma</w:t>
      </w:r>
      <w:r w:rsidRPr="001E26CF">
        <w:rPr>
          <w:rFonts w:ascii="Times New Roman" w:eastAsia="Times New Roman" w:hAnsi="Times New Roman" w:cs="Times New Roman"/>
          <w:sz w:val="24"/>
          <w:szCs w:val="24"/>
        </w:rPr>
        <w:t>), aizpildot definētās projekta sadaļas</w:t>
      </w:r>
      <w:r w:rsidR="009D383B" w:rsidRPr="001E26CF">
        <w:rPr>
          <w:rFonts w:ascii="Times New Roman" w:eastAsia="Times New Roman" w:hAnsi="Times New Roman" w:cs="Times New Roman"/>
          <w:sz w:val="24"/>
          <w:szCs w:val="24"/>
        </w:rPr>
        <w:t>.</w:t>
      </w:r>
      <w:r w:rsidR="009144C4" w:rsidRPr="001E26CF">
        <w:rPr>
          <w:rFonts w:ascii="Times New Roman" w:hAnsi="Times New Roman" w:cs="Times New Roman"/>
          <w:sz w:val="24"/>
          <w:szCs w:val="24"/>
        </w:rPr>
        <w:t xml:space="preserve"> Ja uz projekta iesniegšanas brīdi vēl nav nodrošināta vadības informācijas sistēmas funkcionalitāte, finansējuma saņēmējs iesniedz projektu nozares ministrijai elektronisk</w:t>
      </w:r>
      <w:r w:rsidR="0004782C">
        <w:rPr>
          <w:rFonts w:ascii="Times New Roman" w:hAnsi="Times New Roman" w:cs="Times New Roman"/>
          <w:sz w:val="24"/>
          <w:szCs w:val="24"/>
        </w:rPr>
        <w:t>a</w:t>
      </w:r>
      <w:r w:rsidR="009144C4" w:rsidRPr="001E26CF">
        <w:rPr>
          <w:rFonts w:ascii="Times New Roman" w:hAnsi="Times New Roman" w:cs="Times New Roman"/>
          <w:sz w:val="24"/>
          <w:szCs w:val="24"/>
        </w:rPr>
        <w:t xml:space="preserve"> dokumenta veidā</w:t>
      </w:r>
      <w:r w:rsidR="0004782C">
        <w:rPr>
          <w:rFonts w:ascii="Times New Roman" w:hAnsi="Times New Roman" w:cs="Times New Roman"/>
          <w:sz w:val="24"/>
          <w:szCs w:val="24"/>
        </w:rPr>
        <w:t>, kas</w:t>
      </w:r>
      <w:r w:rsidR="001E26CF" w:rsidRPr="001E26CF">
        <w:rPr>
          <w:rFonts w:ascii="Times New Roman" w:hAnsi="Times New Roman" w:cs="Times New Roman"/>
          <w:sz w:val="24"/>
          <w:szCs w:val="24"/>
        </w:rPr>
        <w:t xml:space="preserve"> parakstīt</w:t>
      </w:r>
      <w:r w:rsidR="0004782C">
        <w:rPr>
          <w:rFonts w:ascii="Times New Roman" w:hAnsi="Times New Roman" w:cs="Times New Roman"/>
          <w:sz w:val="24"/>
          <w:szCs w:val="24"/>
        </w:rPr>
        <w:t>s</w:t>
      </w:r>
      <w:r w:rsidR="001E26CF" w:rsidRPr="001E26CF">
        <w:rPr>
          <w:rFonts w:ascii="Times New Roman" w:hAnsi="Times New Roman" w:cs="Times New Roman"/>
          <w:sz w:val="24"/>
          <w:szCs w:val="24"/>
        </w:rPr>
        <w:t xml:space="preserve"> ar drošu </w:t>
      </w:r>
      <w:r w:rsidR="00CD0C54">
        <w:rPr>
          <w:rFonts w:ascii="Times New Roman" w:hAnsi="Times New Roman" w:cs="Times New Roman"/>
          <w:sz w:val="24"/>
          <w:szCs w:val="24"/>
        </w:rPr>
        <w:t xml:space="preserve">elektronisko </w:t>
      </w:r>
      <w:r w:rsidR="001E26CF" w:rsidRPr="001E26CF">
        <w:rPr>
          <w:rFonts w:ascii="Times New Roman" w:hAnsi="Times New Roman" w:cs="Times New Roman"/>
          <w:sz w:val="24"/>
          <w:szCs w:val="24"/>
        </w:rPr>
        <w:t>parakstu</w:t>
      </w:r>
      <w:r w:rsidR="0004782C">
        <w:rPr>
          <w:rFonts w:ascii="Times New Roman" w:hAnsi="Times New Roman" w:cs="Times New Roman"/>
          <w:sz w:val="24"/>
          <w:szCs w:val="24"/>
        </w:rPr>
        <w:t xml:space="preserve"> un</w:t>
      </w:r>
      <w:r w:rsidR="00B5379F">
        <w:rPr>
          <w:rFonts w:ascii="Times New Roman" w:hAnsi="Times New Roman" w:cs="Times New Roman"/>
          <w:sz w:val="24"/>
          <w:szCs w:val="24"/>
        </w:rPr>
        <w:t xml:space="preserve"> satur laika zīmogu</w:t>
      </w:r>
      <w:r w:rsidR="009144C4" w:rsidRPr="001E26CF">
        <w:rPr>
          <w:rFonts w:ascii="Times New Roman" w:hAnsi="Times New Roman" w:cs="Times New Roman"/>
          <w:sz w:val="24"/>
          <w:szCs w:val="24"/>
        </w:rPr>
        <w:t>.</w:t>
      </w:r>
    </w:p>
    <w:p w14:paraId="7D3F50F8" w14:textId="4ED0BB4E" w:rsidR="00104BB1" w:rsidRPr="00640673" w:rsidRDefault="00104BB1" w:rsidP="00981FC4">
      <w:pPr>
        <w:pStyle w:val="ListParagraph"/>
        <w:numPr>
          <w:ilvl w:val="1"/>
          <w:numId w:val="3"/>
        </w:numPr>
        <w:spacing w:before="120" w:after="0" w:line="240" w:lineRule="auto"/>
        <w:ind w:left="567" w:hanging="425"/>
        <w:contextualSpacing w:val="0"/>
        <w:jc w:val="both"/>
        <w:rPr>
          <w:rFonts w:ascii="Times New Roman" w:hAnsi="Times New Roman" w:cs="Times New Roman"/>
          <w:sz w:val="24"/>
          <w:szCs w:val="24"/>
        </w:rPr>
      </w:pPr>
      <w:r w:rsidRPr="00640673">
        <w:rPr>
          <w:rFonts w:ascii="Times New Roman" w:hAnsi="Times New Roman" w:cs="Times New Roman"/>
          <w:sz w:val="24"/>
          <w:szCs w:val="24"/>
        </w:rPr>
        <w:t xml:space="preserve">Projektu vadības informācijas sistēmā </w:t>
      </w:r>
      <w:r w:rsidR="005335B2">
        <w:rPr>
          <w:rFonts w:ascii="Times New Roman" w:hAnsi="Times New Roman" w:cs="Times New Roman"/>
          <w:sz w:val="24"/>
          <w:szCs w:val="24"/>
        </w:rPr>
        <w:t xml:space="preserve">vai iesniegtu elektroniskā dokumenta veidā </w:t>
      </w:r>
      <w:r w:rsidRPr="00640673">
        <w:rPr>
          <w:rFonts w:ascii="Times New Roman" w:hAnsi="Times New Roman" w:cs="Times New Roman"/>
          <w:sz w:val="24"/>
          <w:szCs w:val="24"/>
        </w:rPr>
        <w:t xml:space="preserve">vērtē nozares ministrija. Nozares ministrija vērtējumu par projektu </w:t>
      </w:r>
      <w:proofErr w:type="spellStart"/>
      <w:r w:rsidRPr="00640673">
        <w:rPr>
          <w:rFonts w:ascii="Times New Roman" w:hAnsi="Times New Roman" w:cs="Times New Roman"/>
          <w:sz w:val="24"/>
          <w:szCs w:val="24"/>
        </w:rPr>
        <w:t>nosūta</w:t>
      </w:r>
      <w:proofErr w:type="spellEnd"/>
      <w:r w:rsidRPr="00640673">
        <w:rPr>
          <w:rFonts w:ascii="Times New Roman" w:hAnsi="Times New Roman" w:cs="Times New Roman"/>
          <w:sz w:val="24"/>
          <w:szCs w:val="24"/>
        </w:rPr>
        <w:t xml:space="preserve"> finansējuma saņēmējam ne vēlāk kā mēneša laikā kopš finansējuma saņēmējs ir ievadījis projekta datus vadības informācijas sistēmā</w:t>
      </w:r>
      <w:r w:rsidR="003930C6">
        <w:rPr>
          <w:rFonts w:ascii="Times New Roman" w:hAnsi="Times New Roman" w:cs="Times New Roman"/>
          <w:sz w:val="24"/>
          <w:szCs w:val="24"/>
        </w:rPr>
        <w:t xml:space="preserve"> vai iesniedzis elektroniskā dokumenta veidā</w:t>
      </w:r>
      <w:r w:rsidRPr="00640673">
        <w:rPr>
          <w:rFonts w:ascii="Times New Roman" w:hAnsi="Times New Roman" w:cs="Times New Roman"/>
          <w:sz w:val="24"/>
          <w:szCs w:val="24"/>
        </w:rPr>
        <w:t xml:space="preserve">. Projekta vērtējums var būt </w:t>
      </w:r>
      <w:r w:rsidR="0013697A" w:rsidRPr="00640673">
        <w:rPr>
          <w:rFonts w:ascii="Times New Roman" w:hAnsi="Times New Roman" w:cs="Times New Roman"/>
          <w:sz w:val="24"/>
          <w:szCs w:val="24"/>
        </w:rPr>
        <w:t>“</w:t>
      </w:r>
      <w:r w:rsidRPr="00640673">
        <w:rPr>
          <w:rFonts w:ascii="Times New Roman" w:hAnsi="Times New Roman" w:cs="Times New Roman"/>
          <w:sz w:val="24"/>
          <w:szCs w:val="24"/>
        </w:rPr>
        <w:t>atbilst</w:t>
      </w:r>
      <w:r w:rsidR="0013697A" w:rsidRPr="00640673">
        <w:rPr>
          <w:rFonts w:ascii="Times New Roman" w:hAnsi="Times New Roman" w:cs="Times New Roman"/>
          <w:sz w:val="24"/>
          <w:szCs w:val="24"/>
        </w:rPr>
        <w:t>”</w:t>
      </w:r>
      <w:r w:rsidRPr="00640673">
        <w:rPr>
          <w:rFonts w:ascii="Times New Roman" w:hAnsi="Times New Roman" w:cs="Times New Roman"/>
          <w:sz w:val="24"/>
          <w:szCs w:val="24"/>
        </w:rPr>
        <w:t xml:space="preserve">, </w:t>
      </w:r>
      <w:r w:rsidR="0013697A" w:rsidRPr="00640673">
        <w:rPr>
          <w:rFonts w:ascii="Times New Roman" w:hAnsi="Times New Roman" w:cs="Times New Roman"/>
          <w:sz w:val="24"/>
          <w:szCs w:val="24"/>
        </w:rPr>
        <w:t>“</w:t>
      </w:r>
      <w:r w:rsidRPr="00640673">
        <w:rPr>
          <w:rFonts w:ascii="Times New Roman" w:hAnsi="Times New Roman" w:cs="Times New Roman"/>
          <w:sz w:val="24"/>
          <w:szCs w:val="24"/>
        </w:rPr>
        <w:t>neatbilst</w:t>
      </w:r>
      <w:r w:rsidR="0013697A" w:rsidRPr="00640673">
        <w:rPr>
          <w:rFonts w:ascii="Times New Roman" w:hAnsi="Times New Roman" w:cs="Times New Roman"/>
          <w:sz w:val="24"/>
          <w:szCs w:val="24"/>
        </w:rPr>
        <w:t>”</w:t>
      </w:r>
      <w:r w:rsidRPr="00640673">
        <w:rPr>
          <w:rFonts w:ascii="Times New Roman" w:hAnsi="Times New Roman" w:cs="Times New Roman"/>
          <w:sz w:val="24"/>
          <w:szCs w:val="24"/>
        </w:rPr>
        <w:t xml:space="preserve"> vai </w:t>
      </w:r>
      <w:r w:rsidR="004C2A06" w:rsidRPr="00640673">
        <w:rPr>
          <w:rFonts w:ascii="Times New Roman" w:hAnsi="Times New Roman" w:cs="Times New Roman"/>
          <w:sz w:val="24"/>
          <w:szCs w:val="24"/>
        </w:rPr>
        <w:t>“</w:t>
      </w:r>
      <w:r w:rsidRPr="00640673">
        <w:rPr>
          <w:rFonts w:ascii="Times New Roman" w:hAnsi="Times New Roman" w:cs="Times New Roman"/>
          <w:sz w:val="24"/>
          <w:szCs w:val="24"/>
        </w:rPr>
        <w:t>novēršami trūkumi</w:t>
      </w:r>
      <w:r w:rsidR="004C2A06" w:rsidRPr="00640673">
        <w:rPr>
          <w:rFonts w:ascii="Times New Roman" w:hAnsi="Times New Roman" w:cs="Times New Roman"/>
          <w:sz w:val="24"/>
          <w:szCs w:val="24"/>
        </w:rPr>
        <w:t>”</w:t>
      </w:r>
      <w:r w:rsidRPr="00640673">
        <w:rPr>
          <w:rFonts w:ascii="Times New Roman" w:hAnsi="Times New Roman" w:cs="Times New Roman"/>
          <w:sz w:val="24"/>
          <w:szCs w:val="24"/>
        </w:rPr>
        <w:t>.</w:t>
      </w:r>
      <w:r w:rsidRPr="00640673" w:rsidDel="00B4168D">
        <w:rPr>
          <w:rFonts w:ascii="Times New Roman" w:hAnsi="Times New Roman" w:cs="Times New Roman"/>
          <w:sz w:val="24"/>
          <w:szCs w:val="24"/>
        </w:rPr>
        <w:t xml:space="preserve"> </w:t>
      </w:r>
    </w:p>
    <w:p w14:paraId="230100E1" w14:textId="6E27F5D7" w:rsidR="0029435B" w:rsidRPr="00640673" w:rsidRDefault="00E16CD2" w:rsidP="00981FC4">
      <w:pPr>
        <w:pStyle w:val="ListParagraph"/>
        <w:numPr>
          <w:ilvl w:val="1"/>
          <w:numId w:val="3"/>
        </w:numPr>
        <w:spacing w:before="120" w:after="0" w:line="240" w:lineRule="auto"/>
        <w:ind w:left="567" w:hanging="425"/>
        <w:contextualSpacing w:val="0"/>
        <w:jc w:val="both"/>
        <w:rPr>
          <w:rFonts w:ascii="Times New Roman" w:hAnsi="Times New Roman" w:cs="Times New Roman"/>
          <w:sz w:val="24"/>
          <w:szCs w:val="24"/>
        </w:rPr>
      </w:pPr>
      <w:r w:rsidRPr="00640673">
        <w:rPr>
          <w:rFonts w:ascii="Times New Roman" w:hAnsi="Times New Roman" w:cs="Times New Roman"/>
          <w:sz w:val="24"/>
          <w:szCs w:val="24"/>
        </w:rPr>
        <w:t xml:space="preserve">Atbilstoši </w:t>
      </w:r>
      <w:r w:rsidR="00640673" w:rsidRPr="00640673">
        <w:rPr>
          <w:rFonts w:ascii="Times New Roman" w:hAnsi="Times New Roman" w:cs="Times New Roman"/>
          <w:sz w:val="24"/>
          <w:szCs w:val="24"/>
        </w:rPr>
        <w:t xml:space="preserve">MK </w:t>
      </w:r>
      <w:r w:rsidR="00457BC3">
        <w:rPr>
          <w:rFonts w:ascii="Times New Roman" w:hAnsi="Times New Roman" w:cs="Times New Roman"/>
          <w:sz w:val="24"/>
          <w:szCs w:val="24"/>
        </w:rPr>
        <w:t xml:space="preserve">noteikumos </w:t>
      </w:r>
      <w:r w:rsidR="00640673" w:rsidRPr="00640673">
        <w:rPr>
          <w:rFonts w:ascii="Times New Roman" w:hAnsi="Times New Roman" w:cs="Times New Roman"/>
          <w:sz w:val="24"/>
          <w:szCs w:val="24"/>
        </w:rPr>
        <w:t>Nr.</w:t>
      </w:r>
      <w:r w:rsidR="00B40CBF">
        <w:rPr>
          <w:rFonts w:ascii="Times New Roman" w:hAnsi="Times New Roman" w:cs="Times New Roman"/>
          <w:sz w:val="24"/>
          <w:szCs w:val="24"/>
        </w:rPr>
        <w:t> </w:t>
      </w:r>
      <w:r w:rsidR="00640673" w:rsidRPr="00640673">
        <w:rPr>
          <w:rFonts w:ascii="Times New Roman" w:hAnsi="Times New Roman" w:cs="Times New Roman"/>
          <w:sz w:val="24"/>
          <w:szCs w:val="24"/>
        </w:rPr>
        <w:t>621</w:t>
      </w:r>
      <w:r w:rsidRPr="00640673">
        <w:rPr>
          <w:rFonts w:ascii="Times New Roman" w:hAnsi="Times New Roman" w:cs="Times New Roman"/>
          <w:sz w:val="24"/>
          <w:szCs w:val="24"/>
        </w:rPr>
        <w:t xml:space="preserve"> noteiktajam projektu vadības informācijas sistēmā vērtē nozares ministrija. Projektu vērtē atbilstoši šādiem kritērijiem</w:t>
      </w:r>
      <w:r w:rsidR="00104BB1" w:rsidRPr="00640673">
        <w:rPr>
          <w:rFonts w:ascii="Times New Roman" w:hAnsi="Times New Roman" w:cs="Times New Roman"/>
          <w:sz w:val="24"/>
          <w:szCs w:val="24"/>
        </w:rPr>
        <w:t>:</w:t>
      </w:r>
    </w:p>
    <w:p w14:paraId="63AB4D22" w14:textId="14A717A4" w:rsidR="0029435B" w:rsidRPr="006D264F" w:rsidRDefault="00104BB1" w:rsidP="00981FC4">
      <w:pPr>
        <w:pStyle w:val="ListParagraph"/>
        <w:numPr>
          <w:ilvl w:val="2"/>
          <w:numId w:val="3"/>
        </w:numPr>
        <w:spacing w:before="120" w:after="0" w:line="240" w:lineRule="auto"/>
        <w:ind w:left="1134" w:hanging="425"/>
        <w:contextualSpacing w:val="0"/>
        <w:jc w:val="both"/>
        <w:rPr>
          <w:rFonts w:ascii="Times New Roman" w:eastAsia="Times New Roman" w:hAnsi="Times New Roman" w:cs="Times New Roman"/>
          <w:iCs/>
          <w:sz w:val="24"/>
          <w:szCs w:val="24"/>
        </w:rPr>
      </w:pPr>
      <w:r w:rsidRPr="006D264F">
        <w:rPr>
          <w:rFonts w:ascii="Times New Roman" w:eastAsia="Times New Roman" w:hAnsi="Times New Roman" w:cs="Times New Roman"/>
          <w:iCs/>
          <w:sz w:val="24"/>
          <w:szCs w:val="24"/>
        </w:rPr>
        <w:t xml:space="preserve">projekts atbilst </w:t>
      </w:r>
      <w:r w:rsidR="006D264F" w:rsidRPr="006D264F">
        <w:rPr>
          <w:rFonts w:ascii="Times New Roman" w:eastAsia="Times New Roman" w:hAnsi="Times New Roman" w:cs="Times New Roman"/>
          <w:iCs/>
          <w:sz w:val="24"/>
          <w:szCs w:val="24"/>
        </w:rPr>
        <w:t>investīcijas mērķim – atbilstoši šī ziņojuma 2.1.</w:t>
      </w:r>
      <w:r w:rsidR="00622ED9">
        <w:rPr>
          <w:rFonts w:ascii="Times New Roman" w:eastAsia="Times New Roman" w:hAnsi="Times New Roman" w:cs="Times New Roman"/>
          <w:iCs/>
          <w:sz w:val="24"/>
          <w:szCs w:val="24"/>
        </w:rPr>
        <w:t xml:space="preserve">, </w:t>
      </w:r>
      <w:r w:rsidR="006D264F" w:rsidRPr="006D264F">
        <w:rPr>
          <w:rFonts w:ascii="Times New Roman" w:eastAsia="Times New Roman" w:hAnsi="Times New Roman" w:cs="Times New Roman"/>
          <w:iCs/>
          <w:sz w:val="24"/>
          <w:szCs w:val="24"/>
        </w:rPr>
        <w:t>2.2.</w:t>
      </w:r>
      <w:r w:rsidR="00622ED9">
        <w:rPr>
          <w:rFonts w:ascii="Times New Roman" w:eastAsia="Times New Roman" w:hAnsi="Times New Roman" w:cs="Times New Roman"/>
          <w:iCs/>
          <w:sz w:val="24"/>
          <w:szCs w:val="24"/>
        </w:rPr>
        <w:t xml:space="preserve"> un 2.3.</w:t>
      </w:r>
      <w:r w:rsidR="006D264F" w:rsidRPr="006D264F">
        <w:rPr>
          <w:rFonts w:ascii="Times New Roman" w:eastAsia="Times New Roman" w:hAnsi="Times New Roman" w:cs="Times New Roman"/>
          <w:iCs/>
          <w:sz w:val="24"/>
          <w:szCs w:val="24"/>
        </w:rPr>
        <w:t xml:space="preserve"> apakšpunktam</w:t>
      </w:r>
      <w:r w:rsidR="003017A4">
        <w:rPr>
          <w:rFonts w:ascii="Times New Roman" w:eastAsia="Times New Roman" w:hAnsi="Times New Roman" w:cs="Times New Roman"/>
          <w:iCs/>
          <w:sz w:val="24"/>
          <w:szCs w:val="24"/>
        </w:rPr>
        <w:t>;</w:t>
      </w:r>
    </w:p>
    <w:p w14:paraId="3347C2E9" w14:textId="4E5B43A2" w:rsidR="00E16CD2" w:rsidRDefault="00104BB1" w:rsidP="00981FC4">
      <w:pPr>
        <w:pStyle w:val="ListParagraph"/>
        <w:numPr>
          <w:ilvl w:val="2"/>
          <w:numId w:val="3"/>
        </w:numPr>
        <w:spacing w:before="120" w:after="0" w:line="240" w:lineRule="auto"/>
        <w:ind w:left="1134" w:hanging="425"/>
        <w:contextualSpacing w:val="0"/>
        <w:jc w:val="both"/>
        <w:rPr>
          <w:rFonts w:ascii="Times New Roman" w:hAnsi="Times New Roman" w:cs="Times New Roman"/>
          <w:sz w:val="24"/>
          <w:szCs w:val="24"/>
          <w:shd w:val="clear" w:color="auto" w:fill="FFFFFF"/>
        </w:rPr>
      </w:pPr>
      <w:r w:rsidRPr="002D247C">
        <w:rPr>
          <w:rFonts w:ascii="Times New Roman" w:hAnsi="Times New Roman" w:cs="Times New Roman"/>
          <w:sz w:val="24"/>
          <w:szCs w:val="24"/>
          <w:shd w:val="clear" w:color="auto" w:fill="FFFFFF"/>
        </w:rPr>
        <w:lastRenderedPageBreak/>
        <w:t xml:space="preserve">projekta darbības atbilst Atveseļošanas </w:t>
      </w:r>
      <w:r w:rsidR="0029435B" w:rsidRPr="002D247C">
        <w:rPr>
          <w:rFonts w:ascii="Times New Roman" w:hAnsi="Times New Roman" w:cs="Times New Roman"/>
          <w:sz w:val="24"/>
          <w:szCs w:val="24"/>
          <w:shd w:val="clear" w:color="auto" w:fill="FFFFFF"/>
        </w:rPr>
        <w:t>fonda</w:t>
      </w:r>
      <w:r w:rsidRPr="002D247C">
        <w:rPr>
          <w:rFonts w:ascii="Times New Roman" w:hAnsi="Times New Roman" w:cs="Times New Roman"/>
          <w:sz w:val="24"/>
          <w:szCs w:val="24"/>
          <w:shd w:val="clear" w:color="auto" w:fill="FFFFFF"/>
        </w:rPr>
        <w:t xml:space="preserve"> plānā noteiktajam</w:t>
      </w:r>
      <w:r w:rsidR="00E16CD2" w:rsidRPr="002D247C">
        <w:rPr>
          <w:rFonts w:ascii="Times New Roman" w:hAnsi="Times New Roman" w:cs="Times New Roman"/>
          <w:sz w:val="24"/>
          <w:szCs w:val="24"/>
          <w:shd w:val="clear" w:color="auto" w:fill="FFFFFF"/>
        </w:rPr>
        <w:t xml:space="preserve"> investīciju mērķim </w:t>
      </w:r>
      <w:r w:rsidR="00C30C08" w:rsidRPr="00954415">
        <w:rPr>
          <w:rFonts w:ascii="Times New Roman" w:hAnsi="Times New Roman" w:cs="Times New Roman"/>
          <w:sz w:val="24"/>
          <w:szCs w:val="24"/>
        </w:rPr>
        <w:t>–</w:t>
      </w:r>
      <w:r w:rsidR="00E16CD2" w:rsidRPr="002D247C">
        <w:rPr>
          <w:rFonts w:ascii="Times New Roman" w:hAnsi="Times New Roman" w:cs="Times New Roman"/>
          <w:sz w:val="24"/>
          <w:szCs w:val="24"/>
          <w:shd w:val="clear" w:color="auto" w:fill="FFFFFF"/>
        </w:rPr>
        <w:t xml:space="preserve"> </w:t>
      </w:r>
      <w:r w:rsidR="00AC0F6C" w:rsidRPr="002D247C">
        <w:rPr>
          <w:rFonts w:ascii="Times New Roman" w:hAnsi="Times New Roman" w:cs="Times New Roman"/>
          <w:sz w:val="24"/>
          <w:szCs w:val="24"/>
          <w:shd w:val="clear" w:color="auto" w:fill="FFFFFF"/>
        </w:rPr>
        <w:t>uzlabot sabiedrības veselības politikas plānošanu un īstenošanu, t</w:t>
      </w:r>
      <w:r w:rsidR="000E5577" w:rsidRPr="002D247C">
        <w:rPr>
          <w:rFonts w:ascii="Times New Roman" w:hAnsi="Times New Roman" w:cs="Times New Roman"/>
          <w:sz w:val="24"/>
          <w:szCs w:val="24"/>
          <w:shd w:val="clear" w:color="auto" w:fill="FFFFFF"/>
        </w:rPr>
        <w:t xml:space="preserve">ajā </w:t>
      </w:r>
      <w:r w:rsidR="00AC0F6C" w:rsidRPr="002D247C">
        <w:rPr>
          <w:rFonts w:ascii="Times New Roman" w:hAnsi="Times New Roman" w:cs="Times New Roman"/>
          <w:sz w:val="24"/>
          <w:szCs w:val="24"/>
          <w:shd w:val="clear" w:color="auto" w:fill="FFFFFF"/>
        </w:rPr>
        <w:t>sk</w:t>
      </w:r>
      <w:r w:rsidR="000E5577" w:rsidRPr="002D247C">
        <w:rPr>
          <w:rFonts w:ascii="Times New Roman" w:hAnsi="Times New Roman" w:cs="Times New Roman"/>
          <w:sz w:val="24"/>
          <w:szCs w:val="24"/>
          <w:shd w:val="clear" w:color="auto" w:fill="FFFFFF"/>
        </w:rPr>
        <w:t>aitā</w:t>
      </w:r>
      <w:r w:rsidR="00AC0F6C" w:rsidRPr="002D247C">
        <w:rPr>
          <w:rFonts w:ascii="Times New Roman" w:hAnsi="Times New Roman" w:cs="Times New Roman"/>
          <w:sz w:val="24"/>
          <w:szCs w:val="24"/>
          <w:shd w:val="clear" w:color="auto" w:fill="FFFFFF"/>
        </w:rPr>
        <w:t xml:space="preserve"> kontekstā ar nepieciešamību nodrošināt epidemioloģisko drošību, attīstot uz pacientu vērstus ilgtspējīgus integrētus veselības aprūpes pakalpojumus</w:t>
      </w:r>
      <w:r w:rsidR="002D247C" w:rsidRPr="002D247C">
        <w:rPr>
          <w:rFonts w:ascii="Times New Roman" w:hAnsi="Times New Roman" w:cs="Times New Roman"/>
          <w:sz w:val="24"/>
          <w:szCs w:val="24"/>
          <w:shd w:val="clear" w:color="auto" w:fill="FFFFFF"/>
        </w:rPr>
        <w:t xml:space="preserve"> un p</w:t>
      </w:r>
      <w:r w:rsidR="00AC0F6C" w:rsidRPr="002D247C">
        <w:rPr>
          <w:rFonts w:ascii="Times New Roman" w:hAnsi="Times New Roman" w:cs="Times New Roman"/>
          <w:sz w:val="24"/>
          <w:szCs w:val="24"/>
          <w:shd w:val="clear" w:color="auto" w:fill="FFFFFF"/>
        </w:rPr>
        <w:t>ētījuma rezultāt</w:t>
      </w:r>
      <w:r w:rsidR="002D247C" w:rsidRPr="002D247C">
        <w:rPr>
          <w:rFonts w:ascii="Times New Roman" w:hAnsi="Times New Roman" w:cs="Times New Roman"/>
          <w:sz w:val="24"/>
          <w:szCs w:val="24"/>
          <w:shd w:val="clear" w:color="auto" w:fill="FFFFFF"/>
        </w:rPr>
        <w:t>us</w:t>
      </w:r>
      <w:r w:rsidR="00AC0F6C" w:rsidRPr="002D247C">
        <w:rPr>
          <w:rFonts w:ascii="Times New Roman" w:hAnsi="Times New Roman" w:cs="Times New Roman"/>
          <w:sz w:val="24"/>
          <w:szCs w:val="24"/>
          <w:shd w:val="clear" w:color="auto" w:fill="FFFFFF"/>
        </w:rPr>
        <w:t xml:space="preserve"> izmanto</w:t>
      </w:r>
      <w:r w:rsidR="002D247C" w:rsidRPr="002D247C">
        <w:rPr>
          <w:rFonts w:ascii="Times New Roman" w:hAnsi="Times New Roman" w:cs="Times New Roman"/>
          <w:sz w:val="24"/>
          <w:szCs w:val="24"/>
          <w:shd w:val="clear" w:color="auto" w:fill="FFFFFF"/>
        </w:rPr>
        <w:t>jot</w:t>
      </w:r>
      <w:r w:rsidR="00AC0F6C" w:rsidRPr="002D247C">
        <w:rPr>
          <w:rFonts w:ascii="Times New Roman" w:hAnsi="Times New Roman" w:cs="Times New Roman"/>
          <w:sz w:val="24"/>
          <w:szCs w:val="24"/>
          <w:shd w:val="clear" w:color="auto" w:fill="FFFFFF"/>
        </w:rPr>
        <w:t xml:space="preserve"> sabiedrības veselības politikas pilnveidošanai</w:t>
      </w:r>
      <w:r w:rsidR="003017A4">
        <w:rPr>
          <w:rFonts w:ascii="Times New Roman" w:hAnsi="Times New Roman" w:cs="Times New Roman"/>
          <w:sz w:val="24"/>
          <w:szCs w:val="24"/>
          <w:shd w:val="clear" w:color="auto" w:fill="FFFFFF"/>
        </w:rPr>
        <w:t>;</w:t>
      </w:r>
    </w:p>
    <w:p w14:paraId="567969ED" w14:textId="77777777" w:rsidR="00E71298" w:rsidRPr="00E71298" w:rsidRDefault="00B5379F" w:rsidP="00981FC4">
      <w:pPr>
        <w:pStyle w:val="ListParagraph"/>
        <w:numPr>
          <w:ilvl w:val="2"/>
          <w:numId w:val="3"/>
        </w:numPr>
        <w:spacing w:before="120" w:after="0" w:line="240" w:lineRule="auto"/>
        <w:ind w:left="1134" w:hanging="425"/>
        <w:contextualSpacing w:val="0"/>
        <w:jc w:val="both"/>
        <w:rPr>
          <w:rFonts w:ascii="Times New Roman" w:hAnsi="Times New Roman" w:cs="Times New Roman"/>
          <w:sz w:val="24"/>
          <w:szCs w:val="24"/>
          <w:shd w:val="clear" w:color="auto" w:fill="FFFFFF"/>
        </w:rPr>
      </w:pPr>
      <w:r>
        <w:rPr>
          <w:rFonts w:ascii="Times New Roman" w:hAnsi="Times New Roman" w:cs="Times New Roman"/>
          <w:sz w:val="24"/>
          <w:szCs w:val="24"/>
        </w:rPr>
        <w:t>projekta ievaros</w:t>
      </w:r>
      <w:r w:rsidR="00E71298">
        <w:rPr>
          <w:rFonts w:ascii="Times New Roman" w:hAnsi="Times New Roman" w:cs="Times New Roman"/>
          <w:sz w:val="24"/>
          <w:szCs w:val="24"/>
        </w:rPr>
        <w:t xml:space="preserve"> plānots:</w:t>
      </w:r>
    </w:p>
    <w:p w14:paraId="1E3E78F7" w14:textId="452EE367" w:rsidR="00B5379F" w:rsidRPr="002D247C" w:rsidRDefault="00B5379F" w:rsidP="00E71298">
      <w:pPr>
        <w:pStyle w:val="ListParagraph"/>
        <w:numPr>
          <w:ilvl w:val="3"/>
          <w:numId w:val="3"/>
        </w:numPr>
        <w:spacing w:before="120" w:after="0" w:line="240" w:lineRule="auto"/>
        <w:ind w:left="1418" w:firstLine="0"/>
        <w:contextualSpacing w:val="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izstrādāt un pieņemt metodik</w:t>
      </w:r>
      <w:r w:rsidR="00E71298">
        <w:rPr>
          <w:rFonts w:ascii="Times New Roman" w:hAnsi="Times New Roman" w:cs="Times New Roman"/>
          <w:sz w:val="24"/>
          <w:szCs w:val="24"/>
        </w:rPr>
        <w:t>u</w:t>
      </w:r>
      <w:r>
        <w:rPr>
          <w:rFonts w:ascii="Times New Roman" w:hAnsi="Times New Roman" w:cs="Times New Roman"/>
          <w:sz w:val="24"/>
          <w:szCs w:val="24"/>
        </w:rPr>
        <w:t xml:space="preserve"> </w:t>
      </w:r>
      <w:r w:rsidRPr="00172E6B">
        <w:rPr>
          <w:rFonts w:ascii="Times New Roman" w:hAnsi="Times New Roman" w:cs="Times New Roman"/>
          <w:sz w:val="24"/>
          <w:szCs w:val="24"/>
        </w:rPr>
        <w:t>trīs pētījumiem ar mērķi uzlabot sabiedrības veselības politikas plānošanu un īstenošanu mikroorganismu rezistences, vakcinācijas un infekcij</w:t>
      </w:r>
      <w:r>
        <w:rPr>
          <w:rFonts w:ascii="Times New Roman" w:hAnsi="Times New Roman" w:cs="Times New Roman"/>
          <w:sz w:val="24"/>
          <w:szCs w:val="24"/>
        </w:rPr>
        <w:t>as</w:t>
      </w:r>
      <w:r w:rsidRPr="00172E6B">
        <w:rPr>
          <w:rFonts w:ascii="Times New Roman" w:hAnsi="Times New Roman" w:cs="Times New Roman"/>
          <w:sz w:val="24"/>
          <w:szCs w:val="24"/>
        </w:rPr>
        <w:t xml:space="preserve"> slimību jomā</w:t>
      </w:r>
      <w:r>
        <w:rPr>
          <w:rFonts w:ascii="Times New Roman" w:hAnsi="Times New Roman" w:cs="Times New Roman"/>
          <w:sz w:val="24"/>
          <w:szCs w:val="24"/>
        </w:rPr>
        <w:t>;</w:t>
      </w:r>
    </w:p>
    <w:p w14:paraId="75D62395" w14:textId="77777777" w:rsidR="006A3509" w:rsidRDefault="00E71298" w:rsidP="006A3509">
      <w:pPr>
        <w:pStyle w:val="ListParagraph"/>
        <w:numPr>
          <w:ilvl w:val="3"/>
          <w:numId w:val="3"/>
        </w:numPr>
        <w:spacing w:before="120" w:after="0" w:line="240" w:lineRule="auto"/>
        <w:ind w:left="1418" w:firstLine="0"/>
        <w:contextualSpacing w:val="0"/>
        <w:jc w:val="both"/>
        <w:rPr>
          <w:rFonts w:ascii="Times New Roman" w:hAnsi="Times New Roman" w:cs="Times New Roman"/>
          <w:sz w:val="24"/>
          <w:szCs w:val="24"/>
        </w:rPr>
      </w:pPr>
      <w:r w:rsidRPr="00E71298">
        <w:rPr>
          <w:rFonts w:ascii="Times New Roman" w:hAnsi="Times New Roman" w:cs="Times New Roman"/>
          <w:sz w:val="24"/>
          <w:szCs w:val="24"/>
        </w:rPr>
        <w:t xml:space="preserve"> </w:t>
      </w:r>
      <w:r w:rsidR="00D61984" w:rsidRPr="00E71298">
        <w:rPr>
          <w:rFonts w:ascii="Times New Roman" w:hAnsi="Times New Roman" w:cs="Times New Roman"/>
          <w:sz w:val="24"/>
          <w:szCs w:val="24"/>
        </w:rPr>
        <w:t>veikt trīs pētījum</w:t>
      </w:r>
      <w:r w:rsidRPr="00E71298">
        <w:rPr>
          <w:rFonts w:ascii="Times New Roman" w:hAnsi="Times New Roman" w:cs="Times New Roman"/>
          <w:sz w:val="24"/>
          <w:szCs w:val="24"/>
        </w:rPr>
        <w:t>us</w:t>
      </w:r>
      <w:r w:rsidR="00164DF5" w:rsidRPr="00E71298">
        <w:rPr>
          <w:rFonts w:ascii="Times New Roman" w:hAnsi="Times New Roman" w:cs="Times New Roman"/>
          <w:sz w:val="24"/>
          <w:szCs w:val="24"/>
        </w:rPr>
        <w:t xml:space="preserve">: 1) </w:t>
      </w:r>
      <w:r w:rsidR="004441E6" w:rsidRPr="00E71298">
        <w:rPr>
          <w:rFonts w:ascii="Times New Roman" w:hAnsi="Times New Roman" w:cs="Times New Roman"/>
          <w:sz w:val="24"/>
          <w:szCs w:val="24"/>
        </w:rPr>
        <w:t>p</w:t>
      </w:r>
      <w:r w:rsidR="00164DF5" w:rsidRPr="00E71298">
        <w:rPr>
          <w:rFonts w:ascii="Times New Roman" w:hAnsi="Times New Roman" w:cs="Times New Roman"/>
          <w:sz w:val="24"/>
          <w:szCs w:val="24"/>
        </w:rPr>
        <w:t xml:space="preserve">ētījums </w:t>
      </w:r>
      <w:proofErr w:type="spellStart"/>
      <w:r w:rsidR="00164DF5" w:rsidRPr="00E71298">
        <w:rPr>
          <w:rFonts w:ascii="Times New Roman" w:hAnsi="Times New Roman" w:cs="Times New Roman"/>
          <w:sz w:val="24"/>
          <w:szCs w:val="24"/>
        </w:rPr>
        <w:t>antimikrobiālās</w:t>
      </w:r>
      <w:proofErr w:type="spellEnd"/>
      <w:r w:rsidR="00164DF5" w:rsidRPr="00E71298">
        <w:rPr>
          <w:rFonts w:ascii="Times New Roman" w:hAnsi="Times New Roman" w:cs="Times New Roman"/>
          <w:sz w:val="24"/>
          <w:szCs w:val="24"/>
        </w:rPr>
        <w:t xml:space="preserve"> rezistences jomā, lai apzinātu efektīvākās intervences un uzraudzības metodes; 2) </w:t>
      </w:r>
      <w:r w:rsidR="004441E6" w:rsidRPr="00E71298">
        <w:rPr>
          <w:rFonts w:ascii="Times New Roman" w:hAnsi="Times New Roman" w:cs="Times New Roman"/>
          <w:sz w:val="24"/>
          <w:szCs w:val="24"/>
        </w:rPr>
        <w:t>p</w:t>
      </w:r>
      <w:r w:rsidR="00164DF5" w:rsidRPr="00E71298">
        <w:rPr>
          <w:rFonts w:ascii="Times New Roman" w:hAnsi="Times New Roman" w:cs="Times New Roman"/>
          <w:sz w:val="24"/>
          <w:szCs w:val="24"/>
        </w:rPr>
        <w:t>ētījums ar mērķi apzināt nevakcinēšanās iemeslus</w:t>
      </w:r>
      <w:r w:rsidR="00B5379F" w:rsidRPr="00E71298">
        <w:rPr>
          <w:rFonts w:ascii="Times New Roman" w:hAnsi="Times New Roman" w:cs="Times New Roman"/>
          <w:sz w:val="24"/>
          <w:szCs w:val="24"/>
        </w:rPr>
        <w:t>,</w:t>
      </w:r>
      <w:r w:rsidR="00164DF5" w:rsidRPr="00E71298">
        <w:rPr>
          <w:rFonts w:ascii="Times New Roman" w:hAnsi="Times New Roman" w:cs="Times New Roman"/>
          <w:sz w:val="24"/>
          <w:szCs w:val="24"/>
        </w:rPr>
        <w:t xml:space="preserve"> lai nodrošinātu plašāku vakcinācijas aptveri un mazinātu infekciju slimību izplatības riskus Latvijā; 3) </w:t>
      </w:r>
      <w:r w:rsidR="004441E6" w:rsidRPr="00E71298">
        <w:rPr>
          <w:rFonts w:ascii="Times New Roman" w:hAnsi="Times New Roman" w:cs="Times New Roman"/>
          <w:sz w:val="24"/>
          <w:szCs w:val="24"/>
        </w:rPr>
        <w:t>p</w:t>
      </w:r>
      <w:r w:rsidR="0078615B" w:rsidRPr="00E71298">
        <w:rPr>
          <w:rFonts w:ascii="Times New Roman" w:hAnsi="Times New Roman" w:cs="Times New Roman"/>
          <w:sz w:val="24"/>
          <w:szCs w:val="24"/>
        </w:rPr>
        <w:t>ētījums par infekciju slimību izplatības riskiem un to ietekmi uz sabiedrības veselības rādītājiem</w:t>
      </w:r>
      <w:r w:rsidR="003017A4" w:rsidRPr="00E71298">
        <w:rPr>
          <w:rFonts w:ascii="Times New Roman" w:hAnsi="Times New Roman" w:cs="Times New Roman"/>
          <w:sz w:val="24"/>
          <w:szCs w:val="24"/>
        </w:rPr>
        <w:t>;</w:t>
      </w:r>
    </w:p>
    <w:p w14:paraId="1DC67F8D" w14:textId="0982B13D" w:rsidR="007A4A7D" w:rsidRPr="006A3509" w:rsidRDefault="007A4A7D" w:rsidP="006A3509">
      <w:pPr>
        <w:pStyle w:val="ListParagraph"/>
        <w:numPr>
          <w:ilvl w:val="3"/>
          <w:numId w:val="3"/>
        </w:numPr>
        <w:spacing w:before="120" w:after="0" w:line="240" w:lineRule="auto"/>
        <w:ind w:left="1418" w:firstLine="0"/>
        <w:contextualSpacing w:val="0"/>
        <w:jc w:val="both"/>
        <w:rPr>
          <w:rFonts w:ascii="Times New Roman" w:hAnsi="Times New Roman" w:cs="Times New Roman"/>
          <w:sz w:val="24"/>
          <w:szCs w:val="24"/>
        </w:rPr>
      </w:pPr>
      <w:r w:rsidRPr="006A3509">
        <w:rPr>
          <w:rFonts w:ascii="Times New Roman" w:eastAsia="Times New Roman" w:hAnsi="Times New Roman" w:cs="Times New Roman"/>
          <w:sz w:val="24"/>
          <w:szCs w:val="24"/>
        </w:rPr>
        <w:t>projekta ietvaros veikt</w:t>
      </w:r>
      <w:r w:rsidR="006A3509" w:rsidRPr="006A3509">
        <w:rPr>
          <w:rFonts w:ascii="Times New Roman" w:eastAsia="Times New Roman" w:hAnsi="Times New Roman" w:cs="Times New Roman"/>
          <w:sz w:val="24"/>
          <w:szCs w:val="24"/>
        </w:rPr>
        <w:t>o</w:t>
      </w:r>
      <w:r w:rsidRPr="006A3509">
        <w:rPr>
          <w:rFonts w:ascii="Times New Roman" w:eastAsia="Times New Roman" w:hAnsi="Times New Roman" w:cs="Times New Roman"/>
          <w:sz w:val="24"/>
          <w:szCs w:val="24"/>
        </w:rPr>
        <w:t xml:space="preserve"> pētījum</w:t>
      </w:r>
      <w:r w:rsidR="006A3509" w:rsidRPr="006A3509">
        <w:rPr>
          <w:rFonts w:ascii="Times New Roman" w:eastAsia="Times New Roman" w:hAnsi="Times New Roman" w:cs="Times New Roman"/>
          <w:sz w:val="24"/>
          <w:szCs w:val="24"/>
        </w:rPr>
        <w:t>u rezultātus</w:t>
      </w:r>
      <w:r w:rsidRPr="006A3509">
        <w:rPr>
          <w:rFonts w:ascii="Times New Roman" w:eastAsia="Times New Roman" w:hAnsi="Times New Roman" w:cs="Times New Roman"/>
          <w:sz w:val="24"/>
          <w:szCs w:val="24"/>
        </w:rPr>
        <w:t xml:space="preserve"> </w:t>
      </w:r>
      <w:r w:rsidR="006A3509" w:rsidRPr="006A3509">
        <w:rPr>
          <w:rFonts w:ascii="Times New Roman" w:eastAsia="Times New Roman" w:hAnsi="Times New Roman" w:cs="Times New Roman"/>
          <w:sz w:val="24"/>
          <w:szCs w:val="24"/>
        </w:rPr>
        <w:t>izmantot par</w:t>
      </w:r>
      <w:r w:rsidRPr="006A3509">
        <w:rPr>
          <w:rFonts w:ascii="Times New Roman" w:eastAsia="Times New Roman" w:hAnsi="Times New Roman" w:cs="Times New Roman"/>
          <w:sz w:val="24"/>
          <w:szCs w:val="24"/>
        </w:rPr>
        <w:t xml:space="preserve"> pamatu tālākai sabiedrības veselības politikas plānošanai un ieviešanai, tajā skaitā, integrētajai veselības aprūpei, nepieciešamajiem uzlabojumiem normatīvajā ietvarā, metodoloģiskajā vadībā, vakcinācijas procesa pilnveidē u.c.</w:t>
      </w:r>
    </w:p>
    <w:p w14:paraId="32B1E6F1" w14:textId="77777777" w:rsidR="007A4A7D" w:rsidRDefault="00674806" w:rsidP="007A4A7D">
      <w:pPr>
        <w:pStyle w:val="ListParagraph"/>
        <w:numPr>
          <w:ilvl w:val="2"/>
          <w:numId w:val="3"/>
        </w:numPr>
        <w:spacing w:before="120" w:after="0" w:line="240" w:lineRule="auto"/>
        <w:ind w:left="1134" w:hanging="425"/>
        <w:contextualSpacing w:val="0"/>
        <w:jc w:val="both"/>
        <w:rPr>
          <w:rFonts w:ascii="Times New Roman" w:eastAsia="Times New Roman" w:hAnsi="Times New Roman" w:cs="Times New Roman"/>
          <w:sz w:val="24"/>
          <w:szCs w:val="24"/>
        </w:rPr>
      </w:pPr>
      <w:r w:rsidRPr="005C111B">
        <w:rPr>
          <w:rFonts w:ascii="Times New Roman" w:eastAsia="Times New Roman" w:hAnsi="Times New Roman" w:cs="Times New Roman"/>
          <w:sz w:val="24"/>
          <w:szCs w:val="24"/>
        </w:rPr>
        <w:t>p</w:t>
      </w:r>
      <w:r w:rsidR="00AB20FD" w:rsidRPr="005C111B">
        <w:rPr>
          <w:rFonts w:ascii="Times New Roman" w:eastAsia="Times New Roman" w:hAnsi="Times New Roman" w:cs="Times New Roman"/>
          <w:sz w:val="24"/>
          <w:szCs w:val="24"/>
        </w:rPr>
        <w:t>ar pētījumu veikšanu atbildīgā iestāde</w:t>
      </w:r>
      <w:r w:rsidR="000D48D6" w:rsidRPr="005C111B">
        <w:rPr>
          <w:rFonts w:ascii="Times New Roman" w:eastAsia="Times New Roman" w:hAnsi="Times New Roman" w:cs="Times New Roman"/>
          <w:sz w:val="24"/>
          <w:szCs w:val="24"/>
        </w:rPr>
        <w:t xml:space="preserve"> un finansējuma saņēmējs</w:t>
      </w:r>
      <w:r w:rsidR="00AB20FD" w:rsidRPr="005C111B">
        <w:rPr>
          <w:rFonts w:ascii="Times New Roman" w:eastAsia="Times New Roman" w:hAnsi="Times New Roman" w:cs="Times New Roman"/>
          <w:sz w:val="24"/>
          <w:szCs w:val="24"/>
        </w:rPr>
        <w:t xml:space="preserve"> būs Slimību profilakses un kontroles centrs, kas</w:t>
      </w:r>
      <w:r w:rsidR="003E6C98" w:rsidRPr="005C111B">
        <w:rPr>
          <w:rFonts w:ascii="Times New Roman" w:eastAsia="Times New Roman" w:hAnsi="Times New Roman" w:cs="Times New Roman"/>
          <w:sz w:val="24"/>
          <w:szCs w:val="24"/>
        </w:rPr>
        <w:t>, tajā skaitā</w:t>
      </w:r>
      <w:r w:rsidR="00AB20FD" w:rsidRPr="005C111B">
        <w:rPr>
          <w:rFonts w:ascii="Times New Roman" w:eastAsia="Times New Roman" w:hAnsi="Times New Roman" w:cs="Times New Roman"/>
          <w:sz w:val="24"/>
          <w:szCs w:val="24"/>
        </w:rPr>
        <w:t xml:space="preserve"> izmantos publisko iepirkumu pētījumu veikšanai</w:t>
      </w:r>
      <w:r w:rsidR="003017A4">
        <w:rPr>
          <w:rFonts w:ascii="Times New Roman" w:eastAsia="Times New Roman" w:hAnsi="Times New Roman" w:cs="Times New Roman"/>
          <w:sz w:val="24"/>
          <w:szCs w:val="24"/>
        </w:rPr>
        <w:t>;</w:t>
      </w:r>
      <w:bookmarkStart w:id="18" w:name="_Ref93507991"/>
    </w:p>
    <w:p w14:paraId="67C29AEC" w14:textId="3CC250EF" w:rsidR="007A4A7D" w:rsidRPr="00101531" w:rsidRDefault="007A4A7D" w:rsidP="007A4A7D">
      <w:pPr>
        <w:pStyle w:val="ListParagraph"/>
        <w:numPr>
          <w:ilvl w:val="2"/>
          <w:numId w:val="3"/>
        </w:numPr>
        <w:spacing w:before="120" w:after="0" w:line="240" w:lineRule="auto"/>
        <w:ind w:left="1134" w:hanging="425"/>
        <w:contextualSpacing w:val="0"/>
        <w:jc w:val="both"/>
        <w:rPr>
          <w:rFonts w:ascii="Times New Roman" w:eastAsia="Times New Roman" w:hAnsi="Times New Roman" w:cs="Times New Roman"/>
          <w:sz w:val="24"/>
          <w:szCs w:val="24"/>
        </w:rPr>
      </w:pPr>
      <w:r w:rsidRPr="007A4A7D">
        <w:rPr>
          <w:rFonts w:ascii="Times New Roman" w:hAnsi="Times New Roman" w:cs="Times New Roman"/>
          <w:sz w:val="24"/>
          <w:szCs w:val="24"/>
        </w:rPr>
        <w:t>finansējuma saņēmējs neatbilst Eiropas Parlamenta un Padomes 2018.gada 18.jūlija regulas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136.punkta “Izslēgšanas kritēriji un lēmumi par izslēgšanu” izslēgšanas kritērijiem. Kritēriju pārbauda, nozares ministrijai sadarbojoties ar Centrālo finanšu un līgumu aģentūru.</w:t>
      </w:r>
    </w:p>
    <w:p w14:paraId="219FAB61" w14:textId="7369B152" w:rsidR="0029435B" w:rsidRPr="0078615B" w:rsidRDefault="0029435B" w:rsidP="00981FC4">
      <w:pPr>
        <w:pStyle w:val="ListParagraph"/>
        <w:numPr>
          <w:ilvl w:val="1"/>
          <w:numId w:val="3"/>
        </w:numPr>
        <w:spacing w:before="120" w:after="0" w:line="240" w:lineRule="auto"/>
        <w:ind w:left="567" w:hanging="425"/>
        <w:contextualSpacing w:val="0"/>
        <w:jc w:val="both"/>
        <w:rPr>
          <w:rFonts w:ascii="Times New Roman" w:hAnsi="Times New Roman" w:cs="Times New Roman"/>
          <w:sz w:val="24"/>
          <w:szCs w:val="24"/>
        </w:rPr>
      </w:pPr>
      <w:r w:rsidRPr="0078615B">
        <w:rPr>
          <w:rFonts w:ascii="Times New Roman" w:hAnsi="Times New Roman" w:cs="Times New Roman"/>
          <w:sz w:val="24"/>
          <w:szCs w:val="24"/>
        </w:rPr>
        <w:t xml:space="preserve">Ja projekta vērtējums ir </w:t>
      </w:r>
      <w:r w:rsidR="004C2A06" w:rsidRPr="0078615B">
        <w:rPr>
          <w:rFonts w:ascii="Times New Roman" w:hAnsi="Times New Roman" w:cs="Times New Roman"/>
          <w:sz w:val="24"/>
          <w:szCs w:val="24"/>
        </w:rPr>
        <w:t>“</w:t>
      </w:r>
      <w:r w:rsidRPr="0078615B">
        <w:rPr>
          <w:rFonts w:ascii="Times New Roman" w:hAnsi="Times New Roman" w:cs="Times New Roman"/>
          <w:sz w:val="24"/>
          <w:szCs w:val="24"/>
        </w:rPr>
        <w:t>novēršami trūkumi</w:t>
      </w:r>
      <w:r w:rsidR="004C2A06" w:rsidRPr="0078615B">
        <w:rPr>
          <w:rFonts w:ascii="Times New Roman" w:hAnsi="Times New Roman" w:cs="Times New Roman"/>
          <w:sz w:val="24"/>
          <w:szCs w:val="24"/>
        </w:rPr>
        <w:t>”</w:t>
      </w:r>
      <w:r w:rsidRPr="0078615B">
        <w:rPr>
          <w:rFonts w:ascii="Times New Roman" w:hAnsi="Times New Roman" w:cs="Times New Roman"/>
          <w:sz w:val="24"/>
          <w:szCs w:val="24"/>
        </w:rPr>
        <w:t xml:space="preserve">, finansējuma saņēmējs mēneša laikā no vērtējuma saņemšanas brīža veic precizējumus projektā. Nozares ministrija sniedz atkārtotu vērtējumu mēneša laikā. Nozares ministrija sniedz atkārtotos vērtējumus ne vairāk kā </w:t>
      </w:r>
      <w:r w:rsidR="004C2A06" w:rsidRPr="0078615B">
        <w:rPr>
          <w:rFonts w:ascii="Times New Roman" w:hAnsi="Times New Roman" w:cs="Times New Roman"/>
          <w:sz w:val="24"/>
          <w:szCs w:val="24"/>
        </w:rPr>
        <w:t>divas</w:t>
      </w:r>
      <w:r w:rsidRPr="0078615B">
        <w:rPr>
          <w:rFonts w:ascii="Times New Roman" w:hAnsi="Times New Roman" w:cs="Times New Roman"/>
          <w:sz w:val="24"/>
          <w:szCs w:val="24"/>
        </w:rPr>
        <w:t xml:space="preserve"> reizes.</w:t>
      </w:r>
      <w:bookmarkEnd w:id="18"/>
    </w:p>
    <w:p w14:paraId="0AEFBFA4" w14:textId="2E58917F" w:rsidR="0029435B" w:rsidRPr="0078615B" w:rsidRDefault="0029435B" w:rsidP="00981FC4">
      <w:pPr>
        <w:pStyle w:val="ListParagraph"/>
        <w:numPr>
          <w:ilvl w:val="1"/>
          <w:numId w:val="3"/>
        </w:numPr>
        <w:spacing w:before="120" w:after="0" w:line="240" w:lineRule="auto"/>
        <w:ind w:left="567" w:hanging="425"/>
        <w:contextualSpacing w:val="0"/>
        <w:jc w:val="both"/>
        <w:rPr>
          <w:rFonts w:ascii="Times New Roman" w:hAnsi="Times New Roman" w:cs="Times New Roman"/>
          <w:sz w:val="24"/>
          <w:szCs w:val="24"/>
        </w:rPr>
      </w:pPr>
      <w:r w:rsidRPr="0078615B">
        <w:rPr>
          <w:rFonts w:ascii="Times New Roman" w:hAnsi="Times New Roman" w:cs="Times New Roman"/>
          <w:sz w:val="24"/>
          <w:szCs w:val="24"/>
        </w:rPr>
        <w:t>Ja finansējuma saņēmējs neveic projekta precizējumus</w:t>
      </w:r>
      <w:r w:rsidR="00DE4E8A">
        <w:rPr>
          <w:rFonts w:ascii="Times New Roman" w:hAnsi="Times New Roman" w:cs="Times New Roman"/>
          <w:sz w:val="24"/>
          <w:szCs w:val="24"/>
        </w:rPr>
        <w:t xml:space="preserve"> </w:t>
      </w:r>
      <w:r w:rsidR="009817C6" w:rsidRPr="009817C6">
        <w:rPr>
          <w:rFonts w:ascii="Times New Roman" w:hAnsi="Times New Roman" w:cs="Times New Roman"/>
          <w:sz w:val="24"/>
          <w:szCs w:val="24"/>
        </w:rPr>
        <w:t>vadības informācijas sistēmā</w:t>
      </w:r>
      <w:r w:rsidR="009817C6" w:rsidRPr="009817C6" w:rsidDel="009817C6">
        <w:rPr>
          <w:rFonts w:ascii="Times New Roman" w:hAnsi="Times New Roman" w:cs="Times New Roman"/>
          <w:sz w:val="24"/>
          <w:szCs w:val="24"/>
        </w:rPr>
        <w:t xml:space="preserve"> </w:t>
      </w:r>
      <w:r w:rsidR="00DE4E8A" w:rsidRPr="00CC3BD8">
        <w:rPr>
          <w:rFonts w:ascii="Times New Roman" w:hAnsi="Times New Roman" w:cs="Times New Roman"/>
          <w:sz w:val="24"/>
          <w:szCs w:val="24"/>
        </w:rPr>
        <w:t>vai elektroniskā dokumenta veidā</w:t>
      </w:r>
      <w:r w:rsidRPr="0078615B">
        <w:rPr>
          <w:rFonts w:ascii="Times New Roman" w:hAnsi="Times New Roman" w:cs="Times New Roman"/>
          <w:sz w:val="24"/>
          <w:szCs w:val="24"/>
        </w:rPr>
        <w:t xml:space="preserve"> atbilstoši nozares ministrijas vērtējumam</w:t>
      </w:r>
      <w:r w:rsidR="000044C9" w:rsidRPr="0078615B">
        <w:rPr>
          <w:rFonts w:ascii="Times New Roman" w:eastAsia="Times New Roman" w:hAnsi="Times New Roman" w:cs="Times New Roman"/>
          <w:sz w:val="24"/>
          <w:szCs w:val="24"/>
        </w:rPr>
        <w:t xml:space="preserve"> vai projekta vērtējums ir “neatbilst”</w:t>
      </w:r>
      <w:r w:rsidRPr="0078615B">
        <w:rPr>
          <w:rFonts w:ascii="Times New Roman" w:hAnsi="Times New Roman" w:cs="Times New Roman"/>
          <w:sz w:val="24"/>
          <w:szCs w:val="24"/>
        </w:rPr>
        <w:t>, projekts netiek saskaņots un vienošanās par projekta īstenošanu netiek slēgt</w:t>
      </w:r>
      <w:r w:rsidR="00023E9A" w:rsidRPr="0078615B">
        <w:rPr>
          <w:rFonts w:ascii="Times New Roman" w:hAnsi="Times New Roman" w:cs="Times New Roman"/>
          <w:sz w:val="24"/>
          <w:szCs w:val="24"/>
        </w:rPr>
        <w:t>a</w:t>
      </w:r>
      <w:r w:rsidRPr="0078615B">
        <w:rPr>
          <w:rFonts w:ascii="Times New Roman" w:hAnsi="Times New Roman" w:cs="Times New Roman"/>
          <w:sz w:val="24"/>
          <w:szCs w:val="24"/>
        </w:rPr>
        <w:t>.</w:t>
      </w:r>
      <w:r w:rsidR="00FB411B" w:rsidRPr="0078615B">
        <w:rPr>
          <w:rFonts w:ascii="Times New Roman" w:hAnsi="Times New Roman" w:cs="Times New Roman"/>
          <w:sz w:val="24"/>
          <w:szCs w:val="24"/>
        </w:rPr>
        <w:t xml:space="preserve"> Nozares ministrijai ir tiesības lemt par atkārtotu finansējuma saņēmēja uzaicinājumu iesniegt projektu atbilstoši Atveseļošanas fonda plānā noteiktajam.</w:t>
      </w:r>
    </w:p>
    <w:p w14:paraId="57C15FDB" w14:textId="25A18B8E" w:rsidR="00104BB1" w:rsidRPr="00DE4E8A" w:rsidRDefault="0029435B" w:rsidP="00981FC4">
      <w:pPr>
        <w:pStyle w:val="ListParagraph"/>
        <w:numPr>
          <w:ilvl w:val="1"/>
          <w:numId w:val="3"/>
        </w:numPr>
        <w:spacing w:before="120" w:after="0" w:line="240" w:lineRule="auto"/>
        <w:ind w:left="567" w:hanging="425"/>
        <w:contextualSpacing w:val="0"/>
        <w:jc w:val="both"/>
        <w:rPr>
          <w:rFonts w:ascii="Times New Roman" w:eastAsia="Times New Roman" w:hAnsi="Times New Roman" w:cs="Times New Roman"/>
          <w:iCs/>
          <w:sz w:val="24"/>
          <w:szCs w:val="24"/>
        </w:rPr>
      </w:pPr>
      <w:r w:rsidRPr="00DE4E8A">
        <w:rPr>
          <w:rFonts w:ascii="Times New Roman" w:hAnsi="Times New Roman" w:cs="Times New Roman"/>
          <w:sz w:val="24"/>
          <w:szCs w:val="24"/>
        </w:rPr>
        <w:t>Jebkuras izmaiņas vienošanās par projekta īstenošanu</w:t>
      </w:r>
      <w:r w:rsidR="00A96561">
        <w:rPr>
          <w:rFonts w:ascii="Times New Roman" w:hAnsi="Times New Roman" w:cs="Times New Roman"/>
          <w:sz w:val="24"/>
          <w:szCs w:val="24"/>
        </w:rPr>
        <w:t xml:space="preserve"> (tostarp izmaiņas,</w:t>
      </w:r>
      <w:r w:rsidRPr="00DE4E8A">
        <w:rPr>
          <w:rFonts w:ascii="Times New Roman" w:hAnsi="Times New Roman" w:cs="Times New Roman"/>
          <w:sz w:val="24"/>
          <w:szCs w:val="24"/>
        </w:rPr>
        <w:t xml:space="preserve"> kas skar finansējumu, rādītāju  sasniegšanu un termiņus</w:t>
      </w:r>
      <w:r w:rsidR="00A96561">
        <w:rPr>
          <w:rFonts w:ascii="Times New Roman" w:hAnsi="Times New Roman" w:cs="Times New Roman"/>
          <w:sz w:val="24"/>
          <w:szCs w:val="24"/>
        </w:rPr>
        <w:t>)</w:t>
      </w:r>
      <w:r w:rsidRPr="00DE4E8A">
        <w:rPr>
          <w:rFonts w:ascii="Times New Roman" w:hAnsi="Times New Roman" w:cs="Times New Roman"/>
          <w:sz w:val="24"/>
          <w:szCs w:val="24"/>
        </w:rPr>
        <w:t xml:space="preserve">  finansējuma saņēmējs vadības </w:t>
      </w:r>
      <w:r w:rsidRPr="00DE4E8A">
        <w:rPr>
          <w:rFonts w:ascii="Times New Roman" w:hAnsi="Times New Roman" w:cs="Times New Roman"/>
          <w:sz w:val="24"/>
          <w:szCs w:val="24"/>
        </w:rPr>
        <w:lastRenderedPageBreak/>
        <w:t>informācijas sistēmā saskaņo ar nozares ministriju. Nozares ministrija atzinumu sniedz ne vēlāk kā mēneša laikā.</w:t>
      </w:r>
      <w:r w:rsidR="00775B24">
        <w:rPr>
          <w:rFonts w:ascii="Times New Roman" w:hAnsi="Times New Roman" w:cs="Times New Roman"/>
          <w:sz w:val="24"/>
          <w:szCs w:val="24"/>
        </w:rPr>
        <w:t xml:space="preserve"> </w:t>
      </w:r>
    </w:p>
    <w:p w14:paraId="55226AE9" w14:textId="77A0B502" w:rsidR="00CF7F65" w:rsidRPr="00033AD8" w:rsidRDefault="00B4168D" w:rsidP="00981FC4">
      <w:pPr>
        <w:pStyle w:val="ListParagraph"/>
        <w:numPr>
          <w:ilvl w:val="1"/>
          <w:numId w:val="3"/>
        </w:numPr>
        <w:spacing w:before="120" w:after="0" w:line="240" w:lineRule="auto"/>
        <w:ind w:left="567" w:hanging="425"/>
        <w:contextualSpacing w:val="0"/>
        <w:jc w:val="both"/>
        <w:rPr>
          <w:rFonts w:ascii="Times New Roman" w:hAnsi="Times New Roman" w:cs="Times New Roman"/>
          <w:sz w:val="24"/>
          <w:szCs w:val="24"/>
        </w:rPr>
      </w:pPr>
      <w:r w:rsidRPr="00033AD8">
        <w:rPr>
          <w:rFonts w:ascii="Times New Roman" w:hAnsi="Times New Roman" w:cs="Times New Roman"/>
          <w:sz w:val="24"/>
          <w:szCs w:val="24"/>
        </w:rPr>
        <w:t>Nozares ministrija</w:t>
      </w:r>
      <w:r w:rsidR="00541D27" w:rsidRPr="00033AD8">
        <w:rPr>
          <w:rFonts w:ascii="Times New Roman" w:hAnsi="Times New Roman" w:cs="Times New Roman"/>
          <w:sz w:val="24"/>
          <w:szCs w:val="24"/>
        </w:rPr>
        <w:t xml:space="preserve"> un </w:t>
      </w:r>
      <w:r w:rsidR="00C964DD" w:rsidRPr="00033AD8">
        <w:rPr>
          <w:rFonts w:ascii="Times New Roman" w:hAnsi="Times New Roman" w:cs="Times New Roman"/>
          <w:sz w:val="24"/>
          <w:szCs w:val="24"/>
        </w:rPr>
        <w:t>f</w:t>
      </w:r>
      <w:r w:rsidR="00541D27" w:rsidRPr="00033AD8">
        <w:rPr>
          <w:rFonts w:ascii="Times New Roman" w:hAnsi="Times New Roman" w:cs="Times New Roman"/>
          <w:sz w:val="24"/>
          <w:szCs w:val="24"/>
        </w:rPr>
        <w:t xml:space="preserve">inansējuma saņēmējs par atbildības sadalījumu vienosies savstarpēji noslēgtajā vienošanās par </w:t>
      </w:r>
      <w:r w:rsidR="0029435B" w:rsidRPr="00033AD8">
        <w:rPr>
          <w:rFonts w:ascii="Times New Roman" w:hAnsi="Times New Roman" w:cs="Times New Roman"/>
          <w:sz w:val="24"/>
          <w:szCs w:val="24"/>
        </w:rPr>
        <w:t>projekta</w:t>
      </w:r>
      <w:r w:rsidR="00541D27" w:rsidRPr="00033AD8">
        <w:rPr>
          <w:rFonts w:ascii="Times New Roman" w:hAnsi="Times New Roman" w:cs="Times New Roman"/>
          <w:sz w:val="24"/>
          <w:szCs w:val="24"/>
        </w:rPr>
        <w:t xml:space="preserve"> īstenošanu, t</w:t>
      </w:r>
      <w:r w:rsidR="00033AD8" w:rsidRPr="00033AD8">
        <w:rPr>
          <w:rFonts w:ascii="Times New Roman" w:hAnsi="Times New Roman" w:cs="Times New Roman"/>
          <w:sz w:val="24"/>
          <w:szCs w:val="24"/>
        </w:rPr>
        <w:t>ajā skaitā</w:t>
      </w:r>
      <w:r w:rsidR="00541D27" w:rsidRPr="00033AD8">
        <w:rPr>
          <w:rFonts w:ascii="Times New Roman" w:hAnsi="Times New Roman" w:cs="Times New Roman"/>
          <w:sz w:val="24"/>
          <w:szCs w:val="24"/>
        </w:rPr>
        <w:t xml:space="preserve"> par uzraudzības nosacījumiem</w:t>
      </w:r>
      <w:r w:rsidR="00CF7F65" w:rsidRPr="00033AD8">
        <w:rPr>
          <w:rFonts w:ascii="Times New Roman" w:hAnsi="Times New Roman" w:cs="Times New Roman"/>
          <w:sz w:val="24"/>
          <w:szCs w:val="24"/>
        </w:rPr>
        <w:t xml:space="preserve">, kurā </w:t>
      </w:r>
      <w:r w:rsidR="00400169" w:rsidRPr="00033AD8">
        <w:rPr>
          <w:rFonts w:ascii="Times New Roman" w:hAnsi="Times New Roman" w:cs="Times New Roman"/>
          <w:sz w:val="24"/>
          <w:szCs w:val="24"/>
        </w:rPr>
        <w:t xml:space="preserve">tiks </w:t>
      </w:r>
      <w:r w:rsidR="00CF7F65" w:rsidRPr="00033AD8">
        <w:rPr>
          <w:rFonts w:ascii="Times New Roman" w:hAnsi="Times New Roman" w:cs="Times New Roman"/>
          <w:sz w:val="24"/>
          <w:szCs w:val="24"/>
        </w:rPr>
        <w:t>no</w:t>
      </w:r>
      <w:r w:rsidR="00400169" w:rsidRPr="00033AD8">
        <w:rPr>
          <w:rFonts w:ascii="Times New Roman" w:hAnsi="Times New Roman" w:cs="Times New Roman"/>
          <w:sz w:val="24"/>
          <w:szCs w:val="24"/>
        </w:rPr>
        <w:t>teikts</w:t>
      </w:r>
      <w:r w:rsidR="00CF7F65" w:rsidRPr="00033AD8">
        <w:rPr>
          <w:rFonts w:ascii="Times New Roman" w:hAnsi="Times New Roman" w:cs="Times New Roman"/>
          <w:sz w:val="24"/>
          <w:szCs w:val="24"/>
        </w:rPr>
        <w:t>:</w:t>
      </w:r>
    </w:p>
    <w:p w14:paraId="61F35997" w14:textId="4293329D" w:rsidR="00AF66F6" w:rsidRPr="00295940" w:rsidRDefault="00AF66F6" w:rsidP="00981FC4">
      <w:pPr>
        <w:pStyle w:val="ListParagraph"/>
        <w:numPr>
          <w:ilvl w:val="2"/>
          <w:numId w:val="3"/>
        </w:numPr>
        <w:spacing w:before="120" w:after="0" w:line="240" w:lineRule="auto"/>
        <w:ind w:left="1134" w:hanging="425"/>
        <w:contextualSpacing w:val="0"/>
        <w:jc w:val="both"/>
        <w:rPr>
          <w:rFonts w:ascii="Times New Roman" w:eastAsia="Times New Roman" w:hAnsi="Times New Roman" w:cs="Times New Roman"/>
          <w:iCs/>
          <w:sz w:val="24"/>
          <w:szCs w:val="24"/>
        </w:rPr>
      </w:pPr>
      <w:bookmarkStart w:id="19" w:name="_Hlk89288285"/>
      <w:r w:rsidRPr="00295940">
        <w:rPr>
          <w:rFonts w:ascii="Times New Roman" w:eastAsia="Times New Roman" w:hAnsi="Times New Roman" w:cs="Times New Roman"/>
          <w:iCs/>
          <w:sz w:val="24"/>
          <w:szCs w:val="24"/>
        </w:rPr>
        <w:t>projekta īstenošanas uzraudzības kārtība</w:t>
      </w:r>
      <w:bookmarkEnd w:id="19"/>
      <w:r w:rsidRPr="00295940">
        <w:rPr>
          <w:rFonts w:ascii="Times New Roman" w:eastAsia="Times New Roman" w:hAnsi="Times New Roman" w:cs="Times New Roman"/>
          <w:iCs/>
          <w:sz w:val="24"/>
          <w:szCs w:val="24"/>
        </w:rPr>
        <w:t>;</w:t>
      </w:r>
    </w:p>
    <w:p w14:paraId="28973A45" w14:textId="6CF9AFE0" w:rsidR="000F6D37" w:rsidRPr="00295940" w:rsidRDefault="008D1F4D" w:rsidP="00981FC4">
      <w:pPr>
        <w:pStyle w:val="ListParagraph"/>
        <w:numPr>
          <w:ilvl w:val="2"/>
          <w:numId w:val="3"/>
        </w:numPr>
        <w:spacing w:before="120" w:after="0" w:line="240" w:lineRule="auto"/>
        <w:ind w:left="1134" w:hanging="425"/>
        <w:contextualSpacing w:val="0"/>
        <w:jc w:val="both"/>
        <w:rPr>
          <w:rFonts w:ascii="Times New Roman" w:eastAsia="Times New Roman" w:hAnsi="Times New Roman" w:cs="Times New Roman"/>
          <w:iCs/>
          <w:sz w:val="24"/>
          <w:szCs w:val="24"/>
        </w:rPr>
      </w:pPr>
      <w:r w:rsidRPr="00295940">
        <w:rPr>
          <w:rFonts w:ascii="Times New Roman" w:eastAsia="Times New Roman" w:hAnsi="Times New Roman" w:cs="Times New Roman"/>
          <w:iCs/>
          <w:sz w:val="24"/>
          <w:szCs w:val="24"/>
        </w:rPr>
        <w:t>kārtība kādā tiek iesniegti maksājuma pieprasījumi un veikti maksājumi</w:t>
      </w:r>
      <w:r w:rsidR="00CF7F65" w:rsidRPr="00295940">
        <w:rPr>
          <w:rFonts w:ascii="Times New Roman" w:eastAsia="Times New Roman" w:hAnsi="Times New Roman" w:cs="Times New Roman"/>
          <w:iCs/>
          <w:sz w:val="24"/>
          <w:szCs w:val="24"/>
        </w:rPr>
        <w:t>;</w:t>
      </w:r>
    </w:p>
    <w:p w14:paraId="7321BF21" w14:textId="2E26B00B" w:rsidR="00831726" w:rsidRPr="00295940" w:rsidRDefault="00831726" w:rsidP="00981FC4">
      <w:pPr>
        <w:pStyle w:val="ListParagraph"/>
        <w:numPr>
          <w:ilvl w:val="2"/>
          <w:numId w:val="3"/>
        </w:numPr>
        <w:spacing w:before="120" w:after="0" w:line="240" w:lineRule="auto"/>
        <w:ind w:left="1134" w:hanging="425"/>
        <w:contextualSpacing w:val="0"/>
        <w:jc w:val="both"/>
        <w:rPr>
          <w:rFonts w:ascii="Times New Roman" w:eastAsia="Times New Roman" w:hAnsi="Times New Roman" w:cs="Times New Roman"/>
          <w:iCs/>
          <w:sz w:val="24"/>
          <w:szCs w:val="24"/>
        </w:rPr>
      </w:pPr>
      <w:r w:rsidRPr="00295940">
        <w:rPr>
          <w:rFonts w:ascii="Times New Roman" w:eastAsia="Times New Roman" w:hAnsi="Times New Roman" w:cs="Times New Roman"/>
          <w:iCs/>
          <w:sz w:val="24"/>
          <w:szCs w:val="24"/>
        </w:rPr>
        <w:t>iepirkumu plāna iesniegšanas kārtība;</w:t>
      </w:r>
    </w:p>
    <w:p w14:paraId="787CB5B6" w14:textId="4566B489" w:rsidR="000F6D37" w:rsidRPr="00295940" w:rsidRDefault="00CF7F65" w:rsidP="00981FC4">
      <w:pPr>
        <w:pStyle w:val="ListParagraph"/>
        <w:numPr>
          <w:ilvl w:val="2"/>
          <w:numId w:val="3"/>
        </w:numPr>
        <w:spacing w:before="120" w:after="0" w:line="240" w:lineRule="auto"/>
        <w:ind w:left="1134" w:hanging="425"/>
        <w:contextualSpacing w:val="0"/>
        <w:jc w:val="both"/>
        <w:rPr>
          <w:rFonts w:ascii="Times New Roman" w:eastAsia="Times New Roman" w:hAnsi="Times New Roman" w:cs="Times New Roman"/>
          <w:iCs/>
          <w:sz w:val="24"/>
          <w:szCs w:val="24"/>
        </w:rPr>
      </w:pPr>
      <w:r w:rsidRPr="00295940">
        <w:rPr>
          <w:rFonts w:ascii="Times New Roman" w:eastAsia="Times New Roman" w:hAnsi="Times New Roman" w:cs="Times New Roman"/>
          <w:iCs/>
          <w:sz w:val="24"/>
          <w:szCs w:val="24"/>
        </w:rPr>
        <w:t xml:space="preserve">dokumentu </w:t>
      </w:r>
      <w:r w:rsidR="0029435B" w:rsidRPr="00295940">
        <w:rPr>
          <w:rFonts w:ascii="Times New Roman" w:eastAsia="Times New Roman" w:hAnsi="Times New Roman" w:cs="Times New Roman"/>
          <w:iCs/>
          <w:sz w:val="24"/>
          <w:szCs w:val="24"/>
        </w:rPr>
        <w:t>kopums</w:t>
      </w:r>
      <w:r w:rsidRPr="00295940">
        <w:rPr>
          <w:rFonts w:ascii="Times New Roman" w:eastAsia="Times New Roman" w:hAnsi="Times New Roman" w:cs="Times New Roman"/>
          <w:iCs/>
          <w:sz w:val="24"/>
          <w:szCs w:val="24"/>
        </w:rPr>
        <w:t xml:space="preserve">, kas apliecinās </w:t>
      </w:r>
      <w:r w:rsidR="00C23F95">
        <w:rPr>
          <w:rFonts w:ascii="Times New Roman" w:eastAsia="Times New Roman" w:hAnsi="Times New Roman" w:cs="Times New Roman"/>
          <w:iCs/>
          <w:sz w:val="24"/>
          <w:szCs w:val="24"/>
        </w:rPr>
        <w:t>investīcijas</w:t>
      </w:r>
      <w:r w:rsidRPr="00295940">
        <w:rPr>
          <w:rFonts w:ascii="Times New Roman" w:eastAsia="Times New Roman" w:hAnsi="Times New Roman" w:cs="Times New Roman"/>
          <w:iCs/>
          <w:sz w:val="24"/>
          <w:szCs w:val="24"/>
        </w:rPr>
        <w:t xml:space="preserve"> atskaites punkta </w:t>
      </w:r>
      <w:r w:rsidR="008D1F4D" w:rsidRPr="00295940">
        <w:rPr>
          <w:rFonts w:ascii="Times New Roman" w:eastAsia="Times New Roman" w:hAnsi="Times New Roman" w:cs="Times New Roman"/>
          <w:iCs/>
          <w:sz w:val="24"/>
          <w:szCs w:val="24"/>
        </w:rPr>
        <w:t xml:space="preserve">rādītāju </w:t>
      </w:r>
      <w:r w:rsidRPr="00295940">
        <w:rPr>
          <w:rFonts w:ascii="Times New Roman" w:eastAsia="Times New Roman" w:hAnsi="Times New Roman" w:cs="Times New Roman"/>
          <w:iCs/>
          <w:sz w:val="24"/>
          <w:szCs w:val="24"/>
        </w:rPr>
        <w:t>sas</w:t>
      </w:r>
      <w:r w:rsidR="009C18B6" w:rsidRPr="00295940">
        <w:rPr>
          <w:rFonts w:ascii="Times New Roman" w:eastAsia="Times New Roman" w:hAnsi="Times New Roman" w:cs="Times New Roman"/>
          <w:iCs/>
          <w:sz w:val="24"/>
          <w:szCs w:val="24"/>
        </w:rPr>
        <w:t>n</w:t>
      </w:r>
      <w:r w:rsidRPr="00295940">
        <w:rPr>
          <w:rFonts w:ascii="Times New Roman" w:eastAsia="Times New Roman" w:hAnsi="Times New Roman" w:cs="Times New Roman"/>
          <w:iCs/>
          <w:sz w:val="24"/>
          <w:szCs w:val="24"/>
        </w:rPr>
        <w:t>iegšanu</w:t>
      </w:r>
      <w:r w:rsidR="00053066" w:rsidRPr="00295940">
        <w:rPr>
          <w:rFonts w:ascii="Times New Roman" w:eastAsia="Times New Roman" w:hAnsi="Times New Roman" w:cs="Times New Roman"/>
          <w:iCs/>
          <w:sz w:val="24"/>
          <w:szCs w:val="24"/>
        </w:rPr>
        <w:t xml:space="preserve"> </w:t>
      </w:r>
      <w:r w:rsidR="00400169" w:rsidRPr="00295940">
        <w:rPr>
          <w:rFonts w:ascii="Times New Roman" w:eastAsia="Times New Roman" w:hAnsi="Times New Roman" w:cs="Times New Roman"/>
          <w:iCs/>
          <w:sz w:val="24"/>
          <w:szCs w:val="24"/>
        </w:rPr>
        <w:t>atbilstoši šī informatīvā ziņojuma</w:t>
      </w:r>
      <w:r w:rsidR="00053066" w:rsidRPr="00295940">
        <w:rPr>
          <w:rFonts w:ascii="Times New Roman" w:eastAsia="Times New Roman" w:hAnsi="Times New Roman" w:cs="Times New Roman"/>
          <w:iCs/>
          <w:sz w:val="24"/>
          <w:szCs w:val="24"/>
        </w:rPr>
        <w:t xml:space="preserve"> </w:t>
      </w:r>
      <w:r w:rsidR="00FB411B" w:rsidRPr="00295940">
        <w:rPr>
          <w:rFonts w:ascii="Times New Roman" w:eastAsia="Times New Roman" w:hAnsi="Times New Roman" w:cs="Times New Roman"/>
          <w:iCs/>
          <w:sz w:val="24"/>
          <w:szCs w:val="24"/>
        </w:rPr>
        <w:fldChar w:fldCharType="begin"/>
      </w:r>
      <w:r w:rsidR="00FB411B" w:rsidRPr="00295940">
        <w:rPr>
          <w:rFonts w:ascii="Times New Roman" w:eastAsia="Times New Roman" w:hAnsi="Times New Roman" w:cs="Times New Roman"/>
          <w:iCs/>
          <w:sz w:val="24"/>
          <w:szCs w:val="24"/>
        </w:rPr>
        <w:instrText xml:space="preserve"> REF _Ref94209710 \r \h </w:instrText>
      </w:r>
      <w:r w:rsidR="00023E9A" w:rsidRPr="00295940">
        <w:rPr>
          <w:rFonts w:ascii="Times New Roman" w:eastAsia="Times New Roman" w:hAnsi="Times New Roman" w:cs="Times New Roman"/>
          <w:iCs/>
          <w:sz w:val="24"/>
          <w:szCs w:val="24"/>
        </w:rPr>
        <w:instrText xml:space="preserve"> \* MERGEFORMAT </w:instrText>
      </w:r>
      <w:r w:rsidR="00FB411B" w:rsidRPr="00295940">
        <w:rPr>
          <w:rFonts w:ascii="Times New Roman" w:eastAsia="Times New Roman" w:hAnsi="Times New Roman" w:cs="Times New Roman"/>
          <w:iCs/>
          <w:sz w:val="24"/>
          <w:szCs w:val="24"/>
        </w:rPr>
      </w:r>
      <w:r w:rsidR="00FB411B" w:rsidRPr="00295940">
        <w:rPr>
          <w:rFonts w:ascii="Times New Roman" w:eastAsia="Times New Roman" w:hAnsi="Times New Roman" w:cs="Times New Roman"/>
          <w:iCs/>
          <w:sz w:val="24"/>
          <w:szCs w:val="24"/>
        </w:rPr>
        <w:fldChar w:fldCharType="separate"/>
      </w:r>
      <w:r w:rsidR="003C69E9" w:rsidRPr="00295940">
        <w:rPr>
          <w:rFonts w:ascii="Times New Roman" w:eastAsia="Times New Roman" w:hAnsi="Times New Roman" w:cs="Times New Roman"/>
          <w:iCs/>
          <w:sz w:val="24"/>
          <w:szCs w:val="24"/>
        </w:rPr>
        <w:t>3</w:t>
      </w:r>
      <w:r w:rsidR="00FB411B" w:rsidRPr="00295940">
        <w:rPr>
          <w:rFonts w:ascii="Times New Roman" w:eastAsia="Times New Roman" w:hAnsi="Times New Roman" w:cs="Times New Roman"/>
          <w:iCs/>
          <w:sz w:val="24"/>
          <w:szCs w:val="24"/>
        </w:rPr>
        <w:fldChar w:fldCharType="end"/>
      </w:r>
      <w:r w:rsidR="00F53574" w:rsidRPr="00295940">
        <w:rPr>
          <w:rFonts w:ascii="Times New Roman" w:eastAsia="Times New Roman" w:hAnsi="Times New Roman" w:cs="Times New Roman"/>
          <w:iCs/>
          <w:sz w:val="24"/>
          <w:szCs w:val="24"/>
        </w:rPr>
        <w:t>.punktā</w:t>
      </w:r>
      <w:r w:rsidR="00400169" w:rsidRPr="00295940">
        <w:rPr>
          <w:rFonts w:ascii="Times New Roman" w:eastAsia="Times New Roman" w:hAnsi="Times New Roman" w:cs="Times New Roman"/>
          <w:iCs/>
          <w:sz w:val="24"/>
          <w:szCs w:val="24"/>
        </w:rPr>
        <w:t xml:space="preserve"> </w:t>
      </w:r>
      <w:r w:rsidR="008D1F4D" w:rsidRPr="00295940">
        <w:rPr>
          <w:rFonts w:ascii="Times New Roman" w:eastAsia="Times New Roman" w:hAnsi="Times New Roman" w:cs="Times New Roman"/>
          <w:iCs/>
          <w:sz w:val="24"/>
          <w:szCs w:val="24"/>
        </w:rPr>
        <w:t>noteiktajam</w:t>
      </w:r>
      <w:r w:rsidRPr="00295940">
        <w:rPr>
          <w:rFonts w:ascii="Times New Roman" w:eastAsia="Times New Roman" w:hAnsi="Times New Roman" w:cs="Times New Roman"/>
          <w:iCs/>
          <w:sz w:val="24"/>
          <w:szCs w:val="24"/>
        </w:rPr>
        <w:t>;</w:t>
      </w:r>
    </w:p>
    <w:p w14:paraId="1C34BBA2" w14:textId="2B9FA086" w:rsidR="003350B0" w:rsidRPr="00295940" w:rsidRDefault="003350B0" w:rsidP="00981FC4">
      <w:pPr>
        <w:pStyle w:val="ListParagraph"/>
        <w:numPr>
          <w:ilvl w:val="2"/>
          <w:numId w:val="3"/>
        </w:numPr>
        <w:spacing w:before="120" w:after="0" w:line="240" w:lineRule="auto"/>
        <w:ind w:left="1134" w:hanging="425"/>
        <w:contextualSpacing w:val="0"/>
        <w:jc w:val="both"/>
        <w:rPr>
          <w:rFonts w:ascii="Times New Roman" w:eastAsia="Times New Roman" w:hAnsi="Times New Roman" w:cs="Times New Roman"/>
          <w:iCs/>
          <w:sz w:val="24"/>
          <w:szCs w:val="24"/>
        </w:rPr>
      </w:pPr>
      <w:r w:rsidRPr="00295940">
        <w:rPr>
          <w:rFonts w:ascii="Times New Roman" w:eastAsia="Times New Roman" w:hAnsi="Times New Roman" w:cs="Times New Roman"/>
          <w:iCs/>
          <w:sz w:val="24"/>
          <w:szCs w:val="24"/>
        </w:rPr>
        <w:t>d</w:t>
      </w:r>
      <w:r w:rsidR="00CF7F65" w:rsidRPr="00295940">
        <w:rPr>
          <w:rFonts w:ascii="Times New Roman" w:eastAsia="Times New Roman" w:hAnsi="Times New Roman" w:cs="Times New Roman"/>
          <w:iCs/>
          <w:sz w:val="24"/>
          <w:szCs w:val="24"/>
        </w:rPr>
        <w:t>atu ievades regularitāt</w:t>
      </w:r>
      <w:r w:rsidR="00460DF3" w:rsidRPr="00295940">
        <w:rPr>
          <w:rFonts w:ascii="Times New Roman" w:eastAsia="Times New Roman" w:hAnsi="Times New Roman" w:cs="Times New Roman"/>
          <w:iCs/>
          <w:sz w:val="24"/>
          <w:szCs w:val="24"/>
        </w:rPr>
        <w:t>e</w:t>
      </w:r>
      <w:r w:rsidR="00CF7F65" w:rsidRPr="00295940">
        <w:rPr>
          <w:rFonts w:ascii="Times New Roman" w:eastAsia="Times New Roman" w:hAnsi="Times New Roman" w:cs="Times New Roman"/>
          <w:iCs/>
          <w:sz w:val="24"/>
          <w:szCs w:val="24"/>
        </w:rPr>
        <w:t xml:space="preserve">, kas ir nepieciešama, lai uzraudzītu </w:t>
      </w:r>
      <w:r w:rsidR="00633872" w:rsidRPr="00295940">
        <w:rPr>
          <w:rFonts w:ascii="Times New Roman" w:eastAsia="Times New Roman" w:hAnsi="Times New Roman" w:cs="Times New Roman"/>
          <w:iCs/>
          <w:sz w:val="24"/>
          <w:szCs w:val="24"/>
        </w:rPr>
        <w:t>Atveseļošanas fonda</w:t>
      </w:r>
      <w:r w:rsidR="00CF7F65" w:rsidRPr="00295940">
        <w:rPr>
          <w:rFonts w:ascii="Times New Roman" w:eastAsia="Times New Roman" w:hAnsi="Times New Roman" w:cs="Times New Roman"/>
          <w:iCs/>
          <w:sz w:val="24"/>
          <w:szCs w:val="24"/>
        </w:rPr>
        <w:t xml:space="preserve"> plāna ieviešanas progresu un nodrošinātu datu pieejamību un to apstrādi atbilstoši </w:t>
      </w:r>
      <w:r w:rsidR="00EC583E" w:rsidRPr="00295940">
        <w:rPr>
          <w:rFonts w:ascii="Times New Roman" w:eastAsia="Times New Roman" w:hAnsi="Times New Roman" w:cs="Times New Roman"/>
          <w:iCs/>
          <w:sz w:val="24"/>
          <w:szCs w:val="24"/>
        </w:rPr>
        <w:t>MK noteikumiem Nr.</w:t>
      </w:r>
      <w:r w:rsidR="007240B2">
        <w:rPr>
          <w:rFonts w:ascii="Times New Roman" w:eastAsia="Times New Roman" w:hAnsi="Times New Roman" w:cs="Times New Roman"/>
          <w:iCs/>
          <w:sz w:val="24"/>
          <w:szCs w:val="24"/>
        </w:rPr>
        <w:t> </w:t>
      </w:r>
      <w:r w:rsidR="00EC583E" w:rsidRPr="00295940">
        <w:rPr>
          <w:rFonts w:ascii="Times New Roman" w:eastAsia="Times New Roman" w:hAnsi="Times New Roman" w:cs="Times New Roman"/>
          <w:iCs/>
          <w:sz w:val="24"/>
          <w:szCs w:val="24"/>
        </w:rPr>
        <w:t>621;</w:t>
      </w:r>
    </w:p>
    <w:p w14:paraId="538A525C" w14:textId="42A23190" w:rsidR="00C720A8" w:rsidRPr="00295940" w:rsidRDefault="003350B0" w:rsidP="00981FC4">
      <w:pPr>
        <w:pStyle w:val="ListParagraph"/>
        <w:numPr>
          <w:ilvl w:val="2"/>
          <w:numId w:val="3"/>
        </w:numPr>
        <w:spacing w:before="120" w:after="0" w:line="240" w:lineRule="auto"/>
        <w:ind w:left="1134" w:hanging="425"/>
        <w:contextualSpacing w:val="0"/>
        <w:jc w:val="both"/>
        <w:rPr>
          <w:rFonts w:ascii="Times New Roman" w:eastAsia="Times New Roman" w:hAnsi="Times New Roman" w:cs="Times New Roman"/>
          <w:iCs/>
          <w:sz w:val="24"/>
          <w:szCs w:val="24"/>
        </w:rPr>
      </w:pPr>
      <w:r w:rsidRPr="00295940">
        <w:rPr>
          <w:rFonts w:ascii="Times New Roman" w:eastAsia="Times New Roman" w:hAnsi="Times New Roman" w:cs="Times New Roman"/>
          <w:iCs/>
          <w:sz w:val="24"/>
          <w:szCs w:val="24"/>
        </w:rPr>
        <w:t>c</w:t>
      </w:r>
      <w:r w:rsidR="00A8775A" w:rsidRPr="00295940">
        <w:rPr>
          <w:rFonts w:ascii="Times New Roman" w:eastAsia="Times New Roman" w:hAnsi="Times New Roman" w:cs="Times New Roman"/>
          <w:iCs/>
          <w:sz w:val="24"/>
          <w:szCs w:val="24"/>
        </w:rPr>
        <w:t xml:space="preserve">itus ar </w:t>
      </w:r>
      <w:r w:rsidR="007347A4">
        <w:rPr>
          <w:rFonts w:ascii="Times New Roman" w:eastAsia="Times New Roman" w:hAnsi="Times New Roman" w:cs="Times New Roman"/>
          <w:iCs/>
          <w:sz w:val="24"/>
          <w:szCs w:val="24"/>
        </w:rPr>
        <w:t>investīcijas</w:t>
      </w:r>
      <w:r w:rsidR="00A8775A" w:rsidRPr="00295940">
        <w:rPr>
          <w:rFonts w:ascii="Times New Roman" w:eastAsia="Times New Roman" w:hAnsi="Times New Roman" w:cs="Times New Roman"/>
          <w:iCs/>
          <w:sz w:val="24"/>
          <w:szCs w:val="24"/>
        </w:rPr>
        <w:t xml:space="preserve"> atskaites punkta mērķa sasniegšanu </w:t>
      </w:r>
      <w:r w:rsidRPr="00295940">
        <w:rPr>
          <w:rFonts w:ascii="Times New Roman" w:eastAsia="Times New Roman" w:hAnsi="Times New Roman" w:cs="Times New Roman"/>
          <w:iCs/>
          <w:sz w:val="24"/>
          <w:szCs w:val="24"/>
        </w:rPr>
        <w:t xml:space="preserve">un uzraudzību </w:t>
      </w:r>
      <w:r w:rsidR="00A8775A" w:rsidRPr="00295940">
        <w:rPr>
          <w:rFonts w:ascii="Times New Roman" w:eastAsia="Times New Roman" w:hAnsi="Times New Roman" w:cs="Times New Roman"/>
          <w:iCs/>
          <w:sz w:val="24"/>
          <w:szCs w:val="24"/>
        </w:rPr>
        <w:t>saistītus nosacījumus.</w:t>
      </w:r>
      <w:r w:rsidR="00C720A8" w:rsidRPr="00295940">
        <w:rPr>
          <w:rFonts w:ascii="Times New Roman" w:eastAsia="Times New Roman" w:hAnsi="Times New Roman" w:cs="Times New Roman"/>
          <w:iCs/>
          <w:sz w:val="24"/>
          <w:szCs w:val="24"/>
        </w:rPr>
        <w:t xml:space="preserve"> </w:t>
      </w:r>
    </w:p>
    <w:p w14:paraId="4F991725" w14:textId="3D1F0CEC" w:rsidR="00A8775A" w:rsidRPr="00922B22" w:rsidRDefault="00C720A8" w:rsidP="00981FC4">
      <w:pPr>
        <w:pStyle w:val="ListParagraph"/>
        <w:numPr>
          <w:ilvl w:val="1"/>
          <w:numId w:val="3"/>
        </w:numPr>
        <w:spacing w:before="120" w:after="0" w:line="240" w:lineRule="auto"/>
        <w:ind w:left="567" w:hanging="425"/>
        <w:contextualSpacing w:val="0"/>
        <w:jc w:val="both"/>
        <w:rPr>
          <w:rFonts w:ascii="Times New Roman" w:hAnsi="Times New Roman" w:cs="Times New Roman"/>
          <w:sz w:val="24"/>
          <w:szCs w:val="24"/>
        </w:rPr>
      </w:pPr>
      <w:r w:rsidRPr="00922B22">
        <w:rPr>
          <w:rFonts w:ascii="Times New Roman" w:hAnsi="Times New Roman" w:cs="Times New Roman"/>
          <w:sz w:val="24"/>
          <w:szCs w:val="24"/>
        </w:rPr>
        <w:t>Finansējuma saņēmējs, nodrošina MK noteikumu Nr.</w:t>
      </w:r>
      <w:r w:rsidR="00C31A40">
        <w:rPr>
          <w:rFonts w:ascii="Times New Roman" w:hAnsi="Times New Roman" w:cs="Times New Roman"/>
          <w:sz w:val="24"/>
          <w:szCs w:val="24"/>
        </w:rPr>
        <w:t> </w:t>
      </w:r>
      <w:r w:rsidRPr="00922B22">
        <w:rPr>
          <w:rFonts w:ascii="Times New Roman" w:hAnsi="Times New Roman" w:cs="Times New Roman"/>
          <w:sz w:val="24"/>
          <w:szCs w:val="24"/>
        </w:rPr>
        <w:t>621 10.2. apakšpunktā noteiktā pienākuma izpildi, proti</w:t>
      </w:r>
      <w:r w:rsidR="008C2F80" w:rsidRPr="00922B22">
        <w:rPr>
          <w:rFonts w:ascii="Times New Roman" w:hAnsi="Times New Roman" w:cs="Times New Roman"/>
          <w:sz w:val="24"/>
          <w:szCs w:val="24"/>
        </w:rPr>
        <w:t>,</w:t>
      </w:r>
      <w:r w:rsidRPr="00922B22">
        <w:rPr>
          <w:rFonts w:ascii="Times New Roman" w:hAnsi="Times New Roman" w:cs="Times New Roman"/>
          <w:sz w:val="24"/>
          <w:szCs w:val="24"/>
        </w:rPr>
        <w:t xml:space="preserve"> maksājuma pieprasījuma datus uzkrāj un ievada vadības informācijas sistēmā </w:t>
      </w:r>
      <w:r w:rsidR="006A3509">
        <w:rPr>
          <w:rFonts w:ascii="Times New Roman" w:hAnsi="Times New Roman" w:cs="Times New Roman"/>
          <w:sz w:val="24"/>
          <w:szCs w:val="24"/>
        </w:rPr>
        <w:t xml:space="preserve">divas reizes gadā  </w:t>
      </w:r>
      <w:r w:rsidR="006A3509">
        <w:rPr>
          <w:rFonts w:ascii="Times New Roman" w:hAnsi="Times New Roman"/>
          <w:sz w:val="24"/>
          <w:szCs w:val="24"/>
        </w:rPr>
        <w:t xml:space="preserve">– </w:t>
      </w:r>
      <w:r w:rsidRPr="00922B22">
        <w:rPr>
          <w:rFonts w:ascii="Times New Roman" w:hAnsi="Times New Roman" w:cs="Times New Roman"/>
          <w:sz w:val="24"/>
          <w:szCs w:val="24"/>
        </w:rPr>
        <w:t>līdz kārtējā gada 10. janvārim (ar statusu uz iepriekšējā gada 31. decembri) un 10. jūlijam (ar statusu uz kārtējā gada 30. jūniju).</w:t>
      </w:r>
    </w:p>
    <w:p w14:paraId="3FEC2BCD" w14:textId="10F4354D" w:rsidR="00C20244" w:rsidRDefault="0022122A" w:rsidP="00C20244">
      <w:pPr>
        <w:pStyle w:val="ListParagraph"/>
        <w:numPr>
          <w:ilvl w:val="1"/>
          <w:numId w:val="3"/>
        </w:numPr>
        <w:spacing w:before="120" w:after="0" w:line="240" w:lineRule="auto"/>
        <w:ind w:left="567" w:hanging="425"/>
        <w:contextualSpacing w:val="0"/>
        <w:jc w:val="both"/>
        <w:rPr>
          <w:rFonts w:ascii="Times New Roman" w:hAnsi="Times New Roman" w:cs="Times New Roman"/>
          <w:sz w:val="24"/>
          <w:szCs w:val="24"/>
        </w:rPr>
      </w:pPr>
      <w:r w:rsidRPr="00DE299F">
        <w:rPr>
          <w:rFonts w:ascii="Times New Roman" w:hAnsi="Times New Roman" w:cs="Times New Roman"/>
          <w:sz w:val="24"/>
          <w:szCs w:val="24"/>
        </w:rPr>
        <w:t xml:space="preserve">Finansējuma saņēmējs ir atbildīgs par </w:t>
      </w:r>
      <w:r w:rsidR="00C23F95">
        <w:rPr>
          <w:rFonts w:ascii="Times New Roman" w:hAnsi="Times New Roman" w:cs="Times New Roman"/>
          <w:sz w:val="24"/>
          <w:szCs w:val="24"/>
        </w:rPr>
        <w:t>investīcija</w:t>
      </w:r>
      <w:r w:rsidR="001E760C">
        <w:rPr>
          <w:rFonts w:ascii="Times New Roman" w:hAnsi="Times New Roman" w:cs="Times New Roman"/>
          <w:sz w:val="24"/>
          <w:szCs w:val="24"/>
        </w:rPr>
        <w:t>s</w:t>
      </w:r>
      <w:r w:rsidRPr="00DE299F">
        <w:rPr>
          <w:rFonts w:ascii="Times New Roman" w:hAnsi="Times New Roman" w:cs="Times New Roman"/>
          <w:sz w:val="24"/>
          <w:szCs w:val="24"/>
        </w:rPr>
        <w:t xml:space="preserve"> atskaites punkta pilnā (100%) apjomā sasniegšanu noteiktajā laika grafikā saskaņā ar </w:t>
      </w:r>
      <w:r w:rsidR="00633872" w:rsidRPr="00DE299F">
        <w:rPr>
          <w:rFonts w:ascii="Times New Roman" w:hAnsi="Times New Roman" w:cs="Times New Roman"/>
          <w:sz w:val="24"/>
          <w:szCs w:val="24"/>
        </w:rPr>
        <w:t xml:space="preserve">Atveseļošanas fonda  </w:t>
      </w:r>
      <w:r w:rsidRPr="00DE299F">
        <w:rPr>
          <w:rFonts w:ascii="Times New Roman" w:hAnsi="Times New Roman" w:cs="Times New Roman"/>
          <w:sz w:val="24"/>
          <w:szCs w:val="24"/>
        </w:rPr>
        <w:t xml:space="preserve">plānā un  </w:t>
      </w:r>
      <w:hyperlink r:id="rId9" w:tgtFrame="_blank" w:history="1">
        <w:r w:rsidR="00EC583E" w:rsidRPr="00DE299F">
          <w:rPr>
            <w:rFonts w:ascii="Times New Roman" w:hAnsi="Times New Roman" w:cs="Times New Roman"/>
            <w:sz w:val="24"/>
            <w:szCs w:val="24"/>
          </w:rPr>
          <w:t>Eiropas Padomes 2021.</w:t>
        </w:r>
        <w:r w:rsidR="00C31A40">
          <w:rPr>
            <w:rFonts w:ascii="Times New Roman" w:hAnsi="Times New Roman" w:cs="Times New Roman"/>
            <w:sz w:val="24"/>
            <w:szCs w:val="24"/>
          </w:rPr>
          <w:t> </w:t>
        </w:r>
        <w:r w:rsidR="00EC583E" w:rsidRPr="00DE299F">
          <w:rPr>
            <w:rFonts w:ascii="Times New Roman" w:hAnsi="Times New Roman" w:cs="Times New Roman"/>
            <w:sz w:val="24"/>
            <w:szCs w:val="24"/>
          </w:rPr>
          <w:t>gada 6.</w:t>
        </w:r>
        <w:r w:rsidR="00C31A40">
          <w:rPr>
            <w:rFonts w:ascii="Times New Roman" w:hAnsi="Times New Roman" w:cs="Times New Roman"/>
            <w:sz w:val="24"/>
            <w:szCs w:val="24"/>
          </w:rPr>
          <w:t> </w:t>
        </w:r>
        <w:r w:rsidR="00EC583E" w:rsidRPr="00DE299F">
          <w:rPr>
            <w:rFonts w:ascii="Times New Roman" w:hAnsi="Times New Roman" w:cs="Times New Roman"/>
            <w:sz w:val="24"/>
            <w:szCs w:val="24"/>
          </w:rPr>
          <w:t xml:space="preserve">jūlija lēmumā Nr. 2021/0164 par Latvijas Atveseļošanas un noturības mehānisma plāna </w:t>
        </w:r>
        <w:proofErr w:type="spellStart"/>
        <w:r w:rsidR="00EC583E" w:rsidRPr="00DE299F">
          <w:rPr>
            <w:rFonts w:ascii="Times New Roman" w:hAnsi="Times New Roman" w:cs="Times New Roman"/>
            <w:sz w:val="24"/>
            <w:szCs w:val="24"/>
          </w:rPr>
          <w:t>izvērtējuma</w:t>
        </w:r>
        <w:proofErr w:type="spellEnd"/>
        <w:r w:rsidR="00EC583E" w:rsidRPr="00DE299F">
          <w:rPr>
            <w:rFonts w:ascii="Times New Roman" w:hAnsi="Times New Roman" w:cs="Times New Roman"/>
            <w:sz w:val="24"/>
            <w:szCs w:val="24"/>
          </w:rPr>
          <w:t xml:space="preserve"> apstiprināšanu</w:t>
        </w:r>
      </w:hyperlink>
      <w:r w:rsidRPr="00DE299F">
        <w:rPr>
          <w:rFonts w:ascii="Times New Roman" w:hAnsi="Times New Roman" w:cs="Times New Roman"/>
          <w:sz w:val="24"/>
          <w:szCs w:val="24"/>
        </w:rPr>
        <w:t xml:space="preserve"> definēto.  </w:t>
      </w:r>
    </w:p>
    <w:p w14:paraId="6E944FC2" w14:textId="0AEFB202" w:rsidR="00C20244" w:rsidRPr="00C20244" w:rsidRDefault="00C20244" w:rsidP="00C20244">
      <w:pPr>
        <w:pStyle w:val="ListParagraph"/>
        <w:numPr>
          <w:ilvl w:val="1"/>
          <w:numId w:val="3"/>
        </w:numPr>
        <w:spacing w:before="120" w:after="0" w:line="240" w:lineRule="auto"/>
        <w:ind w:left="567" w:hanging="425"/>
        <w:contextualSpacing w:val="0"/>
        <w:jc w:val="both"/>
        <w:rPr>
          <w:rFonts w:ascii="Times New Roman" w:hAnsi="Times New Roman" w:cs="Times New Roman"/>
          <w:sz w:val="24"/>
          <w:szCs w:val="24"/>
        </w:rPr>
      </w:pPr>
      <w:r w:rsidRPr="00C20244">
        <w:rPr>
          <w:rFonts w:ascii="Times New Roman" w:hAnsi="Times New Roman" w:cs="Times New Roman"/>
          <w:sz w:val="24"/>
          <w:szCs w:val="24"/>
        </w:rPr>
        <w:t>Finansējuma saņēmējs nodrošina dokumentācijas par investīcijas īstenošanu glabāšanu uz laiku, kas nav īsāks par pieciem gadiem kopš pēdējā maksājuma veikšanas. Finansējuma saņēmējam ir pienākums sniegt nozares ministrijai un citām Atveseļošanas fonda plāna uzraudzībā iesaistītajām institūcijām, t</w:t>
      </w:r>
      <w:r w:rsidR="0015230C">
        <w:rPr>
          <w:rFonts w:ascii="Times New Roman" w:hAnsi="Times New Roman" w:cs="Times New Roman"/>
          <w:sz w:val="24"/>
          <w:szCs w:val="24"/>
        </w:rPr>
        <w:t xml:space="preserve">ajā </w:t>
      </w:r>
      <w:r w:rsidRPr="00C20244">
        <w:rPr>
          <w:rFonts w:ascii="Times New Roman" w:hAnsi="Times New Roman" w:cs="Times New Roman"/>
          <w:sz w:val="24"/>
          <w:szCs w:val="24"/>
        </w:rPr>
        <w:t>sk</w:t>
      </w:r>
      <w:r w:rsidR="0015230C">
        <w:rPr>
          <w:rFonts w:ascii="Times New Roman" w:hAnsi="Times New Roman" w:cs="Times New Roman"/>
          <w:sz w:val="24"/>
          <w:szCs w:val="24"/>
        </w:rPr>
        <w:t>aitā</w:t>
      </w:r>
      <w:r w:rsidRPr="00C20244">
        <w:rPr>
          <w:rFonts w:ascii="Times New Roman" w:hAnsi="Times New Roman" w:cs="Times New Roman"/>
          <w:sz w:val="24"/>
          <w:szCs w:val="24"/>
        </w:rPr>
        <w:t xml:space="preserve"> Latvijas Republikas un Eiropas Komisijas finansēšanas nolīgumā, par Atveseļošanas un noturības mehānismu minētajām iestādēm, ņemot vērā MK noteikumos Nr.</w:t>
      </w:r>
      <w:r w:rsidR="00174C3F">
        <w:rPr>
          <w:rFonts w:ascii="Times New Roman" w:hAnsi="Times New Roman" w:cs="Times New Roman"/>
          <w:sz w:val="24"/>
          <w:szCs w:val="24"/>
        </w:rPr>
        <w:t> </w:t>
      </w:r>
      <w:r w:rsidRPr="00C20244">
        <w:rPr>
          <w:rFonts w:ascii="Times New Roman" w:hAnsi="Times New Roman" w:cs="Times New Roman"/>
          <w:sz w:val="24"/>
          <w:szCs w:val="24"/>
        </w:rPr>
        <w:t>621 noteikto, visu nepieciešamo informāciju saistībā ar investīcijas</w:t>
      </w:r>
      <w:r w:rsidRPr="00C20244">
        <w:rPr>
          <w:rFonts w:ascii="Times New Roman" w:eastAsia="Times New Roman" w:hAnsi="Times New Roman" w:cs="Times New Roman"/>
          <w:iCs/>
          <w:sz w:val="24"/>
          <w:szCs w:val="24"/>
        </w:rPr>
        <w:t xml:space="preserve"> īstenošanu un investīcijas mērķu sasniegšanu, nodrošināt datu un informācijas pieejamību.</w:t>
      </w:r>
    </w:p>
    <w:p w14:paraId="703EA992" w14:textId="6B404F0F" w:rsidR="00ED60F2" w:rsidRPr="00657A86" w:rsidRDefault="00ED60F2" w:rsidP="00981FC4">
      <w:pPr>
        <w:pStyle w:val="ListParagraph"/>
        <w:numPr>
          <w:ilvl w:val="1"/>
          <w:numId w:val="3"/>
        </w:numPr>
        <w:spacing w:before="120" w:after="0" w:line="240" w:lineRule="auto"/>
        <w:ind w:left="567" w:hanging="425"/>
        <w:contextualSpacing w:val="0"/>
        <w:jc w:val="both"/>
        <w:rPr>
          <w:rFonts w:ascii="Times New Roman" w:hAnsi="Times New Roman" w:cs="Times New Roman"/>
          <w:sz w:val="24"/>
          <w:szCs w:val="24"/>
        </w:rPr>
      </w:pPr>
      <w:r w:rsidRPr="00657A86">
        <w:rPr>
          <w:rFonts w:ascii="Times New Roman" w:hAnsi="Times New Roman" w:cs="Times New Roman"/>
          <w:sz w:val="24"/>
          <w:szCs w:val="24"/>
        </w:rPr>
        <w:t>Finansējuma saņēmējs nodrošina informācijas un publicitātes pasākumus saskaņā ar regulas Nr. 2021/241 34.</w:t>
      </w:r>
      <w:r w:rsidR="00174C3F">
        <w:rPr>
          <w:rFonts w:ascii="Times New Roman" w:hAnsi="Times New Roman" w:cs="Times New Roman"/>
          <w:sz w:val="24"/>
          <w:szCs w:val="24"/>
        </w:rPr>
        <w:t> </w:t>
      </w:r>
      <w:r w:rsidRPr="00657A86">
        <w:rPr>
          <w:rFonts w:ascii="Times New Roman" w:hAnsi="Times New Roman" w:cs="Times New Roman"/>
          <w:sz w:val="24"/>
          <w:szCs w:val="24"/>
        </w:rPr>
        <w:t>pantu un Eiropas Komisijas un Latvijas Republikas Atveseļošanas un noturības mehānisma finansēšanas nolīguma 10.pantu, kā arī Eiropas Savienības fondu 2021.–2027.</w:t>
      </w:r>
      <w:r w:rsidR="00174C3F">
        <w:rPr>
          <w:rFonts w:ascii="Times New Roman" w:hAnsi="Times New Roman" w:cs="Times New Roman"/>
          <w:sz w:val="24"/>
          <w:szCs w:val="24"/>
        </w:rPr>
        <w:t> </w:t>
      </w:r>
      <w:r w:rsidRPr="00657A86">
        <w:rPr>
          <w:rFonts w:ascii="Times New Roman" w:hAnsi="Times New Roman" w:cs="Times New Roman"/>
          <w:sz w:val="24"/>
          <w:szCs w:val="24"/>
        </w:rPr>
        <w:t xml:space="preserve">gada plānošanas perioda </w:t>
      </w:r>
      <w:r w:rsidR="00424470" w:rsidRPr="00657A86">
        <w:rPr>
          <w:rFonts w:ascii="Times New Roman" w:hAnsi="Times New Roman" w:cs="Times New Roman"/>
          <w:sz w:val="24"/>
          <w:szCs w:val="24"/>
        </w:rPr>
        <w:t xml:space="preserve">un Atveseļošanas fonda </w:t>
      </w:r>
      <w:r w:rsidRPr="00657A86">
        <w:rPr>
          <w:rFonts w:ascii="Times New Roman" w:hAnsi="Times New Roman" w:cs="Times New Roman"/>
          <w:sz w:val="24"/>
          <w:szCs w:val="24"/>
        </w:rPr>
        <w:t>komunikācijas un dizaina vadlīnij</w:t>
      </w:r>
      <w:r w:rsidR="00B8792F">
        <w:rPr>
          <w:rFonts w:ascii="Times New Roman" w:hAnsi="Times New Roman" w:cs="Times New Roman"/>
          <w:sz w:val="24"/>
          <w:szCs w:val="24"/>
        </w:rPr>
        <w:t>ām</w:t>
      </w:r>
      <w:r w:rsidRPr="00657A86">
        <w:rPr>
          <w:rFonts w:ascii="Times New Roman" w:hAnsi="Times New Roman" w:cs="Times New Roman"/>
          <w:sz w:val="24"/>
          <w:szCs w:val="24"/>
        </w:rPr>
        <w:t>”.</w:t>
      </w:r>
    </w:p>
    <w:p w14:paraId="50E06A91" w14:textId="6CD90709" w:rsidR="00102954" w:rsidRPr="00BE3AF0" w:rsidRDefault="002B790F" w:rsidP="00981FC4">
      <w:pPr>
        <w:pStyle w:val="ListParagraph"/>
        <w:numPr>
          <w:ilvl w:val="1"/>
          <w:numId w:val="3"/>
        </w:numPr>
        <w:spacing w:before="120" w:after="0" w:line="240" w:lineRule="auto"/>
        <w:ind w:left="567" w:hanging="425"/>
        <w:contextualSpacing w:val="0"/>
        <w:jc w:val="both"/>
        <w:rPr>
          <w:rFonts w:ascii="Times New Roman" w:hAnsi="Times New Roman" w:cs="Times New Roman"/>
          <w:sz w:val="24"/>
          <w:szCs w:val="24"/>
        </w:rPr>
      </w:pPr>
      <w:r w:rsidRPr="00BE3AF0">
        <w:rPr>
          <w:rFonts w:ascii="Times New Roman" w:hAnsi="Times New Roman" w:cs="Times New Roman"/>
          <w:sz w:val="24"/>
          <w:szCs w:val="24"/>
          <w:shd w:val="clear" w:color="auto" w:fill="FFFFFF"/>
        </w:rPr>
        <w:t xml:space="preserve">Saskaņā ar </w:t>
      </w:r>
      <w:r w:rsidR="00657A86" w:rsidRPr="00BE3AF0">
        <w:rPr>
          <w:rFonts w:ascii="Times New Roman" w:hAnsi="Times New Roman" w:cs="Times New Roman"/>
          <w:sz w:val="24"/>
          <w:szCs w:val="24"/>
          <w:shd w:val="clear" w:color="auto" w:fill="FFFFFF"/>
        </w:rPr>
        <w:t>regulas Nr.</w:t>
      </w:r>
      <w:r w:rsidR="0084161B" w:rsidRPr="00BE3AF0">
        <w:rPr>
          <w:rFonts w:ascii="Times New Roman" w:hAnsi="Times New Roman" w:cs="Times New Roman"/>
          <w:sz w:val="24"/>
          <w:szCs w:val="24"/>
          <w:shd w:val="clear" w:color="auto" w:fill="FFFFFF"/>
        </w:rPr>
        <w:t xml:space="preserve"> 2021/241</w:t>
      </w:r>
      <w:r w:rsidRPr="00BE3AF0">
        <w:rPr>
          <w:rFonts w:ascii="Times New Roman" w:hAnsi="Times New Roman" w:cs="Times New Roman"/>
          <w:sz w:val="24"/>
          <w:szCs w:val="24"/>
        </w:rPr>
        <w:t xml:space="preserve"> 17. panta 2. punkta prasībām projekta izmaksas ir attiecināmas, ja tās atbilst šī informatīvā ziņojuma </w:t>
      </w:r>
      <w:r w:rsidRPr="00BE3AF0">
        <w:rPr>
          <w:rFonts w:ascii="Times New Roman" w:hAnsi="Times New Roman" w:cs="Times New Roman"/>
          <w:sz w:val="24"/>
          <w:szCs w:val="24"/>
        </w:rPr>
        <w:fldChar w:fldCharType="begin"/>
      </w:r>
      <w:r w:rsidRPr="00BE3AF0">
        <w:rPr>
          <w:rFonts w:ascii="Times New Roman" w:hAnsi="Times New Roman" w:cs="Times New Roman"/>
          <w:sz w:val="24"/>
          <w:szCs w:val="24"/>
        </w:rPr>
        <w:instrText xml:space="preserve"> REF _Ref94209769 \r \h  \* MERGEFORMAT </w:instrText>
      </w:r>
      <w:r w:rsidRPr="00BE3AF0">
        <w:rPr>
          <w:rFonts w:ascii="Times New Roman" w:hAnsi="Times New Roman" w:cs="Times New Roman"/>
          <w:sz w:val="24"/>
          <w:szCs w:val="24"/>
        </w:rPr>
      </w:r>
      <w:r w:rsidRPr="00BE3AF0">
        <w:rPr>
          <w:rFonts w:ascii="Times New Roman" w:hAnsi="Times New Roman" w:cs="Times New Roman"/>
          <w:sz w:val="24"/>
          <w:szCs w:val="24"/>
        </w:rPr>
        <w:fldChar w:fldCharType="separate"/>
      </w:r>
      <w:r w:rsidR="003C69E9" w:rsidRPr="00BE3AF0">
        <w:rPr>
          <w:rFonts w:ascii="Times New Roman" w:hAnsi="Times New Roman" w:cs="Times New Roman"/>
          <w:sz w:val="24"/>
          <w:szCs w:val="24"/>
        </w:rPr>
        <w:t>6.1</w:t>
      </w:r>
      <w:r w:rsidRPr="00BE3AF0">
        <w:rPr>
          <w:rFonts w:ascii="Times New Roman" w:hAnsi="Times New Roman" w:cs="Times New Roman"/>
          <w:sz w:val="24"/>
          <w:szCs w:val="24"/>
        </w:rPr>
        <w:fldChar w:fldCharType="end"/>
      </w:r>
      <w:r w:rsidRPr="00BE3AF0">
        <w:rPr>
          <w:rFonts w:ascii="Times New Roman" w:hAnsi="Times New Roman" w:cs="Times New Roman"/>
          <w:sz w:val="24"/>
          <w:szCs w:val="24"/>
        </w:rPr>
        <w:t>.</w:t>
      </w:r>
      <w:r w:rsidR="00174C3F">
        <w:rPr>
          <w:rFonts w:ascii="Times New Roman" w:hAnsi="Times New Roman" w:cs="Times New Roman"/>
          <w:sz w:val="24"/>
          <w:szCs w:val="24"/>
        </w:rPr>
        <w:t> apakš</w:t>
      </w:r>
      <w:r w:rsidRPr="00BE3AF0">
        <w:rPr>
          <w:rFonts w:ascii="Times New Roman" w:hAnsi="Times New Roman" w:cs="Times New Roman"/>
          <w:sz w:val="24"/>
          <w:szCs w:val="24"/>
        </w:rPr>
        <w:t xml:space="preserve">punktā noteiktajām atbalstāmo darbību un </w:t>
      </w:r>
      <w:r w:rsidRPr="00BE3AF0">
        <w:rPr>
          <w:rFonts w:ascii="Times New Roman" w:hAnsi="Times New Roman" w:cs="Times New Roman"/>
          <w:sz w:val="24"/>
          <w:szCs w:val="24"/>
        </w:rPr>
        <w:fldChar w:fldCharType="begin"/>
      </w:r>
      <w:r w:rsidRPr="00BE3AF0">
        <w:rPr>
          <w:rFonts w:ascii="Times New Roman" w:hAnsi="Times New Roman" w:cs="Times New Roman"/>
          <w:sz w:val="24"/>
          <w:szCs w:val="24"/>
        </w:rPr>
        <w:instrText xml:space="preserve"> REF _Ref94209782 \r \h  \* MERGEFORMAT </w:instrText>
      </w:r>
      <w:r w:rsidRPr="00BE3AF0">
        <w:rPr>
          <w:rFonts w:ascii="Times New Roman" w:hAnsi="Times New Roman" w:cs="Times New Roman"/>
          <w:sz w:val="24"/>
          <w:szCs w:val="24"/>
        </w:rPr>
      </w:r>
      <w:r w:rsidRPr="00BE3AF0">
        <w:rPr>
          <w:rFonts w:ascii="Times New Roman" w:hAnsi="Times New Roman" w:cs="Times New Roman"/>
          <w:sz w:val="24"/>
          <w:szCs w:val="24"/>
        </w:rPr>
        <w:fldChar w:fldCharType="separate"/>
      </w:r>
      <w:r w:rsidR="003C69E9" w:rsidRPr="00BE3AF0">
        <w:rPr>
          <w:rFonts w:ascii="Times New Roman" w:hAnsi="Times New Roman" w:cs="Times New Roman"/>
          <w:sz w:val="24"/>
          <w:szCs w:val="24"/>
        </w:rPr>
        <w:t>6.2</w:t>
      </w:r>
      <w:r w:rsidRPr="00BE3AF0">
        <w:rPr>
          <w:rFonts w:ascii="Times New Roman" w:hAnsi="Times New Roman" w:cs="Times New Roman"/>
          <w:sz w:val="24"/>
          <w:szCs w:val="24"/>
        </w:rPr>
        <w:fldChar w:fldCharType="end"/>
      </w:r>
      <w:r w:rsidRPr="00BE3AF0">
        <w:rPr>
          <w:rFonts w:ascii="Times New Roman" w:hAnsi="Times New Roman" w:cs="Times New Roman"/>
          <w:sz w:val="24"/>
          <w:szCs w:val="24"/>
        </w:rPr>
        <w:t>.</w:t>
      </w:r>
      <w:r w:rsidR="00174C3F">
        <w:rPr>
          <w:rFonts w:ascii="Times New Roman" w:hAnsi="Times New Roman" w:cs="Times New Roman"/>
          <w:sz w:val="24"/>
          <w:szCs w:val="24"/>
        </w:rPr>
        <w:t> </w:t>
      </w:r>
      <w:r w:rsidRPr="00BE3AF0">
        <w:rPr>
          <w:rFonts w:ascii="Times New Roman" w:hAnsi="Times New Roman" w:cs="Times New Roman"/>
          <w:sz w:val="24"/>
          <w:szCs w:val="24"/>
        </w:rPr>
        <w:t xml:space="preserve">apakšpunktā noteiktajām attiecināmo izmaksu pozīcijām un ir radušās sākot ar 2020. gada 1. februāri. </w:t>
      </w:r>
      <w:r w:rsidR="00BE3AF0" w:rsidRPr="00BE3AF0">
        <w:rPr>
          <w:rFonts w:ascii="Times New Roman" w:hAnsi="Times New Roman" w:cs="Times New Roman"/>
          <w:sz w:val="24"/>
          <w:szCs w:val="24"/>
        </w:rPr>
        <w:t xml:space="preserve">Uz vienošanās par projekta īstenošanu noslēgšanas brīdi nedrīkst tikt atbalstītas jau pabeigtas </w:t>
      </w:r>
      <w:r w:rsidR="00BE3AF0" w:rsidRPr="00BE3AF0">
        <w:rPr>
          <w:rFonts w:ascii="Times New Roman" w:hAnsi="Times New Roman" w:cs="Times New Roman"/>
          <w:sz w:val="24"/>
          <w:szCs w:val="24"/>
        </w:rPr>
        <w:lastRenderedPageBreak/>
        <w:t xml:space="preserve">darbības, ar pabeigtām darbībām saprotot investīcijas </w:t>
      </w:r>
      <w:r w:rsidR="00D608C7">
        <w:rPr>
          <w:rFonts w:ascii="Times New Roman" w:hAnsi="Times New Roman" w:cs="Times New Roman"/>
          <w:sz w:val="24"/>
          <w:szCs w:val="24"/>
        </w:rPr>
        <w:t>3.1. apakšpunktā noteikto</w:t>
      </w:r>
      <w:r w:rsidR="00BE3AF0" w:rsidRPr="00BE3AF0">
        <w:rPr>
          <w:rFonts w:ascii="Times New Roman" w:hAnsi="Times New Roman" w:cs="Times New Roman"/>
          <w:sz w:val="24"/>
          <w:szCs w:val="24"/>
        </w:rPr>
        <w:t xml:space="preserve"> </w:t>
      </w:r>
      <w:r w:rsidR="00D608C7">
        <w:rPr>
          <w:rFonts w:ascii="Times New Roman" w:hAnsi="Times New Roman" w:cs="Times New Roman"/>
          <w:sz w:val="24"/>
          <w:szCs w:val="24"/>
        </w:rPr>
        <w:t xml:space="preserve">rādītāju sasniegšanu </w:t>
      </w:r>
      <w:r w:rsidR="00BE3AF0" w:rsidRPr="00BE3AF0">
        <w:rPr>
          <w:rFonts w:ascii="Times New Roman" w:hAnsi="Times New Roman" w:cs="Times New Roman"/>
          <w:sz w:val="24"/>
          <w:szCs w:val="24"/>
        </w:rPr>
        <w:t>pilnībā.</w:t>
      </w:r>
    </w:p>
    <w:p w14:paraId="60CE42BA" w14:textId="294C66A5" w:rsidR="00ED60F2" w:rsidRPr="00954415" w:rsidRDefault="00ED60F2" w:rsidP="00981FC4">
      <w:pPr>
        <w:pStyle w:val="ListParagraph"/>
        <w:numPr>
          <w:ilvl w:val="1"/>
          <w:numId w:val="3"/>
        </w:numPr>
        <w:spacing w:before="120" w:after="0" w:line="240" w:lineRule="auto"/>
        <w:ind w:left="567" w:hanging="425"/>
        <w:contextualSpacing w:val="0"/>
        <w:jc w:val="both"/>
        <w:rPr>
          <w:rFonts w:ascii="Times New Roman" w:hAnsi="Times New Roman" w:cs="Times New Roman"/>
          <w:sz w:val="24"/>
          <w:szCs w:val="24"/>
        </w:rPr>
      </w:pPr>
      <w:bookmarkStart w:id="20" w:name="_Hlk95416792"/>
      <w:r w:rsidRPr="00954415">
        <w:rPr>
          <w:rFonts w:ascii="Times New Roman" w:hAnsi="Times New Roman" w:cs="Times New Roman"/>
          <w:sz w:val="24"/>
          <w:szCs w:val="24"/>
        </w:rPr>
        <w:t xml:space="preserve">Atbilstoši </w:t>
      </w:r>
      <w:r w:rsidRPr="00954415">
        <w:rPr>
          <w:rFonts w:ascii="Times New Roman" w:hAnsi="Times New Roman" w:cs="Times New Roman"/>
          <w:sz w:val="24"/>
          <w:szCs w:val="24"/>
          <w:shd w:val="clear" w:color="auto" w:fill="FFFFFF"/>
        </w:rPr>
        <w:t>regulas Nr. </w:t>
      </w:r>
      <w:hyperlink r:id="rId10" w:tgtFrame="_blank" w:history="1">
        <w:r w:rsidRPr="00954415">
          <w:rPr>
            <w:rStyle w:val="Hyperlink"/>
            <w:rFonts w:ascii="Times New Roman" w:hAnsi="Times New Roman" w:cs="Times New Roman"/>
            <w:sz w:val="24"/>
            <w:szCs w:val="24"/>
            <w:shd w:val="clear" w:color="auto" w:fill="FFFFFF"/>
          </w:rPr>
          <w:t>2021/241</w:t>
        </w:r>
      </w:hyperlink>
      <w:r w:rsidRPr="00954415">
        <w:rPr>
          <w:rFonts w:ascii="Times New Roman" w:hAnsi="Times New Roman" w:cs="Times New Roman"/>
          <w:sz w:val="24"/>
          <w:szCs w:val="24"/>
        </w:rPr>
        <w:t xml:space="preserve"> 22. pantam finansējuma saņēmējs nodrošina, ka visā projekta īstenošanas laikā tiks ievēroti</w:t>
      </w:r>
      <w:r w:rsidR="00163CFD" w:rsidRPr="00954415">
        <w:rPr>
          <w:rFonts w:ascii="Times New Roman" w:hAnsi="Times New Roman" w:cs="Times New Roman"/>
          <w:sz w:val="24"/>
          <w:szCs w:val="24"/>
        </w:rPr>
        <w:t xml:space="preserve"> normatīvajos aktos noteiktie</w:t>
      </w:r>
      <w:r w:rsidRPr="00954415">
        <w:rPr>
          <w:rFonts w:ascii="Times New Roman" w:hAnsi="Times New Roman" w:cs="Times New Roman"/>
          <w:sz w:val="24"/>
          <w:szCs w:val="24"/>
        </w:rPr>
        <w:t xml:space="preserve"> interešu konflikta, korupcijas un krāpšanas novēršanas un dubultā finansējuma novēršanas nosacījumi, kuriem iestājoties </w:t>
      </w:r>
      <w:r w:rsidR="00163CFD" w:rsidRPr="00954415">
        <w:rPr>
          <w:rFonts w:ascii="Times New Roman" w:hAnsi="Times New Roman" w:cs="Times New Roman"/>
          <w:sz w:val="24"/>
          <w:szCs w:val="24"/>
        </w:rPr>
        <w:t xml:space="preserve">atbilstoši </w:t>
      </w:r>
      <w:r w:rsidR="00385A95" w:rsidRPr="00954415">
        <w:rPr>
          <w:rFonts w:ascii="Times New Roman" w:hAnsi="Times New Roman" w:cs="Times New Roman"/>
          <w:sz w:val="24"/>
          <w:szCs w:val="24"/>
        </w:rPr>
        <w:t>MK noteikumiem Nr.</w:t>
      </w:r>
      <w:r w:rsidR="00174C3F">
        <w:rPr>
          <w:rFonts w:ascii="Times New Roman" w:hAnsi="Times New Roman" w:cs="Times New Roman"/>
          <w:sz w:val="24"/>
          <w:szCs w:val="24"/>
        </w:rPr>
        <w:t> </w:t>
      </w:r>
      <w:r w:rsidR="00385A95" w:rsidRPr="00954415">
        <w:rPr>
          <w:rFonts w:ascii="Times New Roman" w:hAnsi="Times New Roman" w:cs="Times New Roman"/>
          <w:sz w:val="24"/>
          <w:szCs w:val="24"/>
        </w:rPr>
        <w:t>621</w:t>
      </w:r>
      <w:r w:rsidR="00163CFD" w:rsidRPr="00954415">
        <w:rPr>
          <w:rFonts w:ascii="Times New Roman" w:hAnsi="Times New Roman" w:cs="Times New Roman"/>
          <w:sz w:val="24"/>
          <w:szCs w:val="24"/>
        </w:rPr>
        <w:t xml:space="preserve"> </w:t>
      </w:r>
      <w:r w:rsidRPr="00954415">
        <w:rPr>
          <w:rFonts w:ascii="Times New Roman" w:hAnsi="Times New Roman" w:cs="Times New Roman"/>
          <w:sz w:val="24"/>
          <w:szCs w:val="24"/>
        </w:rPr>
        <w:t>pret finansējuma saņēmēju var tikt piemērotas attiecīgas korektīvās darbības.</w:t>
      </w:r>
      <w:r w:rsidR="00DA79AE" w:rsidRPr="00954415">
        <w:rPr>
          <w:rFonts w:ascii="Times New Roman" w:hAnsi="Times New Roman" w:cs="Times New Roman"/>
          <w:sz w:val="24"/>
          <w:szCs w:val="24"/>
        </w:rPr>
        <w:t xml:space="preserve"> </w:t>
      </w:r>
    </w:p>
    <w:bookmarkEnd w:id="20"/>
    <w:p w14:paraId="7A49B4A6" w14:textId="08DED2DF" w:rsidR="00FD5268" w:rsidRPr="00AF2685" w:rsidRDefault="00FD5268" w:rsidP="00981FC4">
      <w:pPr>
        <w:pStyle w:val="ListParagraph"/>
        <w:numPr>
          <w:ilvl w:val="1"/>
          <w:numId w:val="3"/>
        </w:numPr>
        <w:spacing w:before="120" w:after="0" w:line="240" w:lineRule="auto"/>
        <w:ind w:left="567" w:hanging="425"/>
        <w:contextualSpacing w:val="0"/>
        <w:jc w:val="both"/>
        <w:rPr>
          <w:rFonts w:ascii="Times New Roman" w:eastAsia="Times New Roman" w:hAnsi="Times New Roman" w:cs="Times New Roman"/>
          <w:iCs/>
          <w:sz w:val="24"/>
          <w:szCs w:val="24"/>
        </w:rPr>
      </w:pPr>
      <w:r w:rsidRPr="00AF2685">
        <w:rPr>
          <w:rFonts w:ascii="Times New Roman" w:hAnsi="Times New Roman" w:cs="Times New Roman"/>
          <w:sz w:val="24"/>
          <w:szCs w:val="24"/>
        </w:rPr>
        <w:t>Atveseļošanas fonda plāna izstrādes brīdi tikai veikts atskaites punkta darbību izvērtējums regulas Nr. </w:t>
      </w:r>
      <w:hyperlink r:id="rId11" w:tgtFrame="_blank" w:history="1">
        <w:r w:rsidRPr="00AF2685">
          <w:rPr>
            <w:rFonts w:ascii="Times New Roman" w:hAnsi="Times New Roman" w:cs="Times New Roman"/>
            <w:sz w:val="24"/>
            <w:szCs w:val="24"/>
          </w:rPr>
          <w:t>2021/241</w:t>
        </w:r>
      </w:hyperlink>
      <w:r w:rsidRPr="00AF2685">
        <w:rPr>
          <w:rFonts w:ascii="Times New Roman" w:hAnsi="Times New Roman" w:cs="Times New Roman"/>
          <w:sz w:val="24"/>
          <w:szCs w:val="24"/>
        </w:rPr>
        <w:t xml:space="preserve"> 5. panta 2. punkta un Eiropas Parlamenta un Padomes  2020. gada 18. jūnija Regulas (ES) 2020/852 par regulējuma izveidi ilgtspējīgu ieguldījumu veicināšanai un ar kuru groza Regulu (ES) 2019/2088, 17. panta prasībām, kas nodrošina, ka tiek ievēroti principa “Nenodarīt būtisku kaitējumu”. Atskaites punkta projektam nav ietekmes </w:t>
      </w:r>
      <w:r w:rsidRPr="00AF2685">
        <w:rPr>
          <w:rStyle w:val="cf01"/>
          <w:rFonts w:ascii="Times New Roman" w:hAnsi="Times New Roman" w:cs="Times New Roman"/>
          <w:sz w:val="24"/>
          <w:szCs w:val="24"/>
        </w:rPr>
        <w:t xml:space="preserve"> </w:t>
      </w:r>
      <w:r w:rsidRPr="00AF2685">
        <w:rPr>
          <w:rFonts w:ascii="Times New Roman" w:hAnsi="Times New Roman" w:cs="Times New Roman"/>
          <w:sz w:val="24"/>
          <w:szCs w:val="24"/>
        </w:rPr>
        <w:t>uz principu “Nenodarīt būtisku kaitējumu”.</w:t>
      </w:r>
    </w:p>
    <w:p w14:paraId="7A5C5D7D" w14:textId="733B0AA8" w:rsidR="00D701A4" w:rsidRPr="00AF2685" w:rsidRDefault="00EF5932" w:rsidP="00AF2685">
      <w:pPr>
        <w:pStyle w:val="ListParagraph"/>
        <w:numPr>
          <w:ilvl w:val="1"/>
          <w:numId w:val="3"/>
        </w:numPr>
        <w:spacing w:before="120" w:line="240" w:lineRule="auto"/>
        <w:ind w:left="567" w:hanging="425"/>
        <w:contextualSpacing w:val="0"/>
        <w:jc w:val="both"/>
        <w:rPr>
          <w:rFonts w:ascii="Times New Roman" w:hAnsi="Times New Roman" w:cs="Times New Roman"/>
          <w:sz w:val="24"/>
          <w:szCs w:val="24"/>
        </w:rPr>
      </w:pPr>
      <w:r w:rsidRPr="00AF2685">
        <w:rPr>
          <w:rFonts w:ascii="Times New Roman" w:hAnsi="Times New Roman" w:cs="Times New Roman"/>
          <w:sz w:val="24"/>
          <w:szCs w:val="24"/>
        </w:rPr>
        <w:t>Finansējuma saņēmējs nodrošina, ka gadījumos, kad atskaites punkta īstenošanai nepieciešams veikt iepirkumu, ja vien tas ir iespējams un attiecināms, ņemot vērā attiecīgo atskaites punkta specifiku, tiek veikts sociāli atbildīgs publiskais iepirkums atbilstoši Iepirkumu uzraudzības biroja sagatavotajai informācijai par Sociāli atbildīgu publisko iepirkumu</w:t>
      </w:r>
      <w:r w:rsidR="007F040D">
        <w:rPr>
          <w:rStyle w:val="FootnoteReference"/>
          <w:rFonts w:ascii="Times New Roman" w:hAnsi="Times New Roman" w:cs="Times New Roman"/>
          <w:sz w:val="24"/>
          <w:szCs w:val="24"/>
        </w:rPr>
        <w:footnoteReference w:id="7"/>
      </w:r>
      <w:r w:rsidR="007F040D">
        <w:rPr>
          <w:rFonts w:ascii="Times New Roman" w:hAnsi="Times New Roman" w:cs="Times New Roman"/>
          <w:sz w:val="24"/>
          <w:szCs w:val="24"/>
        </w:rPr>
        <w:t>.</w:t>
      </w:r>
      <w:r w:rsidRPr="00AF2685">
        <w:rPr>
          <w:rFonts w:ascii="Times New Roman" w:hAnsi="Times New Roman" w:cs="Times New Roman"/>
          <w:sz w:val="24"/>
          <w:szCs w:val="24"/>
        </w:rPr>
        <w:t xml:space="preserve"> </w:t>
      </w:r>
    </w:p>
    <w:p w14:paraId="461B5AD6" w14:textId="29392FBB" w:rsidR="002B0734" w:rsidRPr="00AF2685" w:rsidRDefault="002B0734" w:rsidP="00981FC4">
      <w:pPr>
        <w:pStyle w:val="ListParagraph"/>
        <w:numPr>
          <w:ilvl w:val="1"/>
          <w:numId w:val="3"/>
        </w:numPr>
        <w:spacing w:after="0" w:line="240" w:lineRule="auto"/>
        <w:ind w:left="567" w:hanging="567"/>
        <w:jc w:val="both"/>
        <w:rPr>
          <w:rFonts w:ascii="Times New Roman" w:hAnsi="Times New Roman" w:cs="Times New Roman"/>
          <w:sz w:val="24"/>
          <w:szCs w:val="24"/>
        </w:rPr>
      </w:pPr>
      <w:r w:rsidRPr="00AF2685">
        <w:rPr>
          <w:rStyle w:val="word"/>
          <w:rFonts w:ascii="Times New Roman" w:hAnsi="Times New Roman" w:cs="Times New Roman"/>
          <w:sz w:val="24"/>
          <w:szCs w:val="24"/>
        </w:rPr>
        <w:t>Finansējuma saņēmējs nodrošina projekta izmaksu, t</w:t>
      </w:r>
      <w:r w:rsidR="00AF2685" w:rsidRPr="00AF2685">
        <w:rPr>
          <w:rStyle w:val="word"/>
          <w:rFonts w:ascii="Times New Roman" w:hAnsi="Times New Roman" w:cs="Times New Roman"/>
          <w:sz w:val="24"/>
          <w:szCs w:val="24"/>
        </w:rPr>
        <w:t>ajā skaitā</w:t>
      </w:r>
      <w:r w:rsidRPr="00AF2685">
        <w:rPr>
          <w:rStyle w:val="word"/>
          <w:rFonts w:ascii="Times New Roman" w:hAnsi="Times New Roman" w:cs="Times New Roman"/>
          <w:sz w:val="24"/>
          <w:szCs w:val="24"/>
        </w:rPr>
        <w:t xml:space="preserve"> </w:t>
      </w:r>
      <w:r w:rsidR="00847203">
        <w:rPr>
          <w:rFonts w:ascii="Times New Roman" w:hAnsi="Times New Roman" w:cs="Times New Roman"/>
          <w:sz w:val="24"/>
          <w:szCs w:val="24"/>
        </w:rPr>
        <w:t>PVN</w:t>
      </w:r>
      <w:r w:rsidRPr="00AF2685">
        <w:rPr>
          <w:rStyle w:val="word"/>
          <w:rFonts w:ascii="Times New Roman" w:hAnsi="Times New Roman" w:cs="Times New Roman"/>
          <w:sz w:val="24"/>
          <w:szCs w:val="24"/>
        </w:rPr>
        <w:t xml:space="preserve"> izmaksu, uzskaiti un nodalīšanu. Gadījumā, ja sākotnēji plānotais </w:t>
      </w:r>
      <w:r w:rsidR="00847203">
        <w:rPr>
          <w:rFonts w:ascii="Times New Roman" w:hAnsi="Times New Roman" w:cs="Times New Roman"/>
          <w:sz w:val="24"/>
          <w:szCs w:val="24"/>
        </w:rPr>
        <w:t xml:space="preserve">PVN </w:t>
      </w:r>
      <w:r w:rsidRPr="00AF2685">
        <w:rPr>
          <w:rStyle w:val="word"/>
          <w:rFonts w:ascii="Times New Roman" w:hAnsi="Times New Roman" w:cs="Times New Roman"/>
          <w:sz w:val="24"/>
          <w:szCs w:val="24"/>
        </w:rPr>
        <w:t xml:space="preserve">apjoms būs lielāks, nekā faktiski nepieciešamais, nodrošina pārmaksātā </w:t>
      </w:r>
      <w:r w:rsidR="00A96F8B">
        <w:rPr>
          <w:rFonts w:ascii="Times New Roman" w:hAnsi="Times New Roman" w:cs="Times New Roman"/>
          <w:sz w:val="24"/>
          <w:szCs w:val="24"/>
        </w:rPr>
        <w:t xml:space="preserve">PVN </w:t>
      </w:r>
      <w:r w:rsidR="00AF2685">
        <w:rPr>
          <w:rStyle w:val="word"/>
          <w:rFonts w:ascii="Times New Roman" w:hAnsi="Times New Roman" w:cs="Times New Roman"/>
          <w:sz w:val="24"/>
          <w:szCs w:val="24"/>
        </w:rPr>
        <w:t>atmaksāšanu.</w:t>
      </w:r>
    </w:p>
    <w:p w14:paraId="5A49972C" w14:textId="148A5F67" w:rsidR="00D701A4" w:rsidRPr="00DD5B82" w:rsidRDefault="00961179" w:rsidP="00981FC4">
      <w:pPr>
        <w:pStyle w:val="ListParagraph"/>
        <w:numPr>
          <w:ilvl w:val="1"/>
          <w:numId w:val="3"/>
        </w:numPr>
        <w:spacing w:before="120" w:after="0" w:line="240" w:lineRule="auto"/>
        <w:ind w:left="567" w:hanging="425"/>
        <w:contextualSpacing w:val="0"/>
        <w:jc w:val="both"/>
        <w:rPr>
          <w:rFonts w:ascii="Times New Roman" w:hAnsi="Times New Roman" w:cs="Times New Roman"/>
          <w:sz w:val="24"/>
          <w:szCs w:val="24"/>
        </w:rPr>
      </w:pPr>
      <w:r w:rsidRPr="00DD5B82">
        <w:rPr>
          <w:rFonts w:ascii="Times New Roman" w:hAnsi="Times New Roman" w:cs="Times New Roman"/>
          <w:sz w:val="24"/>
          <w:szCs w:val="24"/>
        </w:rPr>
        <w:t xml:space="preserve">Atskaites punkta ietvaros </w:t>
      </w:r>
      <w:r w:rsidR="00D701A4" w:rsidRPr="00DD5B82">
        <w:rPr>
          <w:rFonts w:ascii="Times New Roman" w:hAnsi="Times New Roman" w:cs="Times New Roman"/>
          <w:sz w:val="24"/>
          <w:szCs w:val="24"/>
        </w:rPr>
        <w:t xml:space="preserve">projektu īsteno saskaņā ar </w:t>
      </w:r>
      <w:r w:rsidRPr="00DD5B82">
        <w:rPr>
          <w:rFonts w:ascii="Times New Roman" w:hAnsi="Times New Roman" w:cs="Times New Roman"/>
          <w:sz w:val="24"/>
          <w:szCs w:val="24"/>
        </w:rPr>
        <w:t>vienošanos</w:t>
      </w:r>
      <w:r w:rsidR="00D701A4" w:rsidRPr="00DD5B82">
        <w:rPr>
          <w:rFonts w:ascii="Times New Roman" w:hAnsi="Times New Roman" w:cs="Times New Roman"/>
          <w:sz w:val="24"/>
          <w:szCs w:val="24"/>
        </w:rPr>
        <w:t xml:space="preserve"> par projekta īstenošanu, bet ne ilgāk kā līdz 2026. gada 31.</w:t>
      </w:r>
      <w:r w:rsidR="002D5CC4">
        <w:rPr>
          <w:rFonts w:ascii="Times New Roman" w:hAnsi="Times New Roman" w:cs="Times New Roman"/>
          <w:sz w:val="24"/>
          <w:szCs w:val="24"/>
        </w:rPr>
        <w:t> </w:t>
      </w:r>
      <w:r w:rsidR="00D701A4" w:rsidRPr="00DD5B82">
        <w:rPr>
          <w:rFonts w:ascii="Times New Roman" w:hAnsi="Times New Roman" w:cs="Times New Roman"/>
          <w:sz w:val="24"/>
          <w:szCs w:val="24"/>
        </w:rPr>
        <w:t>augustam, ievērojot, ka:</w:t>
      </w:r>
    </w:p>
    <w:p w14:paraId="155402E0" w14:textId="77777777" w:rsidR="001A2AB8" w:rsidRDefault="00D701A4" w:rsidP="00981FC4">
      <w:pPr>
        <w:pStyle w:val="ListParagraph"/>
        <w:numPr>
          <w:ilvl w:val="2"/>
          <w:numId w:val="3"/>
        </w:numPr>
        <w:spacing w:before="120" w:after="0" w:line="240" w:lineRule="auto"/>
        <w:ind w:left="1276"/>
        <w:contextualSpacing w:val="0"/>
        <w:jc w:val="both"/>
        <w:rPr>
          <w:rFonts w:ascii="Times New Roman" w:hAnsi="Times New Roman" w:cs="Times New Roman"/>
          <w:sz w:val="24"/>
          <w:szCs w:val="24"/>
        </w:rPr>
      </w:pPr>
      <w:r w:rsidRPr="00DD5B82">
        <w:rPr>
          <w:rFonts w:ascii="Times New Roman" w:hAnsi="Times New Roman" w:cs="Times New Roman"/>
          <w:sz w:val="24"/>
          <w:szCs w:val="24"/>
        </w:rPr>
        <w:t xml:space="preserve">finansējuma saņēmējs izdevumus </w:t>
      </w:r>
      <w:r w:rsidR="00EF2E1F">
        <w:rPr>
          <w:rFonts w:ascii="Times New Roman" w:hAnsi="Times New Roman" w:cs="Times New Roman"/>
          <w:sz w:val="24"/>
          <w:szCs w:val="24"/>
        </w:rPr>
        <w:t>atskaites punkta</w:t>
      </w:r>
      <w:r w:rsidR="001A2AB8">
        <w:rPr>
          <w:rFonts w:ascii="Times New Roman" w:hAnsi="Times New Roman" w:cs="Times New Roman"/>
          <w:sz w:val="24"/>
          <w:szCs w:val="24"/>
        </w:rPr>
        <w:t>:</w:t>
      </w:r>
    </w:p>
    <w:p w14:paraId="4BB223F5" w14:textId="2FDC3F78" w:rsidR="00C37B4C" w:rsidRDefault="00EF2E1F" w:rsidP="00C37B4C">
      <w:pPr>
        <w:pStyle w:val="ListParagraph"/>
        <w:numPr>
          <w:ilvl w:val="3"/>
          <w:numId w:val="3"/>
        </w:numPr>
        <w:spacing w:before="120" w:after="0" w:line="240" w:lineRule="auto"/>
        <w:ind w:left="2268" w:hanging="992"/>
        <w:contextualSpacing w:val="0"/>
        <w:jc w:val="both"/>
        <w:rPr>
          <w:rFonts w:ascii="Times New Roman" w:hAnsi="Times New Roman" w:cs="Times New Roman"/>
          <w:sz w:val="24"/>
          <w:szCs w:val="24"/>
        </w:rPr>
      </w:pPr>
      <w:r>
        <w:rPr>
          <w:rFonts w:ascii="Times New Roman" w:hAnsi="Times New Roman" w:cs="Times New Roman"/>
          <w:sz w:val="24"/>
          <w:szCs w:val="24"/>
        </w:rPr>
        <w:t xml:space="preserve">“metodikas pieņemšana” ietvaros </w:t>
      </w:r>
      <w:r w:rsidR="00D701A4" w:rsidRPr="00DD5B82">
        <w:rPr>
          <w:rFonts w:ascii="Times New Roman" w:hAnsi="Times New Roman" w:cs="Times New Roman"/>
          <w:sz w:val="24"/>
          <w:szCs w:val="24"/>
        </w:rPr>
        <w:t>var veikt līdz 202</w:t>
      </w:r>
      <w:r w:rsidR="00565D6C">
        <w:rPr>
          <w:rFonts w:ascii="Times New Roman" w:hAnsi="Times New Roman" w:cs="Times New Roman"/>
          <w:sz w:val="24"/>
          <w:szCs w:val="24"/>
        </w:rPr>
        <w:t>2</w:t>
      </w:r>
      <w:r w:rsidR="00D701A4" w:rsidRPr="00DD5B82">
        <w:rPr>
          <w:rFonts w:ascii="Times New Roman" w:hAnsi="Times New Roman" w:cs="Times New Roman"/>
          <w:sz w:val="24"/>
          <w:szCs w:val="24"/>
        </w:rPr>
        <w:t>.</w:t>
      </w:r>
      <w:r w:rsidR="002D5CC4">
        <w:rPr>
          <w:rFonts w:ascii="Times New Roman" w:hAnsi="Times New Roman" w:cs="Times New Roman"/>
          <w:sz w:val="24"/>
          <w:szCs w:val="24"/>
        </w:rPr>
        <w:t> </w:t>
      </w:r>
      <w:r w:rsidR="00D701A4" w:rsidRPr="00DD5B82">
        <w:rPr>
          <w:rFonts w:ascii="Times New Roman" w:hAnsi="Times New Roman" w:cs="Times New Roman"/>
          <w:sz w:val="24"/>
          <w:szCs w:val="24"/>
        </w:rPr>
        <w:t xml:space="preserve">gada </w:t>
      </w:r>
      <w:r w:rsidR="00163CFD" w:rsidRPr="00DD5B82">
        <w:rPr>
          <w:rFonts w:ascii="Times New Roman" w:hAnsi="Times New Roman" w:cs="Times New Roman"/>
          <w:sz w:val="24"/>
          <w:szCs w:val="24"/>
        </w:rPr>
        <w:t>3</w:t>
      </w:r>
      <w:r w:rsidR="008C484E">
        <w:rPr>
          <w:rFonts w:ascii="Times New Roman" w:hAnsi="Times New Roman" w:cs="Times New Roman"/>
          <w:sz w:val="24"/>
          <w:szCs w:val="24"/>
        </w:rPr>
        <w:t>0.septembrim</w:t>
      </w:r>
      <w:r w:rsidR="00D701A4" w:rsidRPr="00DD5B82">
        <w:rPr>
          <w:rFonts w:ascii="Times New Roman" w:hAnsi="Times New Roman" w:cs="Times New Roman"/>
          <w:sz w:val="24"/>
          <w:szCs w:val="24"/>
        </w:rPr>
        <w:t>;</w:t>
      </w:r>
    </w:p>
    <w:p w14:paraId="0E04C9D5" w14:textId="4D33D34E" w:rsidR="00C37B4C" w:rsidRDefault="00251FA3" w:rsidP="00C37B4C">
      <w:pPr>
        <w:pStyle w:val="ListParagraph"/>
        <w:numPr>
          <w:ilvl w:val="3"/>
          <w:numId w:val="3"/>
        </w:numPr>
        <w:spacing w:before="120" w:after="0" w:line="240" w:lineRule="auto"/>
        <w:ind w:left="2268" w:hanging="992"/>
        <w:contextualSpacing w:val="0"/>
        <w:jc w:val="both"/>
        <w:rPr>
          <w:rFonts w:ascii="Times New Roman" w:hAnsi="Times New Roman" w:cs="Times New Roman"/>
          <w:sz w:val="24"/>
          <w:szCs w:val="24"/>
        </w:rPr>
      </w:pPr>
      <w:r w:rsidRPr="00C37B4C">
        <w:rPr>
          <w:rFonts w:ascii="Times New Roman" w:hAnsi="Times New Roman" w:cs="Times New Roman"/>
          <w:sz w:val="24"/>
          <w:szCs w:val="24"/>
        </w:rPr>
        <w:t xml:space="preserve"> “sabiedrības veselības pētniecība” ietvaros var veikt līdz 202</w:t>
      </w:r>
      <w:r w:rsidR="00565D6C" w:rsidRPr="00C37B4C">
        <w:rPr>
          <w:rFonts w:ascii="Times New Roman" w:hAnsi="Times New Roman" w:cs="Times New Roman"/>
          <w:sz w:val="24"/>
          <w:szCs w:val="24"/>
        </w:rPr>
        <w:t>5</w:t>
      </w:r>
      <w:r w:rsidRPr="00C37B4C">
        <w:rPr>
          <w:rFonts w:ascii="Times New Roman" w:hAnsi="Times New Roman" w:cs="Times New Roman"/>
          <w:sz w:val="24"/>
          <w:szCs w:val="24"/>
        </w:rPr>
        <w:t>.</w:t>
      </w:r>
      <w:r w:rsidR="002D5CC4">
        <w:rPr>
          <w:rFonts w:ascii="Times New Roman" w:hAnsi="Times New Roman" w:cs="Times New Roman"/>
          <w:sz w:val="24"/>
          <w:szCs w:val="24"/>
        </w:rPr>
        <w:t> </w:t>
      </w:r>
      <w:r w:rsidRPr="00C37B4C">
        <w:rPr>
          <w:rFonts w:ascii="Times New Roman" w:hAnsi="Times New Roman" w:cs="Times New Roman"/>
          <w:sz w:val="24"/>
          <w:szCs w:val="24"/>
        </w:rPr>
        <w:t>gada 31.</w:t>
      </w:r>
      <w:r w:rsidR="002D5CC4">
        <w:rPr>
          <w:rFonts w:ascii="Times New Roman" w:hAnsi="Times New Roman" w:cs="Times New Roman"/>
          <w:sz w:val="24"/>
          <w:szCs w:val="24"/>
        </w:rPr>
        <w:t> </w:t>
      </w:r>
      <w:r w:rsidR="00565D6C" w:rsidRPr="00C37B4C">
        <w:rPr>
          <w:rFonts w:ascii="Times New Roman" w:hAnsi="Times New Roman" w:cs="Times New Roman"/>
          <w:sz w:val="24"/>
          <w:szCs w:val="24"/>
        </w:rPr>
        <w:t>decembrim</w:t>
      </w:r>
      <w:r w:rsidRPr="00C37B4C">
        <w:rPr>
          <w:rFonts w:ascii="Times New Roman" w:hAnsi="Times New Roman" w:cs="Times New Roman"/>
          <w:sz w:val="24"/>
          <w:szCs w:val="24"/>
        </w:rPr>
        <w:t>;</w:t>
      </w:r>
    </w:p>
    <w:p w14:paraId="7F272E7E" w14:textId="54AC3BA3" w:rsidR="00251FA3" w:rsidRPr="00C37B4C" w:rsidRDefault="00565D6C" w:rsidP="00C37B4C">
      <w:pPr>
        <w:pStyle w:val="ListParagraph"/>
        <w:numPr>
          <w:ilvl w:val="3"/>
          <w:numId w:val="3"/>
        </w:numPr>
        <w:spacing w:before="120" w:after="0" w:line="240" w:lineRule="auto"/>
        <w:ind w:left="2268" w:hanging="992"/>
        <w:contextualSpacing w:val="0"/>
        <w:jc w:val="both"/>
        <w:rPr>
          <w:rFonts w:ascii="Times New Roman" w:hAnsi="Times New Roman" w:cs="Times New Roman"/>
          <w:sz w:val="24"/>
          <w:szCs w:val="24"/>
        </w:rPr>
      </w:pPr>
      <w:r w:rsidRPr="00C37B4C">
        <w:rPr>
          <w:rFonts w:ascii="Times New Roman" w:hAnsi="Times New Roman" w:cs="Times New Roman"/>
          <w:sz w:val="24"/>
          <w:szCs w:val="24"/>
        </w:rPr>
        <w:t xml:space="preserve"> “</w:t>
      </w:r>
      <w:r w:rsidR="00BF3DC6" w:rsidRPr="00C37B4C">
        <w:rPr>
          <w:rFonts w:ascii="Times New Roman" w:hAnsi="Times New Roman" w:cs="Times New Roman"/>
          <w:sz w:val="24"/>
          <w:szCs w:val="24"/>
        </w:rPr>
        <w:t>tiesību aktu grozījumi</w:t>
      </w:r>
      <w:r w:rsidRPr="00C37B4C">
        <w:rPr>
          <w:rFonts w:ascii="Times New Roman" w:hAnsi="Times New Roman" w:cs="Times New Roman"/>
          <w:sz w:val="24"/>
          <w:szCs w:val="24"/>
        </w:rPr>
        <w:t>” ietvaros var veikt līdz 202</w:t>
      </w:r>
      <w:r w:rsidR="00223CEA" w:rsidRPr="00C37B4C">
        <w:rPr>
          <w:rFonts w:ascii="Times New Roman" w:hAnsi="Times New Roman" w:cs="Times New Roman"/>
          <w:sz w:val="24"/>
          <w:szCs w:val="24"/>
        </w:rPr>
        <w:t>6</w:t>
      </w:r>
      <w:r w:rsidRPr="00C37B4C">
        <w:rPr>
          <w:rFonts w:ascii="Times New Roman" w:hAnsi="Times New Roman" w:cs="Times New Roman"/>
          <w:sz w:val="24"/>
          <w:szCs w:val="24"/>
        </w:rPr>
        <w:t>.</w:t>
      </w:r>
      <w:r w:rsidR="002D5CC4">
        <w:rPr>
          <w:rFonts w:ascii="Times New Roman" w:hAnsi="Times New Roman" w:cs="Times New Roman"/>
          <w:sz w:val="24"/>
          <w:szCs w:val="24"/>
        </w:rPr>
        <w:t> </w:t>
      </w:r>
      <w:r w:rsidRPr="00C37B4C">
        <w:rPr>
          <w:rFonts w:ascii="Times New Roman" w:hAnsi="Times New Roman" w:cs="Times New Roman"/>
          <w:sz w:val="24"/>
          <w:szCs w:val="24"/>
        </w:rPr>
        <w:t xml:space="preserve">gada </w:t>
      </w:r>
      <w:r w:rsidR="00D516E2">
        <w:rPr>
          <w:rFonts w:ascii="Times New Roman" w:hAnsi="Times New Roman" w:cs="Times New Roman"/>
          <w:sz w:val="24"/>
          <w:szCs w:val="24"/>
        </w:rPr>
        <w:t>1</w:t>
      </w:r>
      <w:r w:rsidRPr="00C37B4C">
        <w:rPr>
          <w:rFonts w:ascii="Times New Roman" w:hAnsi="Times New Roman" w:cs="Times New Roman"/>
          <w:sz w:val="24"/>
          <w:szCs w:val="24"/>
        </w:rPr>
        <w:t>.</w:t>
      </w:r>
      <w:r w:rsidR="002D5CC4">
        <w:rPr>
          <w:rFonts w:ascii="Times New Roman" w:hAnsi="Times New Roman" w:cs="Times New Roman"/>
          <w:sz w:val="24"/>
          <w:szCs w:val="24"/>
        </w:rPr>
        <w:t> </w:t>
      </w:r>
      <w:r w:rsidR="00223CEA" w:rsidRPr="00C37B4C">
        <w:rPr>
          <w:rFonts w:ascii="Times New Roman" w:hAnsi="Times New Roman" w:cs="Times New Roman"/>
          <w:sz w:val="24"/>
          <w:szCs w:val="24"/>
        </w:rPr>
        <w:t>jū</w:t>
      </w:r>
      <w:r w:rsidR="00C26D32" w:rsidRPr="00C37B4C">
        <w:rPr>
          <w:rFonts w:ascii="Times New Roman" w:hAnsi="Times New Roman" w:cs="Times New Roman"/>
          <w:sz w:val="24"/>
          <w:szCs w:val="24"/>
        </w:rPr>
        <w:t>lijam</w:t>
      </w:r>
      <w:r w:rsidRPr="00C37B4C">
        <w:rPr>
          <w:rFonts w:ascii="Times New Roman" w:hAnsi="Times New Roman" w:cs="Times New Roman"/>
          <w:sz w:val="24"/>
          <w:szCs w:val="24"/>
        </w:rPr>
        <w:t>;</w:t>
      </w:r>
    </w:p>
    <w:p w14:paraId="2E5834A9" w14:textId="50AA328C" w:rsidR="00D701A4" w:rsidRPr="00DD5B82" w:rsidRDefault="00D701A4" w:rsidP="00981FC4">
      <w:pPr>
        <w:pStyle w:val="ListParagraph"/>
        <w:numPr>
          <w:ilvl w:val="2"/>
          <w:numId w:val="3"/>
        </w:numPr>
        <w:spacing w:before="120" w:after="0" w:line="240" w:lineRule="auto"/>
        <w:ind w:left="1276"/>
        <w:contextualSpacing w:val="0"/>
        <w:jc w:val="both"/>
        <w:rPr>
          <w:rFonts w:ascii="Times New Roman" w:hAnsi="Times New Roman" w:cs="Times New Roman"/>
          <w:sz w:val="24"/>
          <w:szCs w:val="24"/>
        </w:rPr>
      </w:pPr>
      <w:r w:rsidRPr="00DD5B82">
        <w:rPr>
          <w:rFonts w:ascii="Times New Roman" w:hAnsi="Times New Roman" w:cs="Times New Roman"/>
          <w:sz w:val="24"/>
          <w:szCs w:val="24"/>
        </w:rPr>
        <w:t>fina</w:t>
      </w:r>
      <w:r w:rsidR="00224B3E">
        <w:rPr>
          <w:rFonts w:ascii="Times New Roman" w:hAnsi="Times New Roman" w:cs="Times New Roman"/>
          <w:sz w:val="24"/>
          <w:szCs w:val="24"/>
        </w:rPr>
        <w:t>n</w:t>
      </w:r>
      <w:r w:rsidRPr="00DD5B82">
        <w:rPr>
          <w:rFonts w:ascii="Times New Roman" w:hAnsi="Times New Roman" w:cs="Times New Roman"/>
          <w:sz w:val="24"/>
          <w:szCs w:val="24"/>
        </w:rPr>
        <w:t>sējuma saņēmējs noslēguma maksājumu pieprasījumu iesniedz ne vēlāk kā līdz 202</w:t>
      </w:r>
      <w:r w:rsidR="00F84D9B">
        <w:rPr>
          <w:rFonts w:ascii="Times New Roman" w:hAnsi="Times New Roman" w:cs="Times New Roman"/>
          <w:sz w:val="24"/>
          <w:szCs w:val="24"/>
        </w:rPr>
        <w:t>6</w:t>
      </w:r>
      <w:r w:rsidRPr="00DD5B82">
        <w:rPr>
          <w:rFonts w:ascii="Times New Roman" w:hAnsi="Times New Roman" w:cs="Times New Roman"/>
          <w:sz w:val="24"/>
          <w:szCs w:val="24"/>
        </w:rPr>
        <w:t>.</w:t>
      </w:r>
      <w:r w:rsidR="002D5CC4">
        <w:rPr>
          <w:rFonts w:ascii="Times New Roman" w:hAnsi="Times New Roman" w:cs="Times New Roman"/>
          <w:sz w:val="24"/>
          <w:szCs w:val="24"/>
        </w:rPr>
        <w:t> </w:t>
      </w:r>
      <w:r w:rsidRPr="00DD5B82">
        <w:rPr>
          <w:rFonts w:ascii="Times New Roman" w:hAnsi="Times New Roman" w:cs="Times New Roman"/>
          <w:sz w:val="24"/>
          <w:szCs w:val="24"/>
        </w:rPr>
        <w:t xml:space="preserve">gada </w:t>
      </w:r>
      <w:r w:rsidR="00624C01">
        <w:rPr>
          <w:rFonts w:ascii="Times New Roman" w:hAnsi="Times New Roman" w:cs="Times New Roman"/>
          <w:sz w:val="24"/>
          <w:szCs w:val="24"/>
        </w:rPr>
        <w:t>15.</w:t>
      </w:r>
      <w:r w:rsidR="002D5CC4">
        <w:rPr>
          <w:rFonts w:ascii="Times New Roman" w:hAnsi="Times New Roman" w:cs="Times New Roman"/>
          <w:sz w:val="24"/>
          <w:szCs w:val="24"/>
        </w:rPr>
        <w:t> </w:t>
      </w:r>
      <w:r w:rsidR="00624C01">
        <w:rPr>
          <w:rFonts w:ascii="Times New Roman" w:hAnsi="Times New Roman" w:cs="Times New Roman"/>
          <w:sz w:val="24"/>
          <w:szCs w:val="24"/>
        </w:rPr>
        <w:t>jūlijam;</w:t>
      </w:r>
    </w:p>
    <w:p w14:paraId="6514AA27" w14:textId="69225E08" w:rsidR="00624C01" w:rsidRPr="00DD5B82" w:rsidRDefault="002C51FA" w:rsidP="00624C01">
      <w:pPr>
        <w:pStyle w:val="ListParagraph"/>
        <w:numPr>
          <w:ilvl w:val="2"/>
          <w:numId w:val="3"/>
        </w:numPr>
        <w:spacing w:before="120" w:after="0" w:line="240" w:lineRule="auto"/>
        <w:ind w:left="1276"/>
        <w:contextualSpacing w:val="0"/>
        <w:jc w:val="both"/>
        <w:rPr>
          <w:rFonts w:ascii="Times New Roman" w:hAnsi="Times New Roman" w:cs="Times New Roman"/>
          <w:sz w:val="24"/>
          <w:szCs w:val="24"/>
        </w:rPr>
      </w:pPr>
      <w:r w:rsidRPr="00624C01">
        <w:rPr>
          <w:rFonts w:ascii="Times New Roman" w:hAnsi="Times New Roman" w:cs="Times New Roman"/>
          <w:sz w:val="24"/>
          <w:szCs w:val="24"/>
        </w:rPr>
        <w:t>nozares ministrija</w:t>
      </w:r>
      <w:r w:rsidR="00D701A4" w:rsidRPr="00624C01">
        <w:rPr>
          <w:rFonts w:ascii="Times New Roman" w:hAnsi="Times New Roman" w:cs="Times New Roman"/>
          <w:sz w:val="24"/>
          <w:szCs w:val="24"/>
        </w:rPr>
        <w:t xml:space="preserve"> projekta noslēguma dokumentācijas pārbaudi</w:t>
      </w:r>
      <w:r w:rsidR="00604EEF">
        <w:rPr>
          <w:rFonts w:ascii="Times New Roman" w:hAnsi="Times New Roman" w:cs="Times New Roman"/>
          <w:sz w:val="24"/>
          <w:szCs w:val="24"/>
        </w:rPr>
        <w:t xml:space="preserve"> un noslēguma maksājumu</w:t>
      </w:r>
      <w:r w:rsidR="00D701A4" w:rsidRPr="00624C01">
        <w:rPr>
          <w:rFonts w:ascii="Times New Roman" w:hAnsi="Times New Roman" w:cs="Times New Roman"/>
          <w:sz w:val="24"/>
          <w:szCs w:val="24"/>
        </w:rPr>
        <w:t xml:space="preserve"> veic līdz </w:t>
      </w:r>
      <w:r w:rsidR="00624C01" w:rsidRPr="00DD5B82">
        <w:rPr>
          <w:rFonts w:ascii="Times New Roman" w:hAnsi="Times New Roman" w:cs="Times New Roman"/>
          <w:sz w:val="24"/>
          <w:szCs w:val="24"/>
        </w:rPr>
        <w:t>202</w:t>
      </w:r>
      <w:r w:rsidR="00624C01">
        <w:rPr>
          <w:rFonts w:ascii="Times New Roman" w:hAnsi="Times New Roman" w:cs="Times New Roman"/>
          <w:sz w:val="24"/>
          <w:szCs w:val="24"/>
        </w:rPr>
        <w:t>6</w:t>
      </w:r>
      <w:r w:rsidR="00624C01" w:rsidRPr="00DD5B82">
        <w:rPr>
          <w:rFonts w:ascii="Times New Roman" w:hAnsi="Times New Roman" w:cs="Times New Roman"/>
          <w:sz w:val="24"/>
          <w:szCs w:val="24"/>
        </w:rPr>
        <w:t>.</w:t>
      </w:r>
      <w:r w:rsidR="002D5CC4">
        <w:rPr>
          <w:rFonts w:ascii="Times New Roman" w:hAnsi="Times New Roman" w:cs="Times New Roman"/>
          <w:sz w:val="24"/>
          <w:szCs w:val="24"/>
        </w:rPr>
        <w:t> </w:t>
      </w:r>
      <w:r w:rsidR="00624C01" w:rsidRPr="00DD5B82">
        <w:rPr>
          <w:rFonts w:ascii="Times New Roman" w:hAnsi="Times New Roman" w:cs="Times New Roman"/>
          <w:sz w:val="24"/>
          <w:szCs w:val="24"/>
        </w:rPr>
        <w:t xml:space="preserve">gada </w:t>
      </w:r>
      <w:r w:rsidR="00624C01">
        <w:rPr>
          <w:rFonts w:ascii="Times New Roman" w:hAnsi="Times New Roman" w:cs="Times New Roman"/>
          <w:sz w:val="24"/>
          <w:szCs w:val="24"/>
        </w:rPr>
        <w:t>31.</w:t>
      </w:r>
      <w:r w:rsidR="002D5CC4">
        <w:rPr>
          <w:rFonts w:ascii="Times New Roman" w:hAnsi="Times New Roman" w:cs="Times New Roman"/>
          <w:sz w:val="24"/>
          <w:szCs w:val="24"/>
        </w:rPr>
        <w:t> </w:t>
      </w:r>
      <w:r w:rsidR="00F012DE">
        <w:rPr>
          <w:rFonts w:ascii="Times New Roman" w:hAnsi="Times New Roman" w:cs="Times New Roman"/>
          <w:sz w:val="24"/>
          <w:szCs w:val="24"/>
        </w:rPr>
        <w:t>augustam</w:t>
      </w:r>
      <w:r w:rsidR="00624C01">
        <w:rPr>
          <w:rFonts w:ascii="Times New Roman" w:hAnsi="Times New Roman" w:cs="Times New Roman"/>
          <w:sz w:val="24"/>
          <w:szCs w:val="24"/>
        </w:rPr>
        <w:t>.</w:t>
      </w:r>
    </w:p>
    <w:p w14:paraId="58A5B1DC" w14:textId="31B78921" w:rsidR="00A63A6A" w:rsidRDefault="00A63A6A" w:rsidP="007F040D">
      <w:pPr>
        <w:pStyle w:val="ListParagraph"/>
        <w:numPr>
          <w:ilvl w:val="1"/>
          <w:numId w:val="3"/>
        </w:numPr>
        <w:spacing w:before="120" w:after="120" w:line="240" w:lineRule="auto"/>
        <w:ind w:left="567" w:hanging="567"/>
        <w:contextualSpacing w:val="0"/>
        <w:jc w:val="both"/>
        <w:rPr>
          <w:rFonts w:ascii="Times New Roman" w:hAnsi="Times New Roman" w:cs="Times New Roman"/>
          <w:sz w:val="24"/>
          <w:szCs w:val="24"/>
        </w:rPr>
      </w:pPr>
      <w:r w:rsidRPr="00624C01">
        <w:rPr>
          <w:rFonts w:ascii="Times New Roman" w:hAnsi="Times New Roman" w:cs="Times New Roman"/>
          <w:sz w:val="24"/>
          <w:szCs w:val="24"/>
        </w:rPr>
        <w:t xml:space="preserve">Lai attiecinātu </w:t>
      </w:r>
      <w:r w:rsidR="00847203">
        <w:rPr>
          <w:rFonts w:ascii="Times New Roman" w:hAnsi="Times New Roman" w:cs="Times New Roman"/>
          <w:sz w:val="24"/>
          <w:szCs w:val="24"/>
        </w:rPr>
        <w:t>PVN</w:t>
      </w:r>
      <w:r w:rsidRPr="00624C01">
        <w:rPr>
          <w:rFonts w:ascii="Times New Roman" w:hAnsi="Times New Roman" w:cs="Times New Roman"/>
          <w:sz w:val="24"/>
          <w:szCs w:val="24"/>
        </w:rPr>
        <w:t xml:space="preserve"> izmaksas, finansējuma saņēmējs projekta maksājuma pieprasījumam pievieno apliecinājumu, ka minētās izmaksas nav un netiks atgūtas no valsts budžeta priekšnodokļa veidā</w:t>
      </w:r>
      <w:r w:rsidR="004B6BC5" w:rsidRPr="00624C01">
        <w:rPr>
          <w:rFonts w:ascii="Times New Roman" w:hAnsi="Times New Roman" w:cs="Times New Roman"/>
          <w:sz w:val="24"/>
          <w:szCs w:val="24"/>
        </w:rPr>
        <w:t>.</w:t>
      </w:r>
    </w:p>
    <w:p w14:paraId="20D9DEEC" w14:textId="77777777" w:rsidR="007A2B97" w:rsidRDefault="00C467B7" w:rsidP="007A2B97">
      <w:pPr>
        <w:pStyle w:val="ListParagraph"/>
        <w:numPr>
          <w:ilvl w:val="1"/>
          <w:numId w:val="3"/>
        </w:numPr>
        <w:spacing w:before="120" w:after="120" w:line="240" w:lineRule="auto"/>
        <w:ind w:left="567" w:hanging="567"/>
        <w:contextualSpacing w:val="0"/>
        <w:jc w:val="both"/>
        <w:rPr>
          <w:rFonts w:ascii="Times New Roman" w:hAnsi="Times New Roman" w:cs="Times New Roman"/>
          <w:sz w:val="24"/>
          <w:szCs w:val="24"/>
        </w:rPr>
      </w:pPr>
      <w:r w:rsidRPr="00C467B7">
        <w:rPr>
          <w:rFonts w:ascii="Times New Roman" w:hAnsi="Times New Roman" w:cs="Times New Roman"/>
          <w:sz w:val="24"/>
          <w:szCs w:val="24"/>
        </w:rPr>
        <w:t xml:space="preserve">Saskaņā ar Ministru kabineta 22.03.2022. sēdē izskatītajā Informatīvajā ziņojumā "Par Kohēzijas politikas Eiropas Savienības fondu investīciju aktualitātēm līdz 2022. gada 1. februārim (pusgada ziņojums)" norādīto, atskaites punkta sasniegšana jānodrošina termiņā, kas nepārsniedz divus mēnešus no šī ziņojuma </w:t>
      </w:r>
      <w:r w:rsidRPr="00C467B7">
        <w:rPr>
          <w:rFonts w:ascii="Times New Roman" w:hAnsi="Times New Roman" w:cs="Times New Roman"/>
          <w:sz w:val="24"/>
          <w:szCs w:val="24"/>
        </w:rPr>
        <w:lastRenderedPageBreak/>
        <w:t>3.</w:t>
      </w:r>
      <w:r>
        <w:rPr>
          <w:rFonts w:ascii="Times New Roman" w:hAnsi="Times New Roman" w:cs="Times New Roman"/>
          <w:sz w:val="24"/>
          <w:szCs w:val="24"/>
        </w:rPr>
        <w:t>1</w:t>
      </w:r>
      <w:r w:rsidRPr="00C467B7">
        <w:rPr>
          <w:rFonts w:ascii="Times New Roman" w:hAnsi="Times New Roman" w:cs="Times New Roman"/>
          <w:sz w:val="24"/>
          <w:szCs w:val="24"/>
        </w:rPr>
        <w:t>. apakšpunktā minēt</w:t>
      </w:r>
      <w:r>
        <w:rPr>
          <w:rFonts w:ascii="Times New Roman" w:hAnsi="Times New Roman" w:cs="Times New Roman"/>
          <w:sz w:val="24"/>
          <w:szCs w:val="24"/>
        </w:rPr>
        <w:t>ā</w:t>
      </w:r>
      <w:r w:rsidRPr="00C467B7">
        <w:rPr>
          <w:rFonts w:ascii="Times New Roman" w:hAnsi="Times New Roman" w:cs="Times New Roman"/>
          <w:sz w:val="24"/>
          <w:szCs w:val="24"/>
        </w:rPr>
        <w:t xml:space="preserve"> Atveseļošanas fonda plānā noteiktā termiņa, līdz ar to faktisk</w:t>
      </w:r>
      <w:r w:rsidR="00CD29DB">
        <w:rPr>
          <w:rFonts w:ascii="Times New Roman" w:hAnsi="Times New Roman" w:cs="Times New Roman"/>
          <w:sz w:val="24"/>
          <w:szCs w:val="24"/>
        </w:rPr>
        <w:t>ais</w:t>
      </w:r>
      <w:r w:rsidRPr="00C467B7">
        <w:rPr>
          <w:rFonts w:ascii="Times New Roman" w:hAnsi="Times New Roman" w:cs="Times New Roman"/>
          <w:sz w:val="24"/>
          <w:szCs w:val="24"/>
        </w:rPr>
        <w:t xml:space="preserve"> </w:t>
      </w:r>
      <w:r w:rsidRPr="003D3590">
        <w:rPr>
          <w:rFonts w:ascii="Times New Roman" w:hAnsi="Times New Roman" w:cs="Times New Roman"/>
          <w:sz w:val="24"/>
          <w:szCs w:val="24"/>
        </w:rPr>
        <w:t xml:space="preserve">atskaites punkta “metodikas pieņemšana” </w:t>
      </w:r>
      <w:r w:rsidR="00CD29DB" w:rsidRPr="003D3590">
        <w:rPr>
          <w:rFonts w:ascii="Times New Roman" w:hAnsi="Times New Roman" w:cs="Times New Roman"/>
          <w:sz w:val="24"/>
          <w:szCs w:val="24"/>
        </w:rPr>
        <w:t xml:space="preserve">sasniegšanas termiņš tiek plānots </w:t>
      </w:r>
      <w:r w:rsidRPr="003D3590">
        <w:rPr>
          <w:rFonts w:ascii="Times New Roman" w:hAnsi="Times New Roman" w:cs="Times New Roman"/>
          <w:sz w:val="24"/>
          <w:szCs w:val="24"/>
        </w:rPr>
        <w:t>2022.</w:t>
      </w:r>
      <w:r w:rsidR="00E969E2" w:rsidRPr="003D3590">
        <w:rPr>
          <w:rFonts w:ascii="Times New Roman" w:hAnsi="Times New Roman" w:cs="Times New Roman"/>
          <w:sz w:val="24"/>
          <w:szCs w:val="24"/>
        </w:rPr>
        <w:t> </w:t>
      </w:r>
      <w:r w:rsidRPr="003D3590">
        <w:rPr>
          <w:rFonts w:ascii="Times New Roman" w:hAnsi="Times New Roman" w:cs="Times New Roman"/>
          <w:sz w:val="24"/>
          <w:szCs w:val="24"/>
        </w:rPr>
        <w:t>gada 30.</w:t>
      </w:r>
      <w:r w:rsidR="00E969E2" w:rsidRPr="003D3590">
        <w:rPr>
          <w:rFonts w:ascii="Times New Roman" w:hAnsi="Times New Roman" w:cs="Times New Roman"/>
          <w:sz w:val="24"/>
          <w:szCs w:val="24"/>
        </w:rPr>
        <w:t> </w:t>
      </w:r>
      <w:r w:rsidRPr="003D3590">
        <w:rPr>
          <w:rFonts w:ascii="Times New Roman" w:hAnsi="Times New Roman" w:cs="Times New Roman"/>
          <w:sz w:val="24"/>
          <w:szCs w:val="24"/>
        </w:rPr>
        <w:t>novembri</w:t>
      </w:r>
      <w:r w:rsidR="00CD29DB" w:rsidRPr="003D3590">
        <w:rPr>
          <w:rFonts w:ascii="Times New Roman" w:hAnsi="Times New Roman" w:cs="Times New Roman"/>
          <w:sz w:val="24"/>
          <w:szCs w:val="24"/>
        </w:rPr>
        <w:t>s.</w:t>
      </w:r>
    </w:p>
    <w:p w14:paraId="1D030FC0" w14:textId="56F401D7" w:rsidR="007A2B97" w:rsidRPr="007A2B97" w:rsidRDefault="007A2B97" w:rsidP="007A2B97">
      <w:pPr>
        <w:pStyle w:val="ListParagraph"/>
        <w:numPr>
          <w:ilvl w:val="1"/>
          <w:numId w:val="3"/>
        </w:numPr>
        <w:spacing w:before="120" w:after="120" w:line="240" w:lineRule="auto"/>
        <w:ind w:left="567" w:hanging="567"/>
        <w:contextualSpacing w:val="0"/>
        <w:jc w:val="both"/>
        <w:rPr>
          <w:rFonts w:ascii="Times New Roman" w:hAnsi="Times New Roman" w:cs="Times New Roman"/>
          <w:sz w:val="24"/>
          <w:szCs w:val="24"/>
        </w:rPr>
      </w:pPr>
      <w:r w:rsidRPr="007A2B97">
        <w:rPr>
          <w:rFonts w:ascii="Times New Roman" w:hAnsi="Times New Roman" w:cs="Times New Roman"/>
          <w:sz w:val="24"/>
          <w:szCs w:val="24"/>
        </w:rPr>
        <w:t xml:space="preserve">Finansējuma saņēmējs </w:t>
      </w:r>
      <w:r w:rsidRPr="007A2B97">
        <w:rPr>
          <w:rFonts w:ascii="Times New Roman" w:eastAsia="Times New Roman" w:hAnsi="Times New Roman" w:cs="Times New Roman"/>
          <w:sz w:val="24"/>
          <w:szCs w:val="24"/>
        </w:rPr>
        <w:t xml:space="preserve">nekavējoties informē nozares ministriju, </w:t>
      </w:r>
      <w:r w:rsidRPr="003D3590">
        <w:rPr>
          <w:rFonts w:ascii="Times New Roman" w:eastAsia="Times New Roman" w:hAnsi="Times New Roman" w:cs="Times New Roman"/>
          <w:sz w:val="24"/>
          <w:szCs w:val="24"/>
        </w:rPr>
        <w:t>kura tālāk sazinās ar Finanšu ministriju</w:t>
      </w:r>
      <w:r>
        <w:rPr>
          <w:rFonts w:ascii="Times New Roman" w:eastAsia="Times New Roman" w:hAnsi="Times New Roman" w:cs="Times New Roman"/>
          <w:sz w:val="24"/>
          <w:szCs w:val="24"/>
        </w:rPr>
        <w:t>,</w:t>
      </w:r>
      <w:r w:rsidRPr="007A2B97">
        <w:rPr>
          <w:rFonts w:ascii="Times New Roman" w:eastAsia="Times New Roman" w:hAnsi="Times New Roman" w:cs="Times New Roman"/>
          <w:sz w:val="24"/>
          <w:szCs w:val="24"/>
        </w:rPr>
        <w:t xml:space="preserve"> par problēmām (tai skaitā konstatētām iespējamiem trūkumiem un pārkāpumiem) investīcijas projekta īstenošanā, kuras saistītas ar normatīvajos aktos par Atveseļošanas fonda plāna īstenošanu un uzraudzības kārtību noteikto finansējuma saņēmēja pienākuma izpildi un Atveseļošanas fonda plāna prasību ievērošanu un riskiem, kuri apdraud šā ziņojuma </w:t>
      </w:r>
      <w:r w:rsidR="00A90D95">
        <w:rPr>
          <w:rFonts w:ascii="Times New Roman" w:eastAsia="Times New Roman" w:hAnsi="Times New Roman" w:cs="Times New Roman"/>
          <w:sz w:val="24"/>
          <w:szCs w:val="24"/>
        </w:rPr>
        <w:t>3.1.</w:t>
      </w:r>
      <w:r w:rsidR="00A90D95">
        <w:rPr>
          <w:rFonts w:ascii="Times New Roman" w:eastAsia="Times New Roman" w:hAnsi="Times New Roman" w:cs="Times New Roman"/>
          <w:sz w:val="24"/>
          <w:szCs w:val="24"/>
          <w:lang w:val="en-GB"/>
        </w:rPr>
        <w:t> </w:t>
      </w:r>
      <w:r w:rsidRPr="007A2B97">
        <w:rPr>
          <w:rFonts w:ascii="Times New Roman" w:eastAsia="Times New Roman" w:hAnsi="Times New Roman" w:cs="Times New Roman"/>
          <w:sz w:val="24"/>
          <w:szCs w:val="24"/>
        </w:rPr>
        <w:t xml:space="preserve">apakšpunktā noteikto atskaites punktu sasniegšanu. </w:t>
      </w:r>
    </w:p>
    <w:p w14:paraId="691476D3" w14:textId="77777777" w:rsidR="00C467B7" w:rsidRPr="00624C01" w:rsidRDefault="00C467B7" w:rsidP="00C467B7">
      <w:pPr>
        <w:pStyle w:val="ListParagraph"/>
        <w:spacing w:before="120" w:after="0" w:line="240" w:lineRule="auto"/>
        <w:ind w:left="567"/>
        <w:contextualSpacing w:val="0"/>
        <w:jc w:val="both"/>
        <w:rPr>
          <w:rFonts w:ascii="Times New Roman" w:hAnsi="Times New Roman" w:cs="Times New Roman"/>
          <w:sz w:val="24"/>
          <w:szCs w:val="24"/>
        </w:rPr>
      </w:pPr>
    </w:p>
    <w:p w14:paraId="72CFDFD3" w14:textId="6D273148" w:rsidR="005E7154" w:rsidRPr="009074F0" w:rsidRDefault="00B4168D" w:rsidP="00981FC4">
      <w:pPr>
        <w:pStyle w:val="Heading1"/>
        <w:numPr>
          <w:ilvl w:val="0"/>
          <w:numId w:val="3"/>
        </w:numPr>
        <w:spacing w:before="120" w:line="240" w:lineRule="auto"/>
        <w:ind w:hanging="720"/>
        <w:rPr>
          <w:rFonts w:eastAsia="Times New Roman" w:cs="Times New Roman"/>
          <w:b/>
          <w:bCs/>
          <w:sz w:val="24"/>
          <w:szCs w:val="24"/>
        </w:rPr>
      </w:pPr>
      <w:bookmarkStart w:id="21" w:name="_Toc110002936"/>
      <w:r w:rsidRPr="009074F0">
        <w:rPr>
          <w:rFonts w:eastAsia="Times New Roman" w:cs="Times New Roman"/>
          <w:b/>
          <w:bCs/>
          <w:sz w:val="24"/>
          <w:szCs w:val="24"/>
        </w:rPr>
        <w:t>Nozares ministrija</w:t>
      </w:r>
      <w:r w:rsidR="002E3B03" w:rsidRPr="009074F0">
        <w:rPr>
          <w:rFonts w:eastAsia="Times New Roman" w:cs="Times New Roman"/>
          <w:b/>
          <w:bCs/>
          <w:sz w:val="24"/>
          <w:szCs w:val="24"/>
        </w:rPr>
        <w:t>s</w:t>
      </w:r>
      <w:r w:rsidR="005E7154" w:rsidRPr="009074F0">
        <w:rPr>
          <w:rFonts w:eastAsia="Times New Roman" w:cs="Times New Roman"/>
          <w:b/>
          <w:bCs/>
          <w:sz w:val="24"/>
          <w:szCs w:val="24"/>
        </w:rPr>
        <w:t xml:space="preserve"> un Centrālās finanšu un līgumu aģentūras pienākumi</w:t>
      </w:r>
      <w:bookmarkEnd w:id="21"/>
    </w:p>
    <w:p w14:paraId="3FF9C1F5" w14:textId="6A80D0C2" w:rsidR="00CD29DB" w:rsidRPr="00803841" w:rsidRDefault="00CD29DB" w:rsidP="005D6351">
      <w:pPr>
        <w:pStyle w:val="ListParagraph"/>
        <w:numPr>
          <w:ilvl w:val="1"/>
          <w:numId w:val="3"/>
        </w:numPr>
        <w:tabs>
          <w:tab w:val="left" w:pos="1560"/>
        </w:tabs>
        <w:spacing w:before="120" w:line="240" w:lineRule="auto"/>
        <w:ind w:left="567" w:hanging="567"/>
        <w:contextualSpacing w:val="0"/>
        <w:jc w:val="both"/>
        <w:rPr>
          <w:rFonts w:ascii="Times New Roman" w:hAnsi="Times New Roman" w:cs="Times New Roman"/>
          <w:sz w:val="24"/>
          <w:szCs w:val="24"/>
        </w:rPr>
      </w:pPr>
      <w:r w:rsidRPr="00803841">
        <w:rPr>
          <w:rFonts w:ascii="Times New Roman" w:hAnsi="Times New Roman" w:cs="Times New Roman"/>
          <w:sz w:val="24"/>
          <w:szCs w:val="24"/>
        </w:rPr>
        <w:t>Nozares ministrija nodrošinās pārbaudes atbilstoši iekšējās kontroles sis</w:t>
      </w:r>
      <w:r w:rsidRPr="002F5CA1">
        <w:rPr>
          <w:rFonts w:ascii="Times New Roman" w:hAnsi="Times New Roman" w:cs="Times New Roman"/>
          <w:sz w:val="24"/>
          <w:szCs w:val="24"/>
        </w:rPr>
        <w:t>tēmai, kas tiks izstrādāta atbilstoši MK 2012.gada 8.maija noteikumiem Nr.326</w:t>
      </w:r>
      <w:r w:rsidRPr="002F5CA1">
        <w:rPr>
          <w:rFonts w:ascii="Times New Roman" w:hAnsi="Times New Roman" w:cs="Times New Roman"/>
          <w:vertAlign w:val="superscript"/>
        </w:rPr>
        <w:footnoteReference w:id="8"/>
      </w:r>
      <w:r w:rsidRPr="002F5CA1">
        <w:rPr>
          <w:rFonts w:ascii="Times New Roman" w:hAnsi="Times New Roman" w:cs="Times New Roman"/>
          <w:sz w:val="24"/>
          <w:szCs w:val="24"/>
          <w:vertAlign w:val="superscript"/>
        </w:rPr>
        <w:t xml:space="preserve"> </w:t>
      </w:r>
      <w:r w:rsidRPr="002F5CA1">
        <w:rPr>
          <w:rFonts w:ascii="Times New Roman" w:hAnsi="Times New Roman" w:cs="Times New Roman"/>
          <w:sz w:val="24"/>
          <w:szCs w:val="24"/>
        </w:rPr>
        <w:t>“Noteikumi par iekšējās kontroles sistēmu tiešās pārvaldes iestādēs” un atbilstoši 2017.gada 17.oktobra MK noteikumiem Nr. 630</w:t>
      </w:r>
      <w:r w:rsidRPr="002F5CA1">
        <w:rPr>
          <w:rFonts w:ascii="Times New Roman" w:hAnsi="Times New Roman" w:cs="Times New Roman"/>
          <w:vertAlign w:val="superscript"/>
        </w:rPr>
        <w:footnoteReference w:id="9"/>
      </w:r>
      <w:r w:rsidRPr="00803841">
        <w:rPr>
          <w:rFonts w:ascii="Times New Roman" w:hAnsi="Times New Roman" w:cs="Times New Roman"/>
          <w:sz w:val="24"/>
          <w:szCs w:val="24"/>
        </w:rPr>
        <w:t xml:space="preserve"> </w:t>
      </w:r>
      <w:r>
        <w:rPr>
          <w:rFonts w:ascii="Times New Roman" w:hAnsi="Times New Roman" w:cs="Times New Roman"/>
          <w:sz w:val="24"/>
          <w:szCs w:val="24"/>
        </w:rPr>
        <w:t>“</w:t>
      </w:r>
      <w:r w:rsidRPr="00A46166">
        <w:rPr>
          <w:rFonts w:ascii="Times New Roman" w:hAnsi="Times New Roman" w:cs="Times New Roman"/>
          <w:sz w:val="24"/>
          <w:szCs w:val="24"/>
        </w:rPr>
        <w:t>Noteikumi par iekšējās kontroles sistēmas pamatprasībām korupcijas un interešu konflikta riska novēršanai publiskas personas institūcijā</w:t>
      </w:r>
      <w:r>
        <w:rPr>
          <w:rFonts w:ascii="Times New Roman" w:hAnsi="Times New Roman" w:cs="Times New Roman"/>
          <w:sz w:val="24"/>
          <w:szCs w:val="24"/>
        </w:rPr>
        <w:t xml:space="preserve">” </w:t>
      </w:r>
      <w:r w:rsidRPr="00803841">
        <w:rPr>
          <w:rFonts w:ascii="Times New Roman" w:hAnsi="Times New Roman" w:cs="Times New Roman"/>
          <w:sz w:val="24"/>
          <w:szCs w:val="24"/>
        </w:rPr>
        <w:t xml:space="preserve">un noteiks pamatprasības korupcijas, krāpšanas un interešu konflikta riska novēršanai institūcijā, kā arī </w:t>
      </w:r>
      <w:proofErr w:type="spellStart"/>
      <w:r w:rsidRPr="00803841">
        <w:rPr>
          <w:rFonts w:ascii="Times New Roman" w:hAnsi="Times New Roman" w:cs="Times New Roman"/>
          <w:sz w:val="24"/>
          <w:szCs w:val="24"/>
        </w:rPr>
        <w:t>dubultfinansējuma</w:t>
      </w:r>
      <w:proofErr w:type="spellEnd"/>
      <w:r w:rsidRPr="00803841">
        <w:rPr>
          <w:rFonts w:ascii="Times New Roman" w:hAnsi="Times New Roman" w:cs="Times New Roman"/>
          <w:sz w:val="24"/>
          <w:szCs w:val="24"/>
        </w:rPr>
        <w:t xml:space="preserve"> novēršanai.</w:t>
      </w:r>
    </w:p>
    <w:p w14:paraId="77CF71B8" w14:textId="243FD975" w:rsidR="008E1861" w:rsidRPr="008365DA" w:rsidRDefault="001A3D8C" w:rsidP="00981FC4">
      <w:pPr>
        <w:pStyle w:val="ListParagraph"/>
        <w:numPr>
          <w:ilvl w:val="1"/>
          <w:numId w:val="3"/>
        </w:numPr>
        <w:tabs>
          <w:tab w:val="left" w:pos="1560"/>
        </w:tabs>
        <w:spacing w:before="120" w:after="0" w:line="240" w:lineRule="auto"/>
        <w:ind w:left="567" w:hanging="567"/>
        <w:contextualSpacing w:val="0"/>
        <w:jc w:val="both"/>
        <w:rPr>
          <w:rFonts w:ascii="Times New Roman" w:hAnsi="Times New Roman" w:cs="Times New Roman"/>
          <w:sz w:val="24"/>
          <w:szCs w:val="24"/>
        </w:rPr>
      </w:pPr>
      <w:r w:rsidRPr="008365DA">
        <w:rPr>
          <w:rFonts w:ascii="Times New Roman" w:hAnsi="Times New Roman" w:cs="Times New Roman"/>
          <w:sz w:val="24"/>
          <w:szCs w:val="24"/>
        </w:rPr>
        <w:t xml:space="preserve">Ņemot vērā, ka </w:t>
      </w:r>
      <w:r w:rsidR="003C0577" w:rsidRPr="008365DA">
        <w:rPr>
          <w:rFonts w:ascii="Times New Roman" w:hAnsi="Times New Roman" w:cs="Times New Roman"/>
          <w:sz w:val="24"/>
          <w:szCs w:val="24"/>
        </w:rPr>
        <w:t>Atveseļošanas fonda</w:t>
      </w:r>
      <w:r w:rsidRPr="008365DA">
        <w:rPr>
          <w:rFonts w:ascii="Times New Roman" w:hAnsi="Times New Roman" w:cs="Times New Roman"/>
          <w:sz w:val="24"/>
          <w:szCs w:val="24"/>
        </w:rPr>
        <w:t xml:space="preserve"> plāna atbalsts ir sniegts valsts deleģētās funkcijas izpildei, </w:t>
      </w:r>
      <w:r w:rsidR="00097124">
        <w:rPr>
          <w:rFonts w:ascii="Times New Roman" w:hAnsi="Times New Roman" w:cs="Times New Roman"/>
          <w:sz w:val="24"/>
          <w:szCs w:val="24"/>
        </w:rPr>
        <w:t>investīcijas</w:t>
      </w:r>
      <w:r w:rsidR="008E1861" w:rsidRPr="008365DA">
        <w:rPr>
          <w:rFonts w:ascii="Times New Roman" w:hAnsi="Times New Roman" w:cs="Times New Roman"/>
          <w:sz w:val="24"/>
          <w:szCs w:val="24"/>
        </w:rPr>
        <w:t xml:space="preserve"> atskaites punkt</w:t>
      </w:r>
      <w:r w:rsidR="00E1340E">
        <w:rPr>
          <w:rFonts w:ascii="Times New Roman" w:hAnsi="Times New Roman" w:cs="Times New Roman"/>
          <w:sz w:val="24"/>
          <w:szCs w:val="24"/>
        </w:rPr>
        <w:t>u</w:t>
      </w:r>
      <w:r w:rsidR="008E1861" w:rsidRPr="008365DA">
        <w:rPr>
          <w:rFonts w:ascii="Times New Roman" w:hAnsi="Times New Roman" w:cs="Times New Roman"/>
          <w:sz w:val="24"/>
          <w:szCs w:val="24"/>
        </w:rPr>
        <w:t xml:space="preserve"> finansējums tiks plānots </w:t>
      </w:r>
      <w:r w:rsidR="002E3B03" w:rsidRPr="008365DA">
        <w:rPr>
          <w:rFonts w:ascii="Times New Roman" w:hAnsi="Times New Roman" w:cs="Times New Roman"/>
          <w:sz w:val="24"/>
          <w:szCs w:val="24"/>
        </w:rPr>
        <w:t>nozares ministrijas</w:t>
      </w:r>
      <w:r w:rsidR="008E1861" w:rsidRPr="008365DA">
        <w:rPr>
          <w:rFonts w:ascii="Times New Roman" w:hAnsi="Times New Roman" w:cs="Times New Roman"/>
          <w:sz w:val="24"/>
          <w:szCs w:val="24"/>
        </w:rPr>
        <w:t xml:space="preserve"> budžetā, un saskaņā ar vienošanos </w:t>
      </w:r>
      <w:r w:rsidR="0078040D" w:rsidRPr="008365DA">
        <w:rPr>
          <w:rFonts w:ascii="Times New Roman" w:hAnsi="Times New Roman" w:cs="Times New Roman"/>
          <w:sz w:val="24"/>
          <w:szCs w:val="24"/>
        </w:rPr>
        <w:t xml:space="preserve">par projekta īstenošanu </w:t>
      </w:r>
      <w:r w:rsidR="002E3B03" w:rsidRPr="008365DA">
        <w:rPr>
          <w:rFonts w:ascii="Times New Roman" w:hAnsi="Times New Roman" w:cs="Times New Roman"/>
          <w:sz w:val="24"/>
          <w:szCs w:val="24"/>
        </w:rPr>
        <w:t>nozares ministrija</w:t>
      </w:r>
      <w:r w:rsidR="008E1861" w:rsidRPr="008365DA">
        <w:rPr>
          <w:rFonts w:ascii="Times New Roman" w:hAnsi="Times New Roman" w:cs="Times New Roman"/>
          <w:sz w:val="24"/>
          <w:szCs w:val="24"/>
        </w:rPr>
        <w:t xml:space="preserve"> </w:t>
      </w:r>
      <w:r w:rsidR="00CB2BBF" w:rsidRPr="008365DA">
        <w:rPr>
          <w:rFonts w:ascii="Times New Roman" w:hAnsi="Times New Roman" w:cs="Times New Roman"/>
          <w:sz w:val="24"/>
          <w:szCs w:val="24"/>
        </w:rPr>
        <w:t>nodrošinās ikgadējo finansējumu projekta īstenošanai.</w:t>
      </w:r>
      <w:r w:rsidR="008E1861" w:rsidRPr="008365DA">
        <w:rPr>
          <w:rFonts w:ascii="Times New Roman" w:hAnsi="Times New Roman" w:cs="Times New Roman"/>
          <w:sz w:val="24"/>
          <w:szCs w:val="24"/>
        </w:rPr>
        <w:t xml:space="preserve"> </w:t>
      </w:r>
    </w:p>
    <w:p w14:paraId="244D83F2" w14:textId="6B642240" w:rsidR="008E1861" w:rsidRPr="00161144" w:rsidRDefault="002E3B03" w:rsidP="00981FC4">
      <w:pPr>
        <w:pStyle w:val="DocumentMap"/>
        <w:numPr>
          <w:ilvl w:val="1"/>
          <w:numId w:val="3"/>
        </w:numPr>
        <w:spacing w:before="120"/>
        <w:ind w:left="567" w:hanging="567"/>
        <w:jc w:val="both"/>
        <w:rPr>
          <w:rFonts w:ascii="Times New Roman" w:hAnsi="Times New Roman" w:cs="Times New Roman"/>
          <w:sz w:val="24"/>
          <w:szCs w:val="24"/>
        </w:rPr>
      </w:pPr>
      <w:r w:rsidRPr="00161144">
        <w:rPr>
          <w:rFonts w:ascii="Times New Roman" w:hAnsi="Times New Roman" w:cs="Times New Roman"/>
          <w:sz w:val="24"/>
          <w:szCs w:val="24"/>
        </w:rPr>
        <w:t>Nozares ministrija</w:t>
      </w:r>
      <w:r w:rsidR="008E1861" w:rsidRPr="00161144">
        <w:rPr>
          <w:rFonts w:ascii="Times New Roman" w:hAnsi="Times New Roman" w:cs="Times New Roman"/>
          <w:sz w:val="24"/>
          <w:szCs w:val="24"/>
        </w:rPr>
        <w:t xml:space="preserve"> </w:t>
      </w:r>
      <w:r w:rsidR="00251425" w:rsidRPr="00161144">
        <w:rPr>
          <w:rFonts w:ascii="Times New Roman" w:hAnsi="Times New Roman" w:cs="Times New Roman"/>
          <w:sz w:val="24"/>
          <w:szCs w:val="24"/>
        </w:rPr>
        <w:t>finansējumu projekta</w:t>
      </w:r>
      <w:r w:rsidR="008E1861" w:rsidRPr="00161144">
        <w:rPr>
          <w:rFonts w:ascii="Times New Roman" w:hAnsi="Times New Roman" w:cs="Times New Roman"/>
          <w:sz w:val="24"/>
          <w:szCs w:val="24"/>
        </w:rPr>
        <w:t xml:space="preserve"> īstenošanai un </w:t>
      </w:r>
      <w:r w:rsidR="00847203">
        <w:rPr>
          <w:rFonts w:ascii="Times New Roman" w:hAnsi="Times New Roman" w:cs="Times New Roman"/>
          <w:sz w:val="24"/>
          <w:szCs w:val="24"/>
        </w:rPr>
        <w:t>PVN</w:t>
      </w:r>
      <w:r w:rsidR="008E1861" w:rsidRPr="00161144">
        <w:rPr>
          <w:rFonts w:ascii="Times New Roman" w:hAnsi="Times New Roman" w:cs="Times New Roman"/>
          <w:sz w:val="24"/>
          <w:szCs w:val="24"/>
        </w:rPr>
        <w:t xml:space="preserve"> finansējumu pieprasa no 74. resora “Gadskārtējā valsts budžeta izpildes procesā pārdalāmais finansējums” 80.00.00. programmas “Nesadalītais finansējums Eiropas Savienības politiku instrumentu un pārējās ārvalstu finanšu palīdzības līdzfinansēto projektu un pasākumu īstenošanai” valsts budžeta līdzekļiem. </w:t>
      </w:r>
    </w:p>
    <w:p w14:paraId="0DF08D86" w14:textId="0D500AFB" w:rsidR="004C16F5" w:rsidRPr="00161144" w:rsidRDefault="002E3B03" w:rsidP="00981FC4">
      <w:pPr>
        <w:pStyle w:val="DocumentMap"/>
        <w:numPr>
          <w:ilvl w:val="1"/>
          <w:numId w:val="3"/>
        </w:numPr>
        <w:spacing w:before="120"/>
        <w:ind w:left="567" w:hanging="567"/>
        <w:jc w:val="both"/>
        <w:rPr>
          <w:rFonts w:ascii="Times New Roman" w:hAnsi="Times New Roman" w:cs="Times New Roman"/>
          <w:sz w:val="24"/>
          <w:szCs w:val="24"/>
        </w:rPr>
      </w:pPr>
      <w:r w:rsidRPr="00161144">
        <w:rPr>
          <w:rFonts w:ascii="Times New Roman" w:hAnsi="Times New Roman" w:cs="Times New Roman"/>
          <w:sz w:val="24"/>
          <w:szCs w:val="24"/>
        </w:rPr>
        <w:t>Nozares ministrija</w:t>
      </w:r>
      <w:r w:rsidR="005E7154" w:rsidRPr="00161144">
        <w:rPr>
          <w:rFonts w:ascii="Times New Roman" w:hAnsi="Times New Roman" w:cs="Times New Roman"/>
          <w:sz w:val="24"/>
          <w:szCs w:val="24"/>
        </w:rPr>
        <w:t xml:space="preserve"> apstiprina </w:t>
      </w:r>
      <w:r w:rsidR="008E1861" w:rsidRPr="00161144">
        <w:rPr>
          <w:rFonts w:ascii="Times New Roman" w:hAnsi="Times New Roman" w:cs="Times New Roman"/>
          <w:sz w:val="24"/>
          <w:szCs w:val="24"/>
        </w:rPr>
        <w:t xml:space="preserve">šī ziņojuma </w:t>
      </w:r>
      <w:r w:rsidR="009C7EA0" w:rsidRPr="00161144">
        <w:rPr>
          <w:rFonts w:ascii="Times New Roman" w:hAnsi="Times New Roman" w:cs="Times New Roman"/>
          <w:sz w:val="24"/>
          <w:szCs w:val="24"/>
        </w:rPr>
        <w:fldChar w:fldCharType="begin"/>
      </w:r>
      <w:r w:rsidR="009C7EA0" w:rsidRPr="00161144">
        <w:rPr>
          <w:rFonts w:ascii="Times New Roman" w:hAnsi="Times New Roman" w:cs="Times New Roman"/>
          <w:sz w:val="24"/>
          <w:szCs w:val="24"/>
        </w:rPr>
        <w:instrText xml:space="preserve"> REF _Ref94209849 \r \h </w:instrText>
      </w:r>
      <w:r w:rsidR="00023E9A" w:rsidRPr="00161144">
        <w:rPr>
          <w:rFonts w:ascii="Times New Roman" w:hAnsi="Times New Roman" w:cs="Times New Roman"/>
          <w:sz w:val="24"/>
          <w:szCs w:val="24"/>
        </w:rPr>
        <w:instrText xml:space="preserve"> \* MERGEFORMAT </w:instrText>
      </w:r>
      <w:r w:rsidR="009C7EA0" w:rsidRPr="00161144">
        <w:rPr>
          <w:rFonts w:ascii="Times New Roman" w:hAnsi="Times New Roman" w:cs="Times New Roman"/>
          <w:sz w:val="24"/>
          <w:szCs w:val="24"/>
        </w:rPr>
      </w:r>
      <w:r w:rsidR="009C7EA0" w:rsidRPr="00161144">
        <w:rPr>
          <w:rFonts w:ascii="Times New Roman" w:hAnsi="Times New Roman" w:cs="Times New Roman"/>
          <w:sz w:val="24"/>
          <w:szCs w:val="24"/>
        </w:rPr>
        <w:fldChar w:fldCharType="separate"/>
      </w:r>
      <w:r w:rsidR="003C69E9" w:rsidRPr="00161144">
        <w:rPr>
          <w:rFonts w:ascii="Times New Roman" w:hAnsi="Times New Roman" w:cs="Times New Roman"/>
          <w:sz w:val="24"/>
          <w:szCs w:val="24"/>
        </w:rPr>
        <w:t>3.1</w:t>
      </w:r>
      <w:r w:rsidR="009C7EA0" w:rsidRPr="00161144">
        <w:rPr>
          <w:rFonts w:ascii="Times New Roman" w:hAnsi="Times New Roman" w:cs="Times New Roman"/>
          <w:sz w:val="24"/>
          <w:szCs w:val="24"/>
        </w:rPr>
        <w:fldChar w:fldCharType="end"/>
      </w:r>
      <w:r w:rsidR="008E1861" w:rsidRPr="00161144">
        <w:rPr>
          <w:rFonts w:ascii="Times New Roman" w:hAnsi="Times New Roman" w:cs="Times New Roman"/>
          <w:sz w:val="24"/>
          <w:szCs w:val="24"/>
        </w:rPr>
        <w:t xml:space="preserve">. un </w:t>
      </w:r>
      <w:r w:rsidR="009C7EA0" w:rsidRPr="00161144">
        <w:rPr>
          <w:rFonts w:ascii="Times New Roman" w:hAnsi="Times New Roman" w:cs="Times New Roman"/>
          <w:sz w:val="24"/>
          <w:szCs w:val="24"/>
        </w:rPr>
        <w:fldChar w:fldCharType="begin"/>
      </w:r>
      <w:r w:rsidR="009C7EA0" w:rsidRPr="00161144">
        <w:rPr>
          <w:rFonts w:ascii="Times New Roman" w:hAnsi="Times New Roman" w:cs="Times New Roman"/>
          <w:sz w:val="24"/>
          <w:szCs w:val="24"/>
        </w:rPr>
        <w:instrText xml:space="preserve"> REF _Ref94209857 \r \h </w:instrText>
      </w:r>
      <w:r w:rsidR="00163CFD" w:rsidRPr="00161144">
        <w:rPr>
          <w:rFonts w:ascii="Times New Roman" w:hAnsi="Times New Roman" w:cs="Times New Roman"/>
          <w:sz w:val="24"/>
          <w:szCs w:val="24"/>
        </w:rPr>
        <w:instrText xml:space="preserve"> \* MERGEFORMAT </w:instrText>
      </w:r>
      <w:r w:rsidR="009C7EA0" w:rsidRPr="00161144">
        <w:rPr>
          <w:rFonts w:ascii="Times New Roman" w:hAnsi="Times New Roman" w:cs="Times New Roman"/>
          <w:sz w:val="24"/>
          <w:szCs w:val="24"/>
        </w:rPr>
      </w:r>
      <w:r w:rsidR="009C7EA0" w:rsidRPr="00161144">
        <w:rPr>
          <w:rFonts w:ascii="Times New Roman" w:hAnsi="Times New Roman" w:cs="Times New Roman"/>
          <w:sz w:val="24"/>
          <w:szCs w:val="24"/>
        </w:rPr>
        <w:fldChar w:fldCharType="separate"/>
      </w:r>
      <w:r w:rsidR="003C69E9" w:rsidRPr="00161144">
        <w:rPr>
          <w:rFonts w:ascii="Times New Roman" w:hAnsi="Times New Roman" w:cs="Times New Roman"/>
          <w:sz w:val="24"/>
          <w:szCs w:val="24"/>
        </w:rPr>
        <w:t>3.2</w:t>
      </w:r>
      <w:r w:rsidR="009C7EA0" w:rsidRPr="00161144">
        <w:rPr>
          <w:rFonts w:ascii="Times New Roman" w:hAnsi="Times New Roman" w:cs="Times New Roman"/>
          <w:sz w:val="24"/>
          <w:szCs w:val="24"/>
        </w:rPr>
        <w:fldChar w:fldCharType="end"/>
      </w:r>
      <w:r w:rsidR="008E1861" w:rsidRPr="00161144">
        <w:rPr>
          <w:rFonts w:ascii="Times New Roman" w:hAnsi="Times New Roman" w:cs="Times New Roman"/>
          <w:sz w:val="24"/>
          <w:szCs w:val="24"/>
        </w:rPr>
        <w:t xml:space="preserve">. apakšpunktā noteikto </w:t>
      </w:r>
      <w:r w:rsidR="00E1340E">
        <w:rPr>
          <w:rFonts w:ascii="Times New Roman" w:hAnsi="Times New Roman" w:cs="Times New Roman"/>
          <w:sz w:val="24"/>
          <w:szCs w:val="24"/>
        </w:rPr>
        <w:t>investīcijas</w:t>
      </w:r>
      <w:r w:rsidR="008E1861" w:rsidRPr="00161144">
        <w:rPr>
          <w:rFonts w:ascii="Times New Roman" w:hAnsi="Times New Roman" w:cs="Times New Roman"/>
          <w:sz w:val="24"/>
          <w:szCs w:val="24"/>
        </w:rPr>
        <w:t xml:space="preserve"> atskaites punkta</w:t>
      </w:r>
      <w:r w:rsidR="005E7154" w:rsidRPr="00161144">
        <w:rPr>
          <w:rFonts w:ascii="Times New Roman" w:hAnsi="Times New Roman" w:cs="Times New Roman"/>
          <w:sz w:val="24"/>
          <w:szCs w:val="24"/>
        </w:rPr>
        <w:t xml:space="preserve"> sasniegšanu un izmaksu </w:t>
      </w:r>
      <w:r w:rsidR="00345EF7" w:rsidRPr="00161144">
        <w:rPr>
          <w:rFonts w:ascii="Times New Roman" w:hAnsi="Times New Roman" w:cs="Times New Roman"/>
          <w:sz w:val="24"/>
          <w:szCs w:val="24"/>
        </w:rPr>
        <w:t>atbilstību</w:t>
      </w:r>
      <w:r w:rsidR="005E7154" w:rsidRPr="00161144">
        <w:rPr>
          <w:rFonts w:ascii="Times New Roman" w:hAnsi="Times New Roman" w:cs="Times New Roman"/>
          <w:sz w:val="24"/>
          <w:szCs w:val="24"/>
        </w:rPr>
        <w:t xml:space="preserve">, </w:t>
      </w:r>
      <w:bookmarkStart w:id="22" w:name="_Hlk95416037"/>
      <w:r w:rsidR="008E1861" w:rsidRPr="00161144">
        <w:rPr>
          <w:rFonts w:ascii="Times New Roman" w:hAnsi="Times New Roman" w:cs="Times New Roman"/>
          <w:sz w:val="24"/>
          <w:szCs w:val="24"/>
        </w:rPr>
        <w:t xml:space="preserve">pamatojoties uz </w:t>
      </w:r>
      <w:r w:rsidR="00D104A2" w:rsidRPr="00161144">
        <w:rPr>
          <w:rFonts w:ascii="Times New Roman" w:hAnsi="Times New Roman" w:cs="Times New Roman"/>
          <w:sz w:val="24"/>
          <w:szCs w:val="24"/>
        </w:rPr>
        <w:t>nozares ministrijas piesaistītā neatkarīga revidenta/ iekšējā auditora ziņojumu par saskaņoto procedūru veikšanu par projekta darbību un noteikto rādītāju  sasniegšanu, par interešu konflikta, korupcijas un krāpšanas novēršanas nosacījumu  ievērošanu projektā un par dubultā finansējuma riska neesamības pārbaudēm</w:t>
      </w:r>
      <w:bookmarkEnd w:id="22"/>
      <w:r w:rsidR="00D104A2" w:rsidRPr="00161144">
        <w:rPr>
          <w:rFonts w:ascii="Times New Roman" w:hAnsi="Times New Roman" w:cs="Times New Roman"/>
          <w:sz w:val="24"/>
          <w:szCs w:val="24"/>
        </w:rPr>
        <w:t>.</w:t>
      </w:r>
      <w:r w:rsidR="00D104A2" w:rsidRPr="00161144" w:rsidDel="00D104A2">
        <w:rPr>
          <w:rFonts w:ascii="Times New Roman" w:hAnsi="Times New Roman" w:cs="Times New Roman"/>
          <w:sz w:val="24"/>
          <w:szCs w:val="24"/>
        </w:rPr>
        <w:t xml:space="preserve"> </w:t>
      </w:r>
    </w:p>
    <w:p w14:paraId="32785DA6" w14:textId="530FDE2B" w:rsidR="004C16F5" w:rsidRPr="001156E3" w:rsidRDefault="002E3B03" w:rsidP="00981FC4">
      <w:pPr>
        <w:pStyle w:val="DocumentMap"/>
        <w:numPr>
          <w:ilvl w:val="1"/>
          <w:numId w:val="3"/>
        </w:numPr>
        <w:spacing w:before="120"/>
        <w:ind w:left="567" w:hanging="567"/>
        <w:jc w:val="both"/>
        <w:rPr>
          <w:rFonts w:ascii="Times New Roman" w:hAnsi="Times New Roman" w:cs="Times New Roman"/>
          <w:sz w:val="24"/>
          <w:szCs w:val="24"/>
        </w:rPr>
      </w:pPr>
      <w:bookmarkStart w:id="23" w:name="_Hlk95416065"/>
      <w:r w:rsidRPr="001156E3">
        <w:rPr>
          <w:rFonts w:ascii="Times New Roman" w:hAnsi="Times New Roman" w:cs="Times New Roman"/>
          <w:sz w:val="24"/>
          <w:szCs w:val="24"/>
        </w:rPr>
        <w:t>Nozares ministrijai</w:t>
      </w:r>
      <w:r w:rsidR="004C16F5" w:rsidRPr="001156E3">
        <w:rPr>
          <w:rFonts w:ascii="Times New Roman" w:hAnsi="Times New Roman" w:cs="Times New Roman"/>
          <w:sz w:val="24"/>
          <w:szCs w:val="24"/>
        </w:rPr>
        <w:t xml:space="preserve"> ir tiesības vienpusēji atkāpties no noslēgtās vienošanās par projekta īstenošanu jebkurā no šādiem gadījumiem:</w:t>
      </w:r>
    </w:p>
    <w:p w14:paraId="4EAD762E" w14:textId="6B8D7037" w:rsidR="004C16F5" w:rsidRPr="001156E3" w:rsidRDefault="004C16F5" w:rsidP="00981FC4">
      <w:pPr>
        <w:pStyle w:val="ListParagraph"/>
        <w:numPr>
          <w:ilvl w:val="2"/>
          <w:numId w:val="3"/>
        </w:numPr>
        <w:spacing w:before="120" w:after="0" w:line="240" w:lineRule="auto"/>
        <w:ind w:left="1134" w:hanging="425"/>
        <w:contextualSpacing w:val="0"/>
        <w:jc w:val="both"/>
        <w:rPr>
          <w:rFonts w:ascii="Times New Roman" w:eastAsia="Times New Roman" w:hAnsi="Times New Roman" w:cs="Times New Roman"/>
          <w:iCs/>
          <w:sz w:val="24"/>
          <w:szCs w:val="24"/>
        </w:rPr>
      </w:pPr>
      <w:r w:rsidRPr="001156E3">
        <w:rPr>
          <w:rFonts w:ascii="Times New Roman" w:eastAsia="Times New Roman" w:hAnsi="Times New Roman" w:cs="Times New Roman"/>
          <w:iCs/>
          <w:sz w:val="24"/>
          <w:szCs w:val="24"/>
        </w:rPr>
        <w:t>finansējuma saņēmējs nepilda vienošan</w:t>
      </w:r>
      <w:r w:rsidR="00EC6EBD">
        <w:rPr>
          <w:rFonts w:ascii="Times New Roman" w:eastAsia="Times New Roman" w:hAnsi="Times New Roman" w:cs="Times New Roman"/>
          <w:iCs/>
          <w:sz w:val="24"/>
          <w:szCs w:val="24"/>
        </w:rPr>
        <w:t>ā</w:t>
      </w:r>
      <w:r w:rsidRPr="001156E3">
        <w:rPr>
          <w:rFonts w:ascii="Times New Roman" w:eastAsia="Times New Roman" w:hAnsi="Times New Roman" w:cs="Times New Roman"/>
          <w:iCs/>
          <w:sz w:val="24"/>
          <w:szCs w:val="24"/>
        </w:rPr>
        <w:t xml:space="preserve">s par projekta īstenošanu, tai skaitā netiek ievēroti projektā noteiktie termiņi vai ir iestājušies citi </w:t>
      </w:r>
      <w:r w:rsidRPr="001156E3">
        <w:rPr>
          <w:rFonts w:ascii="Times New Roman" w:eastAsia="Times New Roman" w:hAnsi="Times New Roman" w:cs="Times New Roman"/>
          <w:iCs/>
          <w:sz w:val="24"/>
          <w:szCs w:val="24"/>
        </w:rPr>
        <w:lastRenderedPageBreak/>
        <w:t>apstākļi, kas negatīvi ietekmē vai var ietekmēt investīcijas vai noteikto rādītāju sasniegšanu;</w:t>
      </w:r>
    </w:p>
    <w:p w14:paraId="6F9BAA7C" w14:textId="77777777" w:rsidR="004C16F5" w:rsidRPr="001156E3" w:rsidRDefault="004C16F5" w:rsidP="00981FC4">
      <w:pPr>
        <w:pStyle w:val="ListParagraph"/>
        <w:numPr>
          <w:ilvl w:val="2"/>
          <w:numId w:val="3"/>
        </w:numPr>
        <w:spacing w:before="120" w:after="0" w:line="240" w:lineRule="auto"/>
        <w:ind w:left="1134" w:hanging="425"/>
        <w:contextualSpacing w:val="0"/>
        <w:jc w:val="both"/>
        <w:rPr>
          <w:rFonts w:ascii="Times New Roman" w:eastAsia="Times New Roman" w:hAnsi="Times New Roman" w:cs="Times New Roman"/>
          <w:iCs/>
          <w:sz w:val="24"/>
          <w:szCs w:val="24"/>
        </w:rPr>
      </w:pPr>
      <w:r w:rsidRPr="001156E3">
        <w:rPr>
          <w:rFonts w:ascii="Times New Roman" w:eastAsia="Times New Roman" w:hAnsi="Times New Roman" w:cs="Times New Roman"/>
          <w:iCs/>
          <w:sz w:val="24"/>
          <w:szCs w:val="24"/>
        </w:rPr>
        <w:t xml:space="preserve"> finansējuma saņēmējs projekta īstenošanas laikā apzināti ir sniedzis nepatiesu informāciju;</w:t>
      </w:r>
    </w:p>
    <w:p w14:paraId="66219C5C" w14:textId="6D4EC4BD" w:rsidR="004C16F5" w:rsidRDefault="004C16F5" w:rsidP="00981FC4">
      <w:pPr>
        <w:pStyle w:val="ListParagraph"/>
        <w:numPr>
          <w:ilvl w:val="2"/>
          <w:numId w:val="3"/>
        </w:numPr>
        <w:spacing w:before="120" w:after="0" w:line="240" w:lineRule="auto"/>
        <w:ind w:left="1134" w:hanging="425"/>
        <w:contextualSpacing w:val="0"/>
        <w:jc w:val="both"/>
        <w:rPr>
          <w:rFonts w:ascii="Times New Roman" w:eastAsia="Times New Roman" w:hAnsi="Times New Roman" w:cs="Times New Roman"/>
          <w:iCs/>
          <w:sz w:val="24"/>
          <w:szCs w:val="24"/>
        </w:rPr>
      </w:pPr>
      <w:r w:rsidRPr="001156E3">
        <w:rPr>
          <w:rFonts w:ascii="Times New Roman" w:eastAsia="Times New Roman" w:hAnsi="Times New Roman" w:cs="Times New Roman"/>
          <w:iCs/>
          <w:sz w:val="24"/>
          <w:szCs w:val="24"/>
        </w:rPr>
        <w:t>citos gadījumos, ko paredz vienošanās par projekta īstenošanu.</w:t>
      </w:r>
    </w:p>
    <w:p w14:paraId="01DE8764" w14:textId="4B084AC9" w:rsidR="00CB6160" w:rsidRPr="00BD73E8" w:rsidRDefault="00CB6160" w:rsidP="00B90E8F">
      <w:pPr>
        <w:pStyle w:val="ListParagraph"/>
        <w:numPr>
          <w:ilvl w:val="1"/>
          <w:numId w:val="3"/>
        </w:numPr>
        <w:tabs>
          <w:tab w:val="left" w:pos="1560"/>
        </w:tabs>
        <w:spacing w:before="120" w:after="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Nozares ministrija pēc finansējuma saņēmēja maksājuma pieprasījuma saņemšanas pārbauda vai tam ir pievienots apliecinājums, ka finansējuma saņēmējs nav atguvis </w:t>
      </w:r>
      <w:r w:rsidR="00847203">
        <w:rPr>
          <w:rFonts w:ascii="Times New Roman" w:hAnsi="Times New Roman" w:cs="Times New Roman"/>
          <w:sz w:val="24"/>
          <w:szCs w:val="24"/>
        </w:rPr>
        <w:t>PVN</w:t>
      </w:r>
      <w:r>
        <w:rPr>
          <w:rFonts w:ascii="Times New Roman" w:hAnsi="Times New Roman" w:cs="Times New Roman"/>
          <w:sz w:val="24"/>
          <w:szCs w:val="24"/>
        </w:rPr>
        <w:t xml:space="preserve"> no valsts budžeta priekšnodokļa veidā. </w:t>
      </w:r>
    </w:p>
    <w:p w14:paraId="68B6BFD7" w14:textId="65EE837F" w:rsidR="00D104A2" w:rsidRPr="00EE6627" w:rsidRDefault="00EB6A17" w:rsidP="00981FC4">
      <w:pPr>
        <w:pStyle w:val="ListParagraph"/>
        <w:numPr>
          <w:ilvl w:val="1"/>
          <w:numId w:val="3"/>
        </w:numPr>
        <w:tabs>
          <w:tab w:val="left" w:pos="1560"/>
        </w:tabs>
        <w:spacing w:before="120" w:after="0" w:line="240" w:lineRule="auto"/>
        <w:ind w:left="567" w:hanging="567"/>
        <w:contextualSpacing w:val="0"/>
        <w:jc w:val="both"/>
        <w:rPr>
          <w:rFonts w:ascii="Times New Roman" w:hAnsi="Times New Roman" w:cs="Times New Roman"/>
          <w:sz w:val="24"/>
          <w:szCs w:val="24"/>
        </w:rPr>
      </w:pPr>
      <w:r w:rsidRPr="00EE6627">
        <w:rPr>
          <w:rFonts w:ascii="Times New Roman" w:hAnsi="Times New Roman" w:cs="Times New Roman"/>
          <w:sz w:val="24"/>
          <w:szCs w:val="24"/>
        </w:rPr>
        <w:t xml:space="preserve">Centrālā finanšu un līgumu aģentūra </w:t>
      </w:r>
      <w:r w:rsidR="00D104A2" w:rsidRPr="00EE6627">
        <w:rPr>
          <w:rFonts w:ascii="Times New Roman" w:hAnsi="Times New Roman" w:cs="Times New Roman"/>
          <w:sz w:val="24"/>
          <w:szCs w:val="24"/>
        </w:rPr>
        <w:t xml:space="preserve">izlases veidā </w:t>
      </w:r>
      <w:r w:rsidR="002E2BDB" w:rsidRPr="00EE6627">
        <w:rPr>
          <w:rFonts w:ascii="Times New Roman" w:hAnsi="Times New Roman" w:cs="Times New Roman"/>
          <w:sz w:val="24"/>
          <w:szCs w:val="24"/>
        </w:rPr>
        <w:t xml:space="preserve">var veikt </w:t>
      </w:r>
      <w:r w:rsidR="00D104A2" w:rsidRPr="00EE6627">
        <w:rPr>
          <w:rFonts w:ascii="Times New Roman" w:hAnsi="Times New Roman" w:cs="Times New Roman"/>
          <w:sz w:val="24"/>
          <w:szCs w:val="24"/>
        </w:rPr>
        <w:t xml:space="preserve">šādas </w:t>
      </w:r>
      <w:r w:rsidR="00ED3026" w:rsidRPr="00EE6627">
        <w:rPr>
          <w:rFonts w:ascii="Times New Roman" w:hAnsi="Times New Roman" w:cs="Times New Roman"/>
          <w:sz w:val="24"/>
          <w:szCs w:val="24"/>
        </w:rPr>
        <w:t>MK noteikumos Nr.</w:t>
      </w:r>
      <w:r w:rsidR="00E048D5">
        <w:rPr>
          <w:rFonts w:ascii="Times New Roman" w:hAnsi="Times New Roman" w:cs="Times New Roman"/>
          <w:sz w:val="24"/>
          <w:szCs w:val="24"/>
        </w:rPr>
        <w:t> </w:t>
      </w:r>
      <w:r w:rsidR="00ED3026" w:rsidRPr="00EE6627">
        <w:rPr>
          <w:rFonts w:ascii="Times New Roman" w:hAnsi="Times New Roman" w:cs="Times New Roman"/>
          <w:sz w:val="24"/>
          <w:szCs w:val="24"/>
        </w:rPr>
        <w:t xml:space="preserve">621 </w:t>
      </w:r>
      <w:r w:rsidR="00D104A2" w:rsidRPr="00EE6627">
        <w:rPr>
          <w:rFonts w:ascii="Times New Roman" w:hAnsi="Times New Roman" w:cs="Times New Roman"/>
          <w:sz w:val="24"/>
          <w:szCs w:val="24"/>
        </w:rPr>
        <w:t>noteiktās pārbaudes:</w:t>
      </w:r>
    </w:p>
    <w:p w14:paraId="45EA7877" w14:textId="77777777" w:rsidR="00D104A2" w:rsidRPr="00EE6627" w:rsidRDefault="00D104A2" w:rsidP="00981FC4">
      <w:pPr>
        <w:pStyle w:val="ListParagraph"/>
        <w:numPr>
          <w:ilvl w:val="2"/>
          <w:numId w:val="3"/>
        </w:numPr>
        <w:spacing w:before="120" w:after="0" w:line="240" w:lineRule="auto"/>
        <w:ind w:left="1134" w:hanging="425"/>
        <w:contextualSpacing w:val="0"/>
        <w:jc w:val="both"/>
        <w:rPr>
          <w:rFonts w:ascii="Times New Roman" w:eastAsia="Times New Roman" w:hAnsi="Times New Roman" w:cs="Times New Roman"/>
          <w:iCs/>
          <w:sz w:val="24"/>
          <w:szCs w:val="24"/>
        </w:rPr>
      </w:pPr>
      <w:r w:rsidRPr="00EE6627">
        <w:rPr>
          <w:rFonts w:ascii="Times New Roman" w:eastAsia="Times New Roman" w:hAnsi="Times New Roman" w:cs="Times New Roman"/>
          <w:iCs/>
          <w:sz w:val="24"/>
          <w:szCs w:val="24"/>
        </w:rPr>
        <w:t xml:space="preserve">pārbaudes par interešu konflikta, krāpšanas un korupcijas, un </w:t>
      </w:r>
      <w:proofErr w:type="spellStart"/>
      <w:r w:rsidRPr="00EE6627">
        <w:rPr>
          <w:rFonts w:ascii="Times New Roman" w:eastAsia="Times New Roman" w:hAnsi="Times New Roman" w:cs="Times New Roman"/>
          <w:iCs/>
          <w:sz w:val="24"/>
          <w:szCs w:val="24"/>
        </w:rPr>
        <w:t>dubultfinansējuma</w:t>
      </w:r>
      <w:proofErr w:type="spellEnd"/>
      <w:r w:rsidRPr="00EE6627">
        <w:rPr>
          <w:rFonts w:ascii="Times New Roman" w:eastAsia="Times New Roman" w:hAnsi="Times New Roman" w:cs="Times New Roman"/>
          <w:iCs/>
          <w:sz w:val="24"/>
          <w:szCs w:val="24"/>
        </w:rPr>
        <w:t xml:space="preserve"> riska pazīmēm;</w:t>
      </w:r>
    </w:p>
    <w:p w14:paraId="4F1C5382" w14:textId="25180009" w:rsidR="00D104A2" w:rsidRPr="00EE6627" w:rsidRDefault="00D104A2" w:rsidP="00981FC4">
      <w:pPr>
        <w:pStyle w:val="ListParagraph"/>
        <w:numPr>
          <w:ilvl w:val="2"/>
          <w:numId w:val="3"/>
        </w:numPr>
        <w:spacing w:before="120" w:after="0" w:line="240" w:lineRule="auto"/>
        <w:ind w:left="1134" w:hanging="425"/>
        <w:contextualSpacing w:val="0"/>
        <w:jc w:val="both"/>
        <w:rPr>
          <w:rFonts w:ascii="Times New Roman" w:eastAsia="Times New Roman" w:hAnsi="Times New Roman" w:cs="Times New Roman"/>
          <w:iCs/>
          <w:sz w:val="24"/>
          <w:szCs w:val="24"/>
        </w:rPr>
      </w:pPr>
      <w:r w:rsidRPr="00EE6627">
        <w:rPr>
          <w:rFonts w:ascii="Times New Roman" w:eastAsia="Times New Roman" w:hAnsi="Times New Roman" w:cs="Times New Roman"/>
          <w:iCs/>
          <w:sz w:val="24"/>
          <w:szCs w:val="24"/>
        </w:rPr>
        <w:t>pārbaudes projekta īstenošanas vietā;</w:t>
      </w:r>
    </w:p>
    <w:p w14:paraId="585D5641" w14:textId="77777777" w:rsidR="00AA47F4" w:rsidRPr="00EE6627" w:rsidRDefault="00D104A2" w:rsidP="00981FC4">
      <w:pPr>
        <w:pStyle w:val="ListParagraph"/>
        <w:numPr>
          <w:ilvl w:val="2"/>
          <w:numId w:val="3"/>
        </w:numPr>
        <w:spacing w:before="120" w:after="0" w:line="240" w:lineRule="auto"/>
        <w:ind w:left="1134" w:hanging="425"/>
        <w:contextualSpacing w:val="0"/>
        <w:jc w:val="both"/>
        <w:rPr>
          <w:rFonts w:ascii="Times New Roman" w:eastAsia="Times New Roman" w:hAnsi="Times New Roman" w:cs="Times New Roman"/>
          <w:iCs/>
          <w:sz w:val="24"/>
          <w:szCs w:val="24"/>
        </w:rPr>
      </w:pPr>
      <w:r w:rsidRPr="00EE6627">
        <w:rPr>
          <w:rFonts w:ascii="Times New Roman" w:eastAsia="Times New Roman" w:hAnsi="Times New Roman" w:cs="Times New Roman"/>
          <w:iCs/>
          <w:sz w:val="24"/>
          <w:szCs w:val="24"/>
        </w:rPr>
        <w:t>projekta ieviešanas progresa un sasniegto rādītāju pārbaudes;</w:t>
      </w:r>
    </w:p>
    <w:p w14:paraId="35974DDC" w14:textId="0EF097D5" w:rsidR="00D104A2" w:rsidRDefault="00D104A2" w:rsidP="00981FC4">
      <w:pPr>
        <w:pStyle w:val="ListParagraph"/>
        <w:numPr>
          <w:ilvl w:val="2"/>
          <w:numId w:val="3"/>
        </w:numPr>
        <w:spacing w:before="120" w:after="0" w:line="240" w:lineRule="auto"/>
        <w:ind w:left="1134" w:hanging="425"/>
        <w:contextualSpacing w:val="0"/>
        <w:jc w:val="both"/>
        <w:rPr>
          <w:rFonts w:ascii="Times New Roman" w:eastAsia="Times New Roman" w:hAnsi="Times New Roman" w:cs="Times New Roman"/>
          <w:iCs/>
          <w:sz w:val="24"/>
          <w:szCs w:val="24"/>
        </w:rPr>
      </w:pPr>
      <w:r w:rsidRPr="00EE6627">
        <w:rPr>
          <w:rFonts w:ascii="Times New Roman" w:eastAsia="Times New Roman" w:hAnsi="Times New Roman" w:cs="Times New Roman"/>
          <w:iCs/>
          <w:sz w:val="24"/>
          <w:szCs w:val="24"/>
        </w:rPr>
        <w:t>datu ticamības pārbaudes</w:t>
      </w:r>
      <w:r w:rsidR="00654E29" w:rsidRPr="00EE6627">
        <w:rPr>
          <w:rFonts w:ascii="Times New Roman" w:eastAsia="Times New Roman" w:hAnsi="Times New Roman" w:cs="Times New Roman"/>
          <w:iCs/>
          <w:sz w:val="24"/>
          <w:szCs w:val="24"/>
        </w:rPr>
        <w:t>, t</w:t>
      </w:r>
      <w:r w:rsidR="00EE6627" w:rsidRPr="00EE6627">
        <w:rPr>
          <w:rFonts w:ascii="Times New Roman" w:eastAsia="Times New Roman" w:hAnsi="Times New Roman" w:cs="Times New Roman"/>
          <w:iCs/>
          <w:sz w:val="24"/>
          <w:szCs w:val="24"/>
        </w:rPr>
        <w:t>ajā skaitā</w:t>
      </w:r>
      <w:r w:rsidR="00654E29" w:rsidRPr="00EE6627">
        <w:rPr>
          <w:rFonts w:ascii="Times New Roman" w:eastAsia="Times New Roman" w:hAnsi="Times New Roman" w:cs="Times New Roman"/>
          <w:iCs/>
          <w:sz w:val="24"/>
          <w:szCs w:val="24"/>
        </w:rPr>
        <w:t xml:space="preserve"> sasniegto atskaites punktu un mērķu pamatojošās dokumentācijas pārbaudes</w:t>
      </w:r>
      <w:bookmarkEnd w:id="23"/>
      <w:r w:rsidRPr="00EE6627">
        <w:rPr>
          <w:rFonts w:ascii="Times New Roman" w:eastAsia="Times New Roman" w:hAnsi="Times New Roman" w:cs="Times New Roman"/>
          <w:iCs/>
          <w:sz w:val="24"/>
          <w:szCs w:val="24"/>
        </w:rPr>
        <w:t>.</w:t>
      </w:r>
    </w:p>
    <w:p w14:paraId="3EFD8C70" w14:textId="77777777" w:rsidR="000B7CC2" w:rsidRPr="00EE6627" w:rsidRDefault="000B7CC2" w:rsidP="000B7CC2">
      <w:pPr>
        <w:pStyle w:val="ListParagraph"/>
        <w:spacing w:before="120" w:after="0" w:line="240" w:lineRule="auto"/>
        <w:ind w:left="1134"/>
        <w:contextualSpacing w:val="0"/>
        <w:jc w:val="both"/>
        <w:rPr>
          <w:rFonts w:ascii="Times New Roman" w:eastAsia="Times New Roman" w:hAnsi="Times New Roman" w:cs="Times New Roman"/>
          <w:iCs/>
          <w:sz w:val="24"/>
          <w:szCs w:val="24"/>
        </w:rPr>
      </w:pPr>
    </w:p>
    <w:p w14:paraId="4822DEA7" w14:textId="20EE6E36" w:rsidR="00D6033A" w:rsidRPr="001624B6" w:rsidRDefault="00D6033A" w:rsidP="00981FC4">
      <w:pPr>
        <w:pStyle w:val="Heading1"/>
        <w:numPr>
          <w:ilvl w:val="0"/>
          <w:numId w:val="3"/>
        </w:numPr>
        <w:spacing w:before="120" w:line="240" w:lineRule="auto"/>
        <w:ind w:hanging="720"/>
        <w:rPr>
          <w:rFonts w:eastAsia="Times New Roman" w:cs="Times New Roman"/>
          <w:b/>
          <w:bCs/>
          <w:sz w:val="24"/>
          <w:szCs w:val="24"/>
        </w:rPr>
      </w:pPr>
      <w:bookmarkStart w:id="24" w:name="_Toc110002937"/>
      <w:r w:rsidRPr="001624B6">
        <w:rPr>
          <w:rFonts w:eastAsia="Times New Roman" w:cs="Times New Roman"/>
          <w:b/>
          <w:bCs/>
          <w:sz w:val="24"/>
          <w:szCs w:val="24"/>
        </w:rPr>
        <w:t>Ietekme uz valsts budžetu</w:t>
      </w:r>
      <w:bookmarkEnd w:id="24"/>
    </w:p>
    <w:p w14:paraId="0321A083" w14:textId="7DC26729" w:rsidR="00D6033A" w:rsidRDefault="00214803" w:rsidP="00D53F84">
      <w:pPr>
        <w:pStyle w:val="ListParagraph"/>
        <w:tabs>
          <w:tab w:val="left" w:pos="567"/>
        </w:tabs>
        <w:spacing w:before="120" w:after="0" w:line="240" w:lineRule="auto"/>
        <w:ind w:left="426"/>
        <w:contextualSpacing w:val="0"/>
        <w:jc w:val="both"/>
        <w:rPr>
          <w:rFonts w:ascii="Times New Roman" w:hAnsi="Times New Roman" w:cs="Times New Roman"/>
          <w:sz w:val="24"/>
          <w:szCs w:val="24"/>
          <w:lang w:eastAsia="en-US"/>
        </w:rPr>
      </w:pPr>
      <w:r w:rsidRPr="004B6DDC">
        <w:rPr>
          <w:rFonts w:ascii="Times New Roman" w:eastAsia="Times New Roman" w:hAnsi="Times New Roman" w:cs="Times New Roman"/>
          <w:iCs/>
          <w:sz w:val="24"/>
          <w:szCs w:val="24"/>
        </w:rPr>
        <w:t xml:space="preserve">Saskaņā ar šī ziņojuma </w:t>
      </w:r>
      <w:r w:rsidR="009C7EA0" w:rsidRPr="004B6DDC">
        <w:rPr>
          <w:rFonts w:ascii="Times New Roman" w:eastAsia="Times New Roman" w:hAnsi="Times New Roman" w:cs="Times New Roman"/>
          <w:iCs/>
          <w:sz w:val="24"/>
          <w:szCs w:val="24"/>
        </w:rPr>
        <w:fldChar w:fldCharType="begin"/>
      </w:r>
      <w:r w:rsidR="009C7EA0" w:rsidRPr="004B6DDC">
        <w:rPr>
          <w:rFonts w:ascii="Times New Roman" w:eastAsia="Times New Roman" w:hAnsi="Times New Roman" w:cs="Times New Roman"/>
          <w:iCs/>
          <w:sz w:val="24"/>
          <w:szCs w:val="24"/>
        </w:rPr>
        <w:instrText xml:space="preserve"> REF _Ref94209416 \r \h </w:instrText>
      </w:r>
      <w:r w:rsidR="00163CFD" w:rsidRPr="004B6DDC">
        <w:rPr>
          <w:rFonts w:ascii="Times New Roman" w:eastAsia="Times New Roman" w:hAnsi="Times New Roman" w:cs="Times New Roman"/>
          <w:iCs/>
          <w:sz w:val="24"/>
          <w:szCs w:val="24"/>
        </w:rPr>
        <w:instrText xml:space="preserve"> \* MERGEFORMAT </w:instrText>
      </w:r>
      <w:r w:rsidR="009C7EA0" w:rsidRPr="004B6DDC">
        <w:rPr>
          <w:rFonts w:ascii="Times New Roman" w:eastAsia="Times New Roman" w:hAnsi="Times New Roman" w:cs="Times New Roman"/>
          <w:iCs/>
          <w:sz w:val="24"/>
          <w:szCs w:val="24"/>
        </w:rPr>
      </w:r>
      <w:r w:rsidR="009C7EA0" w:rsidRPr="004B6DDC">
        <w:rPr>
          <w:rFonts w:ascii="Times New Roman" w:eastAsia="Times New Roman" w:hAnsi="Times New Roman" w:cs="Times New Roman"/>
          <w:iCs/>
          <w:sz w:val="24"/>
          <w:szCs w:val="24"/>
        </w:rPr>
        <w:fldChar w:fldCharType="separate"/>
      </w:r>
      <w:r w:rsidR="003C69E9" w:rsidRPr="004B6DDC">
        <w:rPr>
          <w:rFonts w:ascii="Times New Roman" w:eastAsia="Times New Roman" w:hAnsi="Times New Roman" w:cs="Times New Roman"/>
          <w:iCs/>
          <w:sz w:val="24"/>
          <w:szCs w:val="24"/>
        </w:rPr>
        <w:t>4.4</w:t>
      </w:r>
      <w:r w:rsidR="009C7EA0" w:rsidRPr="004B6DDC">
        <w:rPr>
          <w:rFonts w:ascii="Times New Roman" w:eastAsia="Times New Roman" w:hAnsi="Times New Roman" w:cs="Times New Roman"/>
          <w:iCs/>
          <w:sz w:val="24"/>
          <w:szCs w:val="24"/>
        </w:rPr>
        <w:fldChar w:fldCharType="end"/>
      </w:r>
      <w:r w:rsidRPr="004B6DDC">
        <w:rPr>
          <w:rFonts w:ascii="Times New Roman" w:eastAsia="Times New Roman" w:hAnsi="Times New Roman" w:cs="Times New Roman"/>
          <w:iCs/>
          <w:sz w:val="24"/>
          <w:szCs w:val="24"/>
        </w:rPr>
        <w:t>.</w:t>
      </w:r>
      <w:r w:rsidR="007240B2">
        <w:rPr>
          <w:rFonts w:ascii="Times New Roman" w:eastAsia="Times New Roman" w:hAnsi="Times New Roman" w:cs="Times New Roman"/>
          <w:iCs/>
          <w:sz w:val="24"/>
          <w:szCs w:val="24"/>
        </w:rPr>
        <w:t> </w:t>
      </w:r>
      <w:r w:rsidRPr="004B6DDC">
        <w:rPr>
          <w:rFonts w:ascii="Times New Roman" w:eastAsia="Times New Roman" w:hAnsi="Times New Roman" w:cs="Times New Roman"/>
          <w:iCs/>
          <w:sz w:val="24"/>
          <w:szCs w:val="24"/>
        </w:rPr>
        <w:t xml:space="preserve">apakšpunktu </w:t>
      </w:r>
      <w:r w:rsidR="001A27F4" w:rsidRPr="004B6DDC">
        <w:rPr>
          <w:rFonts w:ascii="Times New Roman" w:eastAsia="Times New Roman" w:hAnsi="Times New Roman" w:cs="Times New Roman"/>
          <w:iCs/>
          <w:sz w:val="24"/>
          <w:szCs w:val="24"/>
        </w:rPr>
        <w:t>investīcijas</w:t>
      </w:r>
      <w:r w:rsidR="00D6033A" w:rsidRPr="004B6DDC">
        <w:rPr>
          <w:rFonts w:ascii="Times New Roman" w:eastAsia="Times New Roman" w:hAnsi="Times New Roman" w:cs="Times New Roman"/>
          <w:iCs/>
          <w:sz w:val="24"/>
          <w:szCs w:val="24"/>
        </w:rPr>
        <w:t xml:space="preserve"> atskaites punkt</w:t>
      </w:r>
      <w:r w:rsidR="00FD55F6">
        <w:rPr>
          <w:rFonts w:ascii="Times New Roman" w:eastAsia="Times New Roman" w:hAnsi="Times New Roman" w:cs="Times New Roman"/>
          <w:iCs/>
          <w:sz w:val="24"/>
          <w:szCs w:val="24"/>
        </w:rPr>
        <w:t>u</w:t>
      </w:r>
      <w:r w:rsidR="00D6033A" w:rsidRPr="004B6DDC">
        <w:rPr>
          <w:rFonts w:ascii="Times New Roman" w:eastAsia="Times New Roman" w:hAnsi="Times New Roman" w:cs="Times New Roman"/>
          <w:iCs/>
          <w:sz w:val="24"/>
          <w:szCs w:val="24"/>
        </w:rPr>
        <w:t xml:space="preserve"> sasniegšanai būs ietekme uz valsts budžetu</w:t>
      </w:r>
      <w:r w:rsidRPr="004B6DDC">
        <w:rPr>
          <w:rFonts w:ascii="Times New Roman" w:eastAsia="Times New Roman" w:hAnsi="Times New Roman" w:cs="Times New Roman"/>
          <w:iCs/>
          <w:sz w:val="24"/>
          <w:szCs w:val="24"/>
        </w:rPr>
        <w:t xml:space="preserve"> par finansējumu </w:t>
      </w:r>
      <w:r w:rsidR="001624B6" w:rsidRPr="004B6DDC">
        <w:rPr>
          <w:rFonts w:ascii="Times New Roman" w:eastAsia="Times New Roman" w:hAnsi="Times New Roman" w:cs="Times New Roman"/>
          <w:iCs/>
          <w:sz w:val="24"/>
          <w:szCs w:val="24"/>
        </w:rPr>
        <w:t>PVN</w:t>
      </w:r>
      <w:r w:rsidRPr="004B6DDC">
        <w:rPr>
          <w:rFonts w:ascii="Times New Roman" w:eastAsia="Times New Roman" w:hAnsi="Times New Roman" w:cs="Times New Roman"/>
          <w:iCs/>
          <w:sz w:val="24"/>
          <w:szCs w:val="24"/>
        </w:rPr>
        <w:t xml:space="preserve"> segšanai</w:t>
      </w:r>
      <w:r w:rsidR="001A27F4" w:rsidRPr="004B6DDC">
        <w:rPr>
          <w:rFonts w:ascii="Times New Roman" w:eastAsia="Times New Roman" w:hAnsi="Times New Roman" w:cs="Times New Roman"/>
          <w:iCs/>
          <w:sz w:val="24"/>
          <w:szCs w:val="24"/>
        </w:rPr>
        <w:t xml:space="preserve"> ne vairāk kā </w:t>
      </w:r>
      <w:r w:rsidR="001624B6" w:rsidRPr="004B6DDC">
        <w:rPr>
          <w:rFonts w:ascii="Times New Roman" w:hAnsi="Times New Roman" w:cs="Times New Roman"/>
          <w:sz w:val="24"/>
          <w:szCs w:val="24"/>
        </w:rPr>
        <w:t>150</w:t>
      </w:r>
      <w:r w:rsidR="001A7015">
        <w:rPr>
          <w:rFonts w:ascii="Times New Roman" w:hAnsi="Times New Roman" w:cs="Times New Roman"/>
          <w:sz w:val="24"/>
          <w:szCs w:val="24"/>
        </w:rPr>
        <w:t> </w:t>
      </w:r>
      <w:r w:rsidR="001624B6" w:rsidRPr="004B6DDC">
        <w:rPr>
          <w:rFonts w:ascii="Times New Roman" w:hAnsi="Times New Roman" w:cs="Times New Roman"/>
          <w:sz w:val="24"/>
          <w:szCs w:val="24"/>
        </w:rPr>
        <w:t>150,00 </w:t>
      </w:r>
      <w:r w:rsidR="001624B6" w:rsidRPr="004B6DDC">
        <w:rPr>
          <w:rFonts w:ascii="Times New Roman" w:hAnsi="Times New Roman" w:cs="Times New Roman"/>
          <w:i/>
          <w:iCs/>
          <w:sz w:val="24"/>
          <w:szCs w:val="24"/>
        </w:rPr>
        <w:t>euro</w:t>
      </w:r>
      <w:r w:rsidR="001624B6" w:rsidRPr="004B6DDC">
        <w:rPr>
          <w:rFonts w:ascii="Times New Roman" w:hAnsi="Times New Roman" w:cs="Times New Roman"/>
          <w:sz w:val="24"/>
          <w:szCs w:val="24"/>
        </w:rPr>
        <w:t xml:space="preserve"> </w:t>
      </w:r>
      <w:r w:rsidRPr="004B6DDC">
        <w:rPr>
          <w:rFonts w:ascii="Times New Roman" w:eastAsia="Times New Roman" w:hAnsi="Times New Roman" w:cs="Times New Roman"/>
          <w:iCs/>
          <w:sz w:val="24"/>
          <w:szCs w:val="24"/>
        </w:rPr>
        <w:t xml:space="preserve">apmērā. Tā </w:t>
      </w:r>
      <w:r w:rsidR="001A27F4" w:rsidRPr="004B6DDC">
        <w:rPr>
          <w:rFonts w:ascii="Times New Roman" w:eastAsia="Times New Roman" w:hAnsi="Times New Roman" w:cs="Times New Roman"/>
          <w:iCs/>
          <w:sz w:val="24"/>
          <w:szCs w:val="24"/>
        </w:rPr>
        <w:t xml:space="preserve">provizoriskais </w:t>
      </w:r>
      <w:r w:rsidRPr="004B6DDC">
        <w:rPr>
          <w:rFonts w:ascii="Times New Roman" w:eastAsia="Times New Roman" w:hAnsi="Times New Roman" w:cs="Times New Roman"/>
          <w:iCs/>
          <w:sz w:val="24"/>
          <w:szCs w:val="24"/>
        </w:rPr>
        <w:t>sadalījums pa gadiem ir sekojošs: 2022.</w:t>
      </w:r>
      <w:r w:rsidR="005944B1">
        <w:rPr>
          <w:rFonts w:ascii="Times New Roman" w:eastAsia="Times New Roman" w:hAnsi="Times New Roman" w:cs="Times New Roman"/>
          <w:iCs/>
          <w:sz w:val="24"/>
          <w:szCs w:val="24"/>
        </w:rPr>
        <w:t> </w:t>
      </w:r>
      <w:r w:rsidRPr="004B6DDC">
        <w:rPr>
          <w:rFonts w:ascii="Times New Roman" w:eastAsia="Times New Roman" w:hAnsi="Times New Roman" w:cs="Times New Roman"/>
          <w:iCs/>
          <w:sz w:val="24"/>
          <w:szCs w:val="24"/>
        </w:rPr>
        <w:t>gadā</w:t>
      </w:r>
      <w:r w:rsidRPr="004B6DDC">
        <w:rPr>
          <w:rFonts w:ascii="Times New Roman" w:hAnsi="Times New Roman" w:cs="Times New Roman"/>
          <w:sz w:val="24"/>
          <w:szCs w:val="24"/>
          <w:lang w:eastAsia="en-US"/>
        </w:rPr>
        <w:t xml:space="preserve"> </w:t>
      </w:r>
      <w:r w:rsidR="00004255">
        <w:rPr>
          <w:rFonts w:ascii="Times New Roman" w:hAnsi="Times New Roman" w:cs="Times New Roman"/>
          <w:sz w:val="24"/>
          <w:szCs w:val="24"/>
          <w:lang w:eastAsia="en-US"/>
        </w:rPr>
        <w:t>25</w:t>
      </w:r>
      <w:r w:rsidR="003E3610">
        <w:rPr>
          <w:rFonts w:ascii="Times New Roman" w:hAnsi="Times New Roman" w:cs="Times New Roman"/>
          <w:sz w:val="24"/>
          <w:szCs w:val="24"/>
          <w:lang w:val="en-GB" w:eastAsia="en-US"/>
        </w:rPr>
        <w:t> 025,00</w:t>
      </w:r>
      <w:r w:rsidRPr="004B6DDC">
        <w:rPr>
          <w:rFonts w:ascii="Times New Roman" w:hAnsi="Times New Roman" w:cs="Times New Roman"/>
          <w:sz w:val="24"/>
          <w:szCs w:val="24"/>
          <w:lang w:eastAsia="en-US"/>
        </w:rPr>
        <w:t xml:space="preserve"> </w:t>
      </w:r>
      <w:r w:rsidRPr="004B6DDC">
        <w:rPr>
          <w:rFonts w:ascii="Times New Roman" w:hAnsi="Times New Roman" w:cs="Times New Roman"/>
          <w:i/>
          <w:iCs/>
          <w:sz w:val="24"/>
          <w:szCs w:val="24"/>
          <w:lang w:eastAsia="en-US"/>
        </w:rPr>
        <w:t>euro</w:t>
      </w:r>
      <w:r w:rsidRPr="004B6DDC">
        <w:rPr>
          <w:rFonts w:ascii="Times New Roman" w:hAnsi="Times New Roman" w:cs="Times New Roman"/>
          <w:sz w:val="24"/>
          <w:szCs w:val="24"/>
          <w:lang w:eastAsia="en-US"/>
        </w:rPr>
        <w:t>, 2023.</w:t>
      </w:r>
      <w:r w:rsidR="005944B1">
        <w:rPr>
          <w:rFonts w:ascii="Times New Roman" w:hAnsi="Times New Roman" w:cs="Times New Roman"/>
          <w:sz w:val="24"/>
          <w:szCs w:val="24"/>
          <w:lang w:eastAsia="en-US"/>
        </w:rPr>
        <w:t> </w:t>
      </w:r>
      <w:r w:rsidRPr="004B6DDC">
        <w:rPr>
          <w:rFonts w:ascii="Times New Roman" w:hAnsi="Times New Roman" w:cs="Times New Roman"/>
          <w:sz w:val="24"/>
          <w:szCs w:val="24"/>
          <w:lang w:eastAsia="en-US"/>
        </w:rPr>
        <w:t>gadā</w:t>
      </w:r>
      <w:r w:rsidR="00105C4D" w:rsidRPr="004B6DDC">
        <w:rPr>
          <w:rFonts w:ascii="Times New Roman" w:hAnsi="Times New Roman" w:cs="Times New Roman"/>
          <w:sz w:val="24"/>
          <w:szCs w:val="24"/>
          <w:lang w:eastAsia="en-US"/>
        </w:rPr>
        <w:t xml:space="preserve"> </w:t>
      </w:r>
      <w:r w:rsidR="005120B4">
        <w:rPr>
          <w:rFonts w:ascii="Times New Roman" w:hAnsi="Times New Roman" w:cs="Times New Roman"/>
          <w:sz w:val="24"/>
          <w:szCs w:val="24"/>
          <w:lang w:eastAsia="en-US"/>
        </w:rPr>
        <w:t>50 050</w:t>
      </w:r>
      <w:r w:rsidR="00FF5B8E" w:rsidRPr="004B6DDC">
        <w:rPr>
          <w:rFonts w:ascii="Times New Roman" w:hAnsi="Times New Roman" w:cs="Times New Roman"/>
          <w:sz w:val="24"/>
          <w:szCs w:val="24"/>
          <w:lang w:eastAsia="en-US"/>
        </w:rPr>
        <w:t>,</w:t>
      </w:r>
      <w:r w:rsidRPr="004B6DDC">
        <w:rPr>
          <w:rFonts w:ascii="Times New Roman" w:hAnsi="Times New Roman" w:cs="Times New Roman"/>
          <w:sz w:val="24"/>
          <w:szCs w:val="24"/>
          <w:lang w:eastAsia="en-US"/>
        </w:rPr>
        <w:t xml:space="preserve">00 </w:t>
      </w:r>
      <w:r w:rsidRPr="004B6DDC">
        <w:rPr>
          <w:rFonts w:ascii="Times New Roman" w:hAnsi="Times New Roman" w:cs="Times New Roman"/>
          <w:i/>
          <w:iCs/>
          <w:sz w:val="24"/>
          <w:szCs w:val="24"/>
          <w:lang w:eastAsia="en-US"/>
        </w:rPr>
        <w:t>euro</w:t>
      </w:r>
      <w:r w:rsidR="00DD3224" w:rsidRPr="004B6DDC">
        <w:rPr>
          <w:rFonts w:ascii="Times New Roman" w:hAnsi="Times New Roman" w:cs="Times New Roman"/>
          <w:i/>
          <w:iCs/>
          <w:sz w:val="24"/>
          <w:szCs w:val="24"/>
          <w:lang w:eastAsia="en-US"/>
        </w:rPr>
        <w:t xml:space="preserve">, </w:t>
      </w:r>
      <w:r w:rsidR="00DD3224" w:rsidRPr="004B6DDC">
        <w:rPr>
          <w:rFonts w:ascii="Times New Roman" w:hAnsi="Times New Roman" w:cs="Times New Roman"/>
          <w:sz w:val="24"/>
          <w:szCs w:val="24"/>
          <w:lang w:eastAsia="en-US"/>
        </w:rPr>
        <w:t>2024.</w:t>
      </w:r>
      <w:r w:rsidR="005944B1">
        <w:rPr>
          <w:rFonts w:ascii="Times New Roman" w:hAnsi="Times New Roman" w:cs="Times New Roman"/>
          <w:sz w:val="24"/>
          <w:szCs w:val="24"/>
          <w:lang w:eastAsia="en-US"/>
        </w:rPr>
        <w:t> </w:t>
      </w:r>
      <w:r w:rsidR="00DD3224" w:rsidRPr="004B6DDC">
        <w:rPr>
          <w:rFonts w:ascii="Times New Roman" w:hAnsi="Times New Roman" w:cs="Times New Roman"/>
          <w:sz w:val="24"/>
          <w:szCs w:val="24"/>
          <w:lang w:eastAsia="en-US"/>
        </w:rPr>
        <w:t xml:space="preserve">gadā </w:t>
      </w:r>
      <w:r w:rsidR="005120B4">
        <w:rPr>
          <w:rFonts w:ascii="Times New Roman" w:hAnsi="Times New Roman" w:cs="Times New Roman"/>
          <w:sz w:val="24"/>
          <w:szCs w:val="24"/>
          <w:lang w:eastAsia="en-US"/>
        </w:rPr>
        <w:t>50 050</w:t>
      </w:r>
      <w:r w:rsidR="005120B4" w:rsidRPr="004B6DDC">
        <w:rPr>
          <w:rFonts w:ascii="Times New Roman" w:hAnsi="Times New Roman" w:cs="Times New Roman"/>
          <w:sz w:val="24"/>
          <w:szCs w:val="24"/>
          <w:lang w:eastAsia="en-US"/>
        </w:rPr>
        <w:t xml:space="preserve">,00 </w:t>
      </w:r>
      <w:r w:rsidR="00DD3224" w:rsidRPr="004B6DDC">
        <w:rPr>
          <w:rFonts w:ascii="Times New Roman" w:hAnsi="Times New Roman" w:cs="Times New Roman"/>
          <w:i/>
          <w:iCs/>
          <w:sz w:val="24"/>
          <w:szCs w:val="24"/>
          <w:lang w:eastAsia="en-US"/>
        </w:rPr>
        <w:t xml:space="preserve">euro </w:t>
      </w:r>
      <w:r w:rsidR="00DD3224" w:rsidRPr="004B6DDC">
        <w:rPr>
          <w:rFonts w:ascii="Times New Roman" w:hAnsi="Times New Roman" w:cs="Times New Roman"/>
          <w:sz w:val="24"/>
          <w:szCs w:val="24"/>
          <w:lang w:eastAsia="en-US"/>
        </w:rPr>
        <w:t>un 20</w:t>
      </w:r>
      <w:r w:rsidR="004B6DDC" w:rsidRPr="004B6DDC">
        <w:rPr>
          <w:rFonts w:ascii="Times New Roman" w:hAnsi="Times New Roman" w:cs="Times New Roman"/>
          <w:sz w:val="24"/>
          <w:szCs w:val="24"/>
          <w:lang w:eastAsia="en-US"/>
        </w:rPr>
        <w:t>25.</w:t>
      </w:r>
      <w:r w:rsidR="005944B1">
        <w:rPr>
          <w:rFonts w:ascii="Times New Roman" w:hAnsi="Times New Roman" w:cs="Times New Roman"/>
          <w:sz w:val="24"/>
          <w:szCs w:val="24"/>
          <w:lang w:eastAsia="en-US"/>
        </w:rPr>
        <w:t> </w:t>
      </w:r>
      <w:r w:rsidR="004B6DDC" w:rsidRPr="004B6DDC">
        <w:rPr>
          <w:rFonts w:ascii="Times New Roman" w:hAnsi="Times New Roman" w:cs="Times New Roman"/>
          <w:sz w:val="24"/>
          <w:szCs w:val="24"/>
          <w:lang w:eastAsia="en-US"/>
        </w:rPr>
        <w:t xml:space="preserve">gadā </w:t>
      </w:r>
      <w:r w:rsidR="003E3610">
        <w:rPr>
          <w:rFonts w:ascii="Times New Roman" w:hAnsi="Times New Roman" w:cs="Times New Roman"/>
          <w:sz w:val="24"/>
          <w:szCs w:val="24"/>
          <w:lang w:eastAsia="en-US"/>
        </w:rPr>
        <w:t>25 025,00</w:t>
      </w:r>
      <w:r w:rsidR="004B6DDC" w:rsidRPr="004B6DDC">
        <w:rPr>
          <w:rFonts w:ascii="Times New Roman" w:hAnsi="Times New Roman" w:cs="Times New Roman"/>
          <w:i/>
          <w:iCs/>
          <w:sz w:val="24"/>
          <w:szCs w:val="24"/>
          <w:lang w:eastAsia="en-US"/>
        </w:rPr>
        <w:t xml:space="preserve"> euro</w:t>
      </w:r>
      <w:r w:rsidRPr="004B6DDC">
        <w:rPr>
          <w:rFonts w:ascii="Times New Roman" w:hAnsi="Times New Roman" w:cs="Times New Roman"/>
          <w:sz w:val="24"/>
          <w:szCs w:val="24"/>
          <w:lang w:eastAsia="en-US"/>
        </w:rPr>
        <w:t>.</w:t>
      </w:r>
    </w:p>
    <w:p w14:paraId="25FC8B01" w14:textId="77777777" w:rsidR="000B7CC2" w:rsidRPr="000B7CC2" w:rsidRDefault="000B7CC2" w:rsidP="000B7CC2">
      <w:pPr>
        <w:tabs>
          <w:tab w:val="left" w:pos="567"/>
        </w:tabs>
        <w:spacing w:before="120" w:after="0" w:line="240" w:lineRule="auto"/>
        <w:jc w:val="both"/>
        <w:rPr>
          <w:rFonts w:ascii="Times New Roman" w:eastAsia="Times New Roman" w:hAnsi="Times New Roman" w:cs="Times New Roman"/>
          <w:iCs/>
          <w:sz w:val="24"/>
          <w:szCs w:val="24"/>
        </w:rPr>
      </w:pPr>
    </w:p>
    <w:p w14:paraId="00F2136E" w14:textId="1EF71C69" w:rsidR="00AA47F4" w:rsidRPr="00FD55F6" w:rsidRDefault="00A92A85" w:rsidP="00981FC4">
      <w:pPr>
        <w:pStyle w:val="Heading1"/>
        <w:numPr>
          <w:ilvl w:val="0"/>
          <w:numId w:val="3"/>
        </w:numPr>
        <w:spacing w:before="120" w:line="240" w:lineRule="auto"/>
        <w:ind w:hanging="720"/>
        <w:rPr>
          <w:rFonts w:eastAsia="Times New Roman" w:cs="Times New Roman"/>
          <w:b/>
          <w:bCs/>
          <w:sz w:val="24"/>
          <w:szCs w:val="24"/>
        </w:rPr>
      </w:pPr>
      <w:bookmarkStart w:id="25" w:name="_Toc110002938"/>
      <w:r w:rsidRPr="00FD55F6">
        <w:rPr>
          <w:rFonts w:eastAsia="Times New Roman" w:cs="Times New Roman"/>
          <w:b/>
          <w:bCs/>
          <w:sz w:val="24"/>
          <w:szCs w:val="24"/>
        </w:rPr>
        <w:t>Citi nosacījumi</w:t>
      </w:r>
      <w:bookmarkEnd w:id="25"/>
    </w:p>
    <w:p w14:paraId="0C16F829" w14:textId="3CAFC1C4" w:rsidR="003660C9" w:rsidRPr="00755424" w:rsidRDefault="00A92A85" w:rsidP="00D53F84">
      <w:pPr>
        <w:pStyle w:val="ListParagraph"/>
        <w:tabs>
          <w:tab w:val="left" w:pos="567"/>
        </w:tabs>
        <w:spacing w:before="120" w:after="0" w:line="240" w:lineRule="auto"/>
        <w:ind w:left="426"/>
        <w:contextualSpacing w:val="0"/>
        <w:jc w:val="both"/>
        <w:rPr>
          <w:rFonts w:ascii="Times New Roman" w:eastAsia="Times New Roman" w:hAnsi="Times New Roman" w:cs="Times New Roman"/>
          <w:iCs/>
          <w:sz w:val="24"/>
          <w:szCs w:val="24"/>
        </w:rPr>
      </w:pPr>
      <w:r w:rsidRPr="00755424">
        <w:rPr>
          <w:rFonts w:ascii="Times New Roman" w:eastAsia="Times New Roman" w:hAnsi="Times New Roman" w:cs="Times New Roman"/>
          <w:iCs/>
          <w:sz w:val="24"/>
          <w:szCs w:val="24"/>
        </w:rPr>
        <w:t xml:space="preserve">Izvērtējot biedrību un nodibinājumu, kas darbojas sabiedriskajam labumam, iesaisti </w:t>
      </w:r>
      <w:r w:rsidR="0093274A">
        <w:rPr>
          <w:rFonts w:ascii="Times New Roman" w:eastAsia="Times New Roman" w:hAnsi="Times New Roman" w:cs="Times New Roman"/>
          <w:iCs/>
          <w:sz w:val="24"/>
          <w:szCs w:val="24"/>
        </w:rPr>
        <w:t xml:space="preserve">investīcijas </w:t>
      </w:r>
      <w:r w:rsidRPr="00755424">
        <w:rPr>
          <w:rFonts w:ascii="Times New Roman" w:eastAsia="Times New Roman" w:hAnsi="Times New Roman" w:cs="Times New Roman"/>
          <w:iCs/>
          <w:sz w:val="24"/>
          <w:szCs w:val="24"/>
        </w:rPr>
        <w:t xml:space="preserve">ieviešanā, skaidrojam, ka biedrību un nodibinājumu, kas darbojas sabiedriskajam labumam, iesaiste tika nodrošināta </w:t>
      </w:r>
      <w:r w:rsidR="00D87D48">
        <w:rPr>
          <w:rFonts w:ascii="Times New Roman" w:eastAsia="Times New Roman" w:hAnsi="Times New Roman" w:cs="Times New Roman"/>
          <w:iCs/>
          <w:sz w:val="24"/>
          <w:szCs w:val="24"/>
        </w:rPr>
        <w:t xml:space="preserve">Atveseļošanas </w:t>
      </w:r>
      <w:r w:rsidR="0056173B">
        <w:rPr>
          <w:rFonts w:ascii="Times New Roman" w:eastAsia="Times New Roman" w:hAnsi="Times New Roman" w:cs="Times New Roman"/>
          <w:iCs/>
          <w:sz w:val="24"/>
          <w:szCs w:val="24"/>
        </w:rPr>
        <w:t xml:space="preserve">fonda plāna </w:t>
      </w:r>
      <w:r w:rsidRPr="00755424">
        <w:rPr>
          <w:rFonts w:ascii="Times New Roman" w:eastAsia="Times New Roman" w:hAnsi="Times New Roman" w:cs="Times New Roman"/>
          <w:iCs/>
          <w:sz w:val="24"/>
          <w:szCs w:val="24"/>
        </w:rPr>
        <w:t xml:space="preserve">izstrādes brīdī, kā arī tie var </w:t>
      </w:r>
      <w:r w:rsidR="00FD55F6" w:rsidRPr="00755424">
        <w:rPr>
          <w:rFonts w:ascii="Times New Roman" w:eastAsia="Times New Roman" w:hAnsi="Times New Roman" w:cs="Times New Roman"/>
          <w:iCs/>
          <w:sz w:val="24"/>
          <w:szCs w:val="24"/>
        </w:rPr>
        <w:t>piedalīties</w:t>
      </w:r>
      <w:r w:rsidR="005D2081" w:rsidRPr="00755424">
        <w:rPr>
          <w:rFonts w:ascii="Times New Roman" w:eastAsia="Times New Roman" w:hAnsi="Times New Roman" w:cs="Times New Roman"/>
          <w:iCs/>
          <w:sz w:val="24"/>
          <w:szCs w:val="24"/>
        </w:rPr>
        <w:t xml:space="preserve"> </w:t>
      </w:r>
      <w:r w:rsidRPr="00755424">
        <w:rPr>
          <w:rFonts w:ascii="Times New Roman" w:eastAsia="Times New Roman" w:hAnsi="Times New Roman" w:cs="Times New Roman"/>
          <w:iCs/>
          <w:sz w:val="24"/>
          <w:szCs w:val="24"/>
        </w:rPr>
        <w:t>projekt</w:t>
      </w:r>
      <w:r w:rsidR="00755424" w:rsidRPr="00755424">
        <w:rPr>
          <w:rFonts w:ascii="Times New Roman" w:eastAsia="Times New Roman" w:hAnsi="Times New Roman" w:cs="Times New Roman"/>
          <w:iCs/>
          <w:sz w:val="24"/>
          <w:szCs w:val="24"/>
        </w:rPr>
        <w:t>a īstenošanā</w:t>
      </w:r>
      <w:r w:rsidR="005D2081" w:rsidRPr="00755424">
        <w:rPr>
          <w:rFonts w:ascii="Times New Roman" w:eastAsia="Times New Roman" w:hAnsi="Times New Roman" w:cs="Times New Roman"/>
          <w:iCs/>
          <w:sz w:val="24"/>
          <w:szCs w:val="24"/>
        </w:rPr>
        <w:t>, attiecīgi tiekot iesaistīti</w:t>
      </w:r>
      <w:r w:rsidRPr="00755424">
        <w:rPr>
          <w:rFonts w:ascii="Times New Roman" w:eastAsia="Times New Roman" w:hAnsi="Times New Roman" w:cs="Times New Roman"/>
          <w:iCs/>
          <w:sz w:val="24"/>
          <w:szCs w:val="24"/>
        </w:rPr>
        <w:t xml:space="preserve"> </w:t>
      </w:r>
      <w:r w:rsidR="005D2081" w:rsidRPr="00755424">
        <w:rPr>
          <w:rFonts w:ascii="Times New Roman" w:eastAsia="Times New Roman" w:hAnsi="Times New Roman" w:cs="Times New Roman"/>
          <w:iCs/>
          <w:sz w:val="24"/>
          <w:szCs w:val="24"/>
        </w:rPr>
        <w:t xml:space="preserve">Publisko </w:t>
      </w:r>
      <w:r w:rsidRPr="00755424">
        <w:rPr>
          <w:rFonts w:ascii="Times New Roman" w:eastAsia="Times New Roman" w:hAnsi="Times New Roman" w:cs="Times New Roman"/>
          <w:iCs/>
          <w:sz w:val="24"/>
          <w:szCs w:val="24"/>
        </w:rPr>
        <w:t xml:space="preserve">iepirkumu likuma </w:t>
      </w:r>
      <w:r w:rsidR="005D2081" w:rsidRPr="00755424">
        <w:rPr>
          <w:rFonts w:ascii="Times New Roman" w:eastAsia="Times New Roman" w:hAnsi="Times New Roman" w:cs="Times New Roman"/>
          <w:iCs/>
          <w:sz w:val="24"/>
          <w:szCs w:val="24"/>
        </w:rPr>
        <w:t>noteiktajā kārtībā</w:t>
      </w:r>
      <w:r w:rsidRPr="00755424">
        <w:rPr>
          <w:rFonts w:ascii="Times New Roman" w:eastAsia="Times New Roman" w:hAnsi="Times New Roman" w:cs="Times New Roman"/>
          <w:iCs/>
          <w:sz w:val="24"/>
          <w:szCs w:val="24"/>
        </w:rPr>
        <w:t>.</w:t>
      </w:r>
      <w:r w:rsidR="003660C9" w:rsidRPr="00755424">
        <w:rPr>
          <w:rFonts w:ascii="Times New Roman" w:eastAsia="Times New Roman" w:hAnsi="Times New Roman" w:cs="Times New Roman"/>
          <w:iCs/>
          <w:sz w:val="24"/>
          <w:szCs w:val="24"/>
        </w:rPr>
        <w:t xml:space="preserve"> </w:t>
      </w:r>
    </w:p>
    <w:p w14:paraId="191F74C4" w14:textId="3A91336B" w:rsidR="00350965" w:rsidRPr="0064743A" w:rsidRDefault="00350965" w:rsidP="00350965">
      <w:pPr>
        <w:tabs>
          <w:tab w:val="left" w:pos="567"/>
        </w:tabs>
        <w:spacing w:before="120" w:after="0" w:line="240" w:lineRule="auto"/>
        <w:jc w:val="both"/>
        <w:rPr>
          <w:rFonts w:ascii="Times New Roman" w:eastAsia="Times New Roman" w:hAnsi="Times New Roman" w:cs="Times New Roman"/>
          <w:iCs/>
          <w:sz w:val="24"/>
          <w:szCs w:val="24"/>
          <w:highlight w:val="green"/>
        </w:rPr>
      </w:pPr>
    </w:p>
    <w:p w14:paraId="522EDF6C" w14:textId="77777777" w:rsidR="00750B1B" w:rsidRPr="00016AB1" w:rsidRDefault="00750B1B">
      <w:pPr>
        <w:tabs>
          <w:tab w:val="left" w:pos="567"/>
        </w:tabs>
        <w:spacing w:before="120" w:after="0" w:line="240" w:lineRule="auto"/>
        <w:jc w:val="both"/>
        <w:rPr>
          <w:rFonts w:ascii="Times New Roman" w:eastAsia="Times New Roman" w:hAnsi="Times New Roman" w:cs="Times New Roman"/>
          <w:iCs/>
          <w:sz w:val="24"/>
          <w:szCs w:val="24"/>
          <w:lang w:val="en-GB"/>
        </w:rPr>
      </w:pPr>
    </w:p>
    <w:sectPr w:rsidR="00750B1B" w:rsidRPr="00016AB1" w:rsidSect="004B0E58">
      <w:headerReference w:type="defaul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226E2" w14:textId="77777777" w:rsidR="00C14DB6" w:rsidRDefault="00C14DB6" w:rsidP="00191722">
      <w:pPr>
        <w:spacing w:after="0" w:line="240" w:lineRule="auto"/>
      </w:pPr>
      <w:r>
        <w:separator/>
      </w:r>
    </w:p>
  </w:endnote>
  <w:endnote w:type="continuationSeparator" w:id="0">
    <w:p w14:paraId="6904224A" w14:textId="77777777" w:rsidR="00C14DB6" w:rsidRDefault="00C14DB6" w:rsidP="00191722">
      <w:pPr>
        <w:spacing w:after="0" w:line="240" w:lineRule="auto"/>
      </w:pPr>
      <w:r>
        <w:continuationSeparator/>
      </w:r>
    </w:p>
  </w:endnote>
  <w:endnote w:type="continuationNotice" w:id="1">
    <w:p w14:paraId="62D5CA38" w14:textId="77777777" w:rsidR="00C14DB6" w:rsidRDefault="00C14D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w:altName w:val="Palatino Linotyp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4B683" w14:textId="77777777" w:rsidR="00C14DB6" w:rsidRDefault="00C14DB6" w:rsidP="00191722">
      <w:pPr>
        <w:spacing w:after="0" w:line="240" w:lineRule="auto"/>
      </w:pPr>
      <w:r>
        <w:separator/>
      </w:r>
    </w:p>
  </w:footnote>
  <w:footnote w:type="continuationSeparator" w:id="0">
    <w:p w14:paraId="3B1F4A87" w14:textId="77777777" w:rsidR="00C14DB6" w:rsidRDefault="00C14DB6" w:rsidP="00191722">
      <w:pPr>
        <w:spacing w:after="0" w:line="240" w:lineRule="auto"/>
      </w:pPr>
      <w:r>
        <w:continuationSeparator/>
      </w:r>
    </w:p>
  </w:footnote>
  <w:footnote w:type="continuationNotice" w:id="1">
    <w:p w14:paraId="183346BC" w14:textId="77777777" w:rsidR="00C14DB6" w:rsidRDefault="00C14DB6">
      <w:pPr>
        <w:spacing w:after="0" w:line="240" w:lineRule="auto"/>
      </w:pPr>
    </w:p>
  </w:footnote>
  <w:footnote w:id="2">
    <w:p w14:paraId="0D5B865F" w14:textId="57F366B0" w:rsidR="00465D40" w:rsidRPr="0071076D" w:rsidRDefault="00465D40" w:rsidP="00465D40">
      <w:pPr>
        <w:pStyle w:val="FootnoteText"/>
        <w:rPr>
          <w:rFonts w:ascii="Times New Roman" w:hAnsi="Times New Roman" w:cs="Times New Roman"/>
        </w:rPr>
      </w:pPr>
      <w:r w:rsidRPr="0071076D">
        <w:rPr>
          <w:rStyle w:val="FootnoteReference"/>
          <w:rFonts w:ascii="Times New Roman" w:hAnsi="Times New Roman" w:cs="Times New Roman"/>
        </w:rPr>
        <w:footnoteRef/>
      </w:r>
      <w:r w:rsidRPr="0071076D">
        <w:rPr>
          <w:rFonts w:ascii="Times New Roman" w:hAnsi="Times New Roman" w:cs="Times New Roman"/>
        </w:rPr>
        <w:t xml:space="preserve"> </w:t>
      </w:r>
      <w:r w:rsidR="001F69BC">
        <w:rPr>
          <w:rFonts w:ascii="Times New Roman" w:hAnsi="Times New Roman" w:cs="Times New Roman"/>
        </w:rPr>
        <w:t xml:space="preserve">Pieejams: </w:t>
      </w:r>
      <w:hyperlink r:id="rId1" w:history="1">
        <w:r w:rsidR="001F69BC" w:rsidRPr="00A333A2">
          <w:rPr>
            <w:rStyle w:val="Hyperlink"/>
            <w:rFonts w:ascii="Times New Roman" w:hAnsi="Times New Roman" w:cs="Times New Roman"/>
          </w:rPr>
          <w:t>https://likumi.lv/ta/id/322858-par-latvijas-atveselosanas-un-noturibas-mehanisma-planu</w:t>
        </w:r>
      </w:hyperlink>
    </w:p>
  </w:footnote>
  <w:footnote w:id="3">
    <w:p w14:paraId="266B7419" w14:textId="4C928F41" w:rsidR="00856384" w:rsidRPr="00856384" w:rsidRDefault="00856384">
      <w:pPr>
        <w:pStyle w:val="FootnoteText"/>
        <w:rPr>
          <w:lang w:val="en-GB"/>
        </w:rPr>
      </w:pPr>
      <w:r>
        <w:rPr>
          <w:rStyle w:val="FootnoteReference"/>
        </w:rPr>
        <w:footnoteRef/>
      </w:r>
      <w:r>
        <w:t xml:space="preserve"> </w:t>
      </w:r>
      <w:r w:rsidR="00115A6F" w:rsidRPr="0071076D">
        <w:rPr>
          <w:rFonts w:ascii="Times New Roman" w:hAnsi="Times New Roman" w:cs="Times New Roman"/>
        </w:rPr>
        <w:t>“Sabiedrības veselības pamatnostādnes 2021.-2027.gadam”</w:t>
      </w:r>
      <w:r w:rsidR="00115A6F">
        <w:rPr>
          <w:rFonts w:ascii="Times New Roman" w:hAnsi="Times New Roman" w:cs="Times New Roman"/>
        </w:rPr>
        <w:t xml:space="preserve"> pieņemtas </w:t>
      </w:r>
      <w:r w:rsidR="00115A6F" w:rsidRPr="00266FE8">
        <w:rPr>
          <w:rFonts w:ascii="Times New Roman" w:hAnsi="Times New Roman" w:cs="Times New Roman"/>
        </w:rPr>
        <w:t>Ministru kabineta 24.05.2022. sēdē</w:t>
      </w:r>
      <w:r w:rsidR="00115A6F" w:rsidRPr="0071076D">
        <w:rPr>
          <w:rFonts w:ascii="Times New Roman" w:hAnsi="Times New Roman" w:cs="Times New Roman"/>
        </w:rPr>
        <w:t xml:space="preserve">, pieejamas: </w:t>
      </w:r>
      <w:hyperlink r:id="rId2" w:history="1">
        <w:r w:rsidR="00115A6F" w:rsidRPr="00A333A2">
          <w:rPr>
            <w:rStyle w:val="Hyperlink"/>
            <w:rFonts w:ascii="Times New Roman" w:hAnsi="Times New Roman" w:cs="Times New Roman"/>
          </w:rPr>
          <w:t>https://tapportals.mk.gov.lv/legal_acts/746a6c77-a9f4-4182-9084-e4ab10484b2e</w:t>
        </w:r>
      </w:hyperlink>
    </w:p>
  </w:footnote>
  <w:footnote w:id="4">
    <w:p w14:paraId="37A5FE7B" w14:textId="59C55B8E" w:rsidR="00995C22" w:rsidRPr="0071076D" w:rsidRDefault="00995C22" w:rsidP="009A3C08">
      <w:pPr>
        <w:pStyle w:val="FootnoteText"/>
        <w:spacing w:before="120"/>
        <w:jc w:val="both"/>
        <w:rPr>
          <w:rFonts w:ascii="Times New Roman" w:hAnsi="Times New Roman" w:cs="Times New Roman"/>
        </w:rPr>
      </w:pPr>
      <w:r w:rsidRPr="0071076D">
        <w:rPr>
          <w:rStyle w:val="FootnoteReference"/>
          <w:rFonts w:ascii="Times New Roman" w:hAnsi="Times New Roman" w:cs="Times New Roman"/>
        </w:rPr>
        <w:footnoteRef/>
      </w:r>
      <w:r w:rsidRPr="0071076D">
        <w:rPr>
          <w:rFonts w:ascii="Times New Roman" w:hAnsi="Times New Roman" w:cs="Times New Roman"/>
        </w:rPr>
        <w:t xml:space="preserve"> “Sabiedrības veselības pamatnostādnes 2021.-2027.gadam”</w:t>
      </w:r>
      <w:r w:rsidR="00736B25">
        <w:rPr>
          <w:rFonts w:ascii="Times New Roman" w:hAnsi="Times New Roman" w:cs="Times New Roman"/>
        </w:rPr>
        <w:t xml:space="preserve"> pieņemtas </w:t>
      </w:r>
      <w:r w:rsidR="00266FE8" w:rsidRPr="00266FE8">
        <w:rPr>
          <w:rFonts w:ascii="Times New Roman" w:hAnsi="Times New Roman" w:cs="Times New Roman"/>
        </w:rPr>
        <w:t>Ministru kabineta 24.05.2022. sēdē</w:t>
      </w:r>
      <w:r w:rsidR="00AC1C34" w:rsidRPr="0071076D">
        <w:rPr>
          <w:rFonts w:ascii="Times New Roman" w:hAnsi="Times New Roman" w:cs="Times New Roman"/>
        </w:rPr>
        <w:t xml:space="preserve">, </w:t>
      </w:r>
      <w:r w:rsidRPr="0071076D">
        <w:rPr>
          <w:rFonts w:ascii="Times New Roman" w:hAnsi="Times New Roman" w:cs="Times New Roman"/>
        </w:rPr>
        <w:t xml:space="preserve">pieejamas: </w:t>
      </w:r>
      <w:hyperlink r:id="rId3" w:history="1">
        <w:r w:rsidR="00115A6F" w:rsidRPr="00A333A2">
          <w:rPr>
            <w:rStyle w:val="Hyperlink"/>
            <w:rFonts w:ascii="Times New Roman" w:hAnsi="Times New Roman" w:cs="Times New Roman"/>
          </w:rPr>
          <w:t>https://tapportals.mk.gov.lv/legal_acts/746a6c77-a9f4-4182-9084-e4ab10484b2e</w:t>
        </w:r>
      </w:hyperlink>
      <w:r w:rsidR="00115A6F">
        <w:rPr>
          <w:rFonts w:ascii="Times New Roman" w:hAnsi="Times New Roman" w:cs="Times New Roman"/>
        </w:rPr>
        <w:t xml:space="preserve"> </w:t>
      </w:r>
    </w:p>
  </w:footnote>
  <w:footnote w:id="5">
    <w:p w14:paraId="2EB2D41D" w14:textId="50AE9A7A" w:rsidR="008C0A60" w:rsidRPr="008C0A60" w:rsidRDefault="008C0A60">
      <w:pPr>
        <w:pStyle w:val="FootnoteText"/>
        <w:rPr>
          <w:lang w:val="en-GB"/>
        </w:rPr>
      </w:pPr>
      <w:r>
        <w:rPr>
          <w:rStyle w:val="FootnoteReference"/>
        </w:rPr>
        <w:footnoteRef/>
      </w:r>
      <w:r>
        <w:t xml:space="preserve"> </w:t>
      </w:r>
      <w:r w:rsidR="00115A6F">
        <w:t>“</w:t>
      </w:r>
      <w:r w:rsidR="0010094D" w:rsidRPr="0010094D">
        <w:rPr>
          <w:rFonts w:ascii="Times New Roman" w:hAnsi="Times New Roman" w:cs="Times New Roman"/>
        </w:rPr>
        <w:t>Slimību profilakses un kontroles centra nolikums</w:t>
      </w:r>
      <w:r w:rsidR="00115A6F">
        <w:rPr>
          <w:rFonts w:ascii="Times New Roman" w:hAnsi="Times New Roman" w:cs="Times New Roman"/>
        </w:rPr>
        <w:t xml:space="preserve">”, </w:t>
      </w:r>
      <w:r w:rsidR="0010094D">
        <w:rPr>
          <w:rFonts w:ascii="Times New Roman" w:hAnsi="Times New Roman" w:cs="Times New Roman"/>
        </w:rPr>
        <w:t>Ministru kabineta noteikumi Nr.241</w:t>
      </w:r>
      <w:r w:rsidR="00115A6F">
        <w:rPr>
          <w:rFonts w:ascii="Times New Roman" w:hAnsi="Times New Roman" w:cs="Times New Roman"/>
        </w:rPr>
        <w:t xml:space="preserve"> (03.04.2012.</w:t>
      </w:r>
      <w:r w:rsidR="0010094D">
        <w:rPr>
          <w:rFonts w:ascii="Times New Roman" w:hAnsi="Times New Roman" w:cs="Times New Roman"/>
        </w:rPr>
        <w:t>)</w:t>
      </w:r>
      <w:r w:rsidR="0010094D" w:rsidRPr="0010094D">
        <w:rPr>
          <w:rFonts w:ascii="Times New Roman" w:hAnsi="Times New Roman" w:cs="Times New Roman"/>
        </w:rPr>
        <w:t>, pieejams:</w:t>
      </w:r>
      <w:r w:rsidR="0010094D">
        <w:t xml:space="preserve"> </w:t>
      </w:r>
      <w:hyperlink r:id="rId4" w:history="1">
        <w:r w:rsidR="0010094D" w:rsidRPr="00784AC0">
          <w:rPr>
            <w:rStyle w:val="Hyperlink"/>
            <w:rFonts w:ascii="Times New Roman" w:hAnsi="Times New Roman" w:cs="Times New Roman"/>
          </w:rPr>
          <w:t>https://likumi.lv/ta/id/246288-slimibu-profilakses-un-kontroles-centra-nolikums</w:t>
        </w:r>
      </w:hyperlink>
      <w:r>
        <w:t xml:space="preserve"> </w:t>
      </w:r>
    </w:p>
  </w:footnote>
  <w:footnote w:id="6">
    <w:p w14:paraId="62E2D17A" w14:textId="39B0D5B4" w:rsidR="003416EF" w:rsidRPr="008C0A60" w:rsidRDefault="003416EF" w:rsidP="003416EF">
      <w:pPr>
        <w:pStyle w:val="FootnoteText"/>
        <w:rPr>
          <w:lang w:val="en-GB"/>
        </w:rPr>
      </w:pPr>
      <w:r>
        <w:rPr>
          <w:rStyle w:val="FootnoteReference"/>
        </w:rPr>
        <w:footnoteRef/>
      </w:r>
      <w:r>
        <w:t xml:space="preserve"> </w:t>
      </w:r>
      <w:r w:rsidR="00115A6F" w:rsidRPr="00115A6F">
        <w:rPr>
          <w:rFonts w:ascii="Times New Roman" w:hAnsi="Times New Roman" w:cs="Times New Roman"/>
        </w:rPr>
        <w:t xml:space="preserve">“Slimību profilakses un kontroles centra nolikums”, Ministru kabineta noteikumi Nr.241 (03.04.2012.), pieejams: </w:t>
      </w:r>
      <w:hyperlink r:id="rId5" w:history="1">
        <w:r w:rsidR="00115A6F" w:rsidRPr="00115A6F">
          <w:rPr>
            <w:rStyle w:val="Hyperlink"/>
            <w:rFonts w:ascii="Times New Roman" w:hAnsi="Times New Roman" w:cs="Times New Roman"/>
          </w:rPr>
          <w:t>https://likumi.lv/ta/id/246288-slimibu-profilakses-un-kontroles-centra-nolikums</w:t>
        </w:r>
      </w:hyperlink>
    </w:p>
  </w:footnote>
  <w:footnote w:id="7">
    <w:p w14:paraId="5A77F645" w14:textId="4623D38F" w:rsidR="007F040D" w:rsidRPr="007F040D" w:rsidRDefault="007F040D">
      <w:pPr>
        <w:pStyle w:val="FootnoteText"/>
        <w:rPr>
          <w:lang w:val="en-GB"/>
        </w:rPr>
      </w:pPr>
      <w:r>
        <w:rPr>
          <w:rStyle w:val="FootnoteReference"/>
        </w:rPr>
        <w:footnoteRef/>
      </w:r>
      <w:r>
        <w:t xml:space="preserve"> </w:t>
      </w:r>
      <w:r w:rsidR="00115A6F" w:rsidRPr="00115A6F">
        <w:rPr>
          <w:rFonts w:ascii="Times New Roman" w:hAnsi="Times New Roman" w:cs="Times New Roman"/>
        </w:rPr>
        <w:t xml:space="preserve">“Sociālais iepirkums” pieejams: </w:t>
      </w:r>
      <w:hyperlink r:id="rId6" w:history="1">
        <w:r w:rsidR="00115A6F" w:rsidRPr="00115A6F">
          <w:rPr>
            <w:rStyle w:val="Hyperlink"/>
            <w:rFonts w:ascii="Times New Roman" w:hAnsi="Times New Roman" w:cs="Times New Roman"/>
          </w:rPr>
          <w:t>https://www.iub.gov.lv/lv/socialais-iepirkums</w:t>
        </w:r>
      </w:hyperlink>
      <w:r>
        <w:rPr>
          <w:rFonts w:ascii="Times New Roman" w:hAnsi="Times New Roman" w:cs="Times New Roman"/>
        </w:rPr>
        <w:t xml:space="preserve"> </w:t>
      </w:r>
    </w:p>
  </w:footnote>
  <w:footnote w:id="8">
    <w:p w14:paraId="6B92A05A" w14:textId="50032BFD" w:rsidR="00CD29DB" w:rsidRPr="0071076D" w:rsidRDefault="00CD29DB" w:rsidP="00CD29DB">
      <w:pPr>
        <w:pStyle w:val="FootnoteText"/>
        <w:rPr>
          <w:rFonts w:ascii="Times New Roman" w:hAnsi="Times New Roman" w:cs="Times New Roman"/>
        </w:rPr>
      </w:pPr>
      <w:r w:rsidRPr="00115A6F">
        <w:rPr>
          <w:rStyle w:val="FootnoteReference"/>
          <w:rFonts w:ascii="Times New Roman" w:hAnsi="Times New Roman" w:cs="Times New Roman"/>
        </w:rPr>
        <w:footnoteRef/>
      </w:r>
      <w:r w:rsidRPr="00115A6F">
        <w:rPr>
          <w:rFonts w:ascii="Times New Roman" w:hAnsi="Times New Roman" w:cs="Times New Roman"/>
        </w:rPr>
        <w:t xml:space="preserve"> </w:t>
      </w:r>
      <w:r w:rsidR="00115A6F" w:rsidRPr="00115A6F">
        <w:rPr>
          <w:rFonts w:ascii="Times New Roman" w:hAnsi="Times New Roman" w:cs="Times New Roman"/>
        </w:rPr>
        <w:t>“</w:t>
      </w:r>
      <w:r w:rsidR="00115A6F" w:rsidRPr="00115A6F">
        <w:rPr>
          <w:rFonts w:ascii="Times New Roman" w:hAnsi="Times New Roman" w:cs="Times New Roman"/>
          <w:shd w:val="clear" w:color="auto" w:fill="FFFFFF"/>
        </w:rPr>
        <w:t>Noteikumi par iekšējās kontroles sistēmu tiešās pārvaldes iestādēs”</w:t>
      </w:r>
      <w:r w:rsidR="00115A6F">
        <w:rPr>
          <w:rFonts w:ascii="Times New Roman" w:hAnsi="Times New Roman" w:cs="Times New Roman"/>
          <w:shd w:val="clear" w:color="auto" w:fill="FFFFFF"/>
        </w:rPr>
        <w:t>,</w:t>
      </w:r>
      <w:r w:rsidR="00115A6F" w:rsidRPr="00115A6F">
        <w:rPr>
          <w:rFonts w:ascii="Times New Roman" w:hAnsi="Times New Roman" w:cs="Times New Roman"/>
          <w:shd w:val="clear" w:color="auto" w:fill="FFFFFF"/>
        </w:rPr>
        <w:t xml:space="preserve"> Ministru kabineta noteikumi Nr.326 (08.05.2012.) pieejami: </w:t>
      </w:r>
      <w:hyperlink r:id="rId7" w:history="1">
        <w:r w:rsidR="00115A6F" w:rsidRPr="00115A6F">
          <w:rPr>
            <w:rStyle w:val="Hyperlink"/>
            <w:rFonts w:ascii="Times New Roman" w:hAnsi="Times New Roman" w:cs="Times New Roman"/>
          </w:rPr>
          <w:t>https://likumi.lv/doc.php?id=247746</w:t>
        </w:r>
      </w:hyperlink>
      <w:r w:rsidRPr="0071076D">
        <w:rPr>
          <w:rFonts w:ascii="Times New Roman" w:hAnsi="Times New Roman" w:cs="Times New Roman"/>
        </w:rPr>
        <w:t xml:space="preserve"> </w:t>
      </w:r>
    </w:p>
  </w:footnote>
  <w:footnote w:id="9">
    <w:p w14:paraId="731EA06B" w14:textId="1AF619F1" w:rsidR="00CD29DB" w:rsidRPr="0071076D" w:rsidRDefault="00CD29DB" w:rsidP="00CD29DB">
      <w:pPr>
        <w:pStyle w:val="FootnoteText"/>
        <w:rPr>
          <w:rFonts w:ascii="Times New Roman" w:hAnsi="Times New Roman" w:cs="Times New Roman"/>
        </w:rPr>
      </w:pPr>
      <w:r w:rsidRPr="0071076D">
        <w:rPr>
          <w:rStyle w:val="FootnoteReference"/>
          <w:rFonts w:ascii="Times New Roman" w:hAnsi="Times New Roman" w:cs="Times New Roman"/>
        </w:rPr>
        <w:footnoteRef/>
      </w:r>
      <w:r w:rsidRPr="0071076D">
        <w:rPr>
          <w:rFonts w:ascii="Times New Roman" w:hAnsi="Times New Roman" w:cs="Times New Roman"/>
        </w:rPr>
        <w:t xml:space="preserve"> </w:t>
      </w:r>
      <w:r w:rsidR="00115A6F" w:rsidRPr="00115A6F">
        <w:rPr>
          <w:rFonts w:ascii="Times New Roman" w:hAnsi="Times New Roman" w:cs="Times New Roman"/>
        </w:rPr>
        <w:t>“</w:t>
      </w:r>
      <w:r w:rsidR="00115A6F" w:rsidRPr="00115A6F">
        <w:rPr>
          <w:rFonts w:ascii="Times New Roman" w:hAnsi="Times New Roman" w:cs="Times New Roman"/>
          <w:shd w:val="clear" w:color="auto" w:fill="FFFFFF"/>
        </w:rPr>
        <w:t xml:space="preserve">Noteikumi par iekšējās kontroles sistēmas pamatprasībām korupcijas un interešu konflikta riska novēršanai publiskas personas institūcijā”, Ministru kabineta noteikumi Nr. 630 (17.10.2017.), pieejami: </w:t>
      </w:r>
      <w:hyperlink r:id="rId8" w:history="1">
        <w:r w:rsidR="00115A6F" w:rsidRPr="00115A6F">
          <w:rPr>
            <w:rStyle w:val="Hyperlink"/>
            <w:rFonts w:ascii="Times New Roman" w:hAnsi="Times New Roman" w:cs="Times New Roman"/>
          </w:rPr>
          <w:t>https://likumi.lv/ta/id/294518-noteikumi-par-ieksejas-kontroles-sistemas-pamatprasibam-korupcijas-un-interesu-konflikta-riska-noversanai-publiskas-personas-institucija</w:t>
        </w:r>
      </w:hyperlink>
      <w:r w:rsidRPr="0071076D">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80058"/>
      <w:docPartObj>
        <w:docPartGallery w:val="Page Numbers (Top of Page)"/>
        <w:docPartUnique/>
      </w:docPartObj>
    </w:sdtPr>
    <w:sdtEndPr>
      <w:rPr>
        <w:noProof/>
      </w:rPr>
    </w:sdtEndPr>
    <w:sdtContent>
      <w:p w14:paraId="01489A18" w14:textId="5E22E884" w:rsidR="004B0E58" w:rsidRDefault="004B0E5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DAEC29E" w14:textId="77777777" w:rsidR="002439CE" w:rsidRDefault="00243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13DF"/>
    <w:multiLevelType w:val="multilevel"/>
    <w:tmpl w:val="0F08F48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E0B0CF9"/>
    <w:multiLevelType w:val="multilevel"/>
    <w:tmpl w:val="B9CAEE30"/>
    <w:lvl w:ilvl="0">
      <w:start w:val="1"/>
      <w:numFmt w:val="decimal"/>
      <w:lvlText w:val="4.%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4614" w:hanging="720"/>
      </w:pPr>
      <w:rPr>
        <w:rFonts w:hint="default"/>
      </w:rPr>
    </w:lvl>
    <w:lvl w:ilvl="3">
      <w:start w:val="1"/>
      <w:numFmt w:val="decimal"/>
      <w:isLgl/>
      <w:lvlText w:val="%1.%2.%3.%4."/>
      <w:lvlJc w:val="left"/>
      <w:pPr>
        <w:ind w:left="6381" w:hanging="72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275" w:hanging="1080"/>
      </w:pPr>
      <w:rPr>
        <w:rFonts w:hint="default"/>
      </w:rPr>
    </w:lvl>
    <w:lvl w:ilvl="6">
      <w:start w:val="1"/>
      <w:numFmt w:val="decimal"/>
      <w:isLgl/>
      <w:lvlText w:val="%1.%2.%3.%4.%5.%6.%7."/>
      <w:lvlJc w:val="left"/>
      <w:pPr>
        <w:ind w:left="12402" w:hanging="1440"/>
      </w:pPr>
      <w:rPr>
        <w:rFonts w:hint="default"/>
      </w:rPr>
    </w:lvl>
    <w:lvl w:ilvl="7">
      <w:start w:val="1"/>
      <w:numFmt w:val="decimal"/>
      <w:isLgl/>
      <w:lvlText w:val="%1.%2.%3.%4.%5.%6.%7.%8."/>
      <w:lvlJc w:val="left"/>
      <w:pPr>
        <w:ind w:left="14169" w:hanging="1440"/>
      </w:pPr>
      <w:rPr>
        <w:rFonts w:hint="default"/>
      </w:rPr>
    </w:lvl>
    <w:lvl w:ilvl="8">
      <w:start w:val="1"/>
      <w:numFmt w:val="decimal"/>
      <w:isLgl/>
      <w:lvlText w:val="%1.%2.%3.%4.%5.%6.%7.%8.%9."/>
      <w:lvlJc w:val="left"/>
      <w:pPr>
        <w:ind w:left="16296" w:hanging="1800"/>
      </w:pPr>
      <w:rPr>
        <w:rFonts w:hint="default"/>
      </w:rPr>
    </w:lvl>
  </w:abstractNum>
  <w:abstractNum w:abstractNumId="2" w15:restartNumberingAfterBreak="0">
    <w:nsid w:val="43461113"/>
    <w:multiLevelType w:val="multilevel"/>
    <w:tmpl w:val="73DE98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8F52EFD"/>
    <w:multiLevelType w:val="multilevel"/>
    <w:tmpl w:val="8E76AE0C"/>
    <w:lvl w:ilvl="0">
      <w:start w:val="1"/>
      <w:numFmt w:val="decimal"/>
      <w:lvlText w:val="1.%1."/>
      <w:lvlJc w:val="left"/>
      <w:pPr>
        <w:ind w:left="720" w:hanging="360"/>
      </w:pPr>
      <w:rPr>
        <w:rFonts w:ascii="Times New Roman" w:hAnsi="Times New Roman" w:cs="Times New Roman"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4614" w:hanging="720"/>
      </w:pPr>
      <w:rPr>
        <w:rFonts w:hint="default"/>
      </w:rPr>
    </w:lvl>
    <w:lvl w:ilvl="3">
      <w:start w:val="1"/>
      <w:numFmt w:val="decimal"/>
      <w:isLgl/>
      <w:lvlText w:val="%1.%2.%3.%4."/>
      <w:lvlJc w:val="left"/>
      <w:pPr>
        <w:ind w:left="6381" w:hanging="72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275" w:hanging="1080"/>
      </w:pPr>
      <w:rPr>
        <w:rFonts w:hint="default"/>
      </w:rPr>
    </w:lvl>
    <w:lvl w:ilvl="6">
      <w:start w:val="1"/>
      <w:numFmt w:val="decimal"/>
      <w:isLgl/>
      <w:lvlText w:val="%1.%2.%3.%4.%5.%6.%7."/>
      <w:lvlJc w:val="left"/>
      <w:pPr>
        <w:ind w:left="12402" w:hanging="1440"/>
      </w:pPr>
      <w:rPr>
        <w:rFonts w:hint="default"/>
      </w:rPr>
    </w:lvl>
    <w:lvl w:ilvl="7">
      <w:start w:val="1"/>
      <w:numFmt w:val="decimal"/>
      <w:isLgl/>
      <w:lvlText w:val="%1.%2.%3.%4.%5.%6.%7.%8."/>
      <w:lvlJc w:val="left"/>
      <w:pPr>
        <w:ind w:left="14169" w:hanging="1440"/>
      </w:pPr>
      <w:rPr>
        <w:rFonts w:hint="default"/>
      </w:rPr>
    </w:lvl>
    <w:lvl w:ilvl="8">
      <w:start w:val="1"/>
      <w:numFmt w:val="decimal"/>
      <w:isLgl/>
      <w:lvlText w:val="%1.%2.%3.%4.%5.%6.%7.%8.%9."/>
      <w:lvlJc w:val="left"/>
      <w:pPr>
        <w:ind w:left="16296" w:hanging="1800"/>
      </w:pPr>
      <w:rPr>
        <w:rFonts w:hint="default"/>
      </w:rPr>
    </w:lvl>
  </w:abstractNum>
  <w:abstractNum w:abstractNumId="4" w15:restartNumberingAfterBreak="0">
    <w:nsid w:val="69407EA8"/>
    <w:multiLevelType w:val="multilevel"/>
    <w:tmpl w:val="FFFFFFFF"/>
    <w:lvl w:ilvl="0">
      <w:start w:val="22"/>
      <w:numFmt w:val="decimal"/>
      <w:lvlText w:val="%1."/>
      <w:lvlJc w:val="left"/>
      <w:pPr>
        <w:ind w:left="560" w:hanging="56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1080" w:hanging="108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440" w:hanging="1440"/>
      </w:pPr>
      <w:rPr>
        <w:rFonts w:eastAsia="Times New Roman" w:cs="Times New Roman" w:hint="default"/>
      </w:rPr>
    </w:lvl>
    <w:lvl w:ilvl="6">
      <w:start w:val="1"/>
      <w:numFmt w:val="decimal"/>
      <w:lvlText w:val="%1.%2.%3.%4.%5.%6.%7."/>
      <w:lvlJc w:val="left"/>
      <w:pPr>
        <w:ind w:left="1800" w:hanging="1800"/>
      </w:pPr>
      <w:rPr>
        <w:rFonts w:eastAsia="Times New Roman" w:cs="Times New Roman" w:hint="default"/>
      </w:rPr>
    </w:lvl>
    <w:lvl w:ilvl="7">
      <w:start w:val="1"/>
      <w:numFmt w:val="decimal"/>
      <w:lvlText w:val="%1.%2.%3.%4.%5.%6.%7.%8."/>
      <w:lvlJc w:val="left"/>
      <w:pPr>
        <w:ind w:left="1800" w:hanging="1800"/>
      </w:pPr>
      <w:rPr>
        <w:rFonts w:eastAsia="Times New Roman" w:cs="Times New Roman" w:hint="default"/>
      </w:rPr>
    </w:lvl>
    <w:lvl w:ilvl="8">
      <w:start w:val="1"/>
      <w:numFmt w:val="decimal"/>
      <w:lvlText w:val="%1.%2.%3.%4.%5.%6.%7.%8.%9."/>
      <w:lvlJc w:val="left"/>
      <w:pPr>
        <w:ind w:left="2160" w:hanging="2160"/>
      </w:pPr>
      <w:rPr>
        <w:rFonts w:eastAsia="Times New Roman" w:cs="Times New Roman" w:hint="default"/>
      </w:rPr>
    </w:lvl>
  </w:abstractNum>
  <w:abstractNum w:abstractNumId="5" w15:restartNumberingAfterBreak="0">
    <w:nsid w:val="7018216D"/>
    <w:multiLevelType w:val="multilevel"/>
    <w:tmpl w:val="D968FCAC"/>
    <w:lvl w:ilvl="0">
      <w:start w:val="1"/>
      <w:numFmt w:val="decimal"/>
      <w:lvlText w:val="%1."/>
      <w:lvlJc w:val="left"/>
      <w:pPr>
        <w:ind w:left="720" w:hanging="36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275" w:hanging="1080"/>
      </w:pPr>
      <w:rPr>
        <w:rFonts w:hint="default"/>
      </w:rPr>
    </w:lvl>
    <w:lvl w:ilvl="6">
      <w:start w:val="1"/>
      <w:numFmt w:val="decimal"/>
      <w:isLgl/>
      <w:lvlText w:val="%1.%2.%3.%4.%5.%6.%7."/>
      <w:lvlJc w:val="left"/>
      <w:pPr>
        <w:ind w:left="12402" w:hanging="1440"/>
      </w:pPr>
      <w:rPr>
        <w:rFonts w:hint="default"/>
      </w:rPr>
    </w:lvl>
    <w:lvl w:ilvl="7">
      <w:start w:val="1"/>
      <w:numFmt w:val="decimal"/>
      <w:isLgl/>
      <w:lvlText w:val="%1.%2.%3.%4.%5.%6.%7.%8."/>
      <w:lvlJc w:val="left"/>
      <w:pPr>
        <w:ind w:left="14169" w:hanging="1440"/>
      </w:pPr>
      <w:rPr>
        <w:rFonts w:hint="default"/>
      </w:rPr>
    </w:lvl>
    <w:lvl w:ilvl="8">
      <w:start w:val="1"/>
      <w:numFmt w:val="decimal"/>
      <w:isLgl/>
      <w:lvlText w:val="%1.%2.%3.%4.%5.%6.%7.%8.%9."/>
      <w:lvlJc w:val="left"/>
      <w:pPr>
        <w:ind w:left="16296" w:hanging="1800"/>
      </w:pPr>
      <w:rPr>
        <w:rFonts w:hint="default"/>
      </w:rPr>
    </w:lvl>
  </w:abstractNum>
  <w:abstractNum w:abstractNumId="6" w15:restartNumberingAfterBreak="0">
    <w:nsid w:val="704C53C5"/>
    <w:multiLevelType w:val="multilevel"/>
    <w:tmpl w:val="6094A2E0"/>
    <w:lvl w:ilvl="0">
      <w:start w:val="1"/>
      <w:numFmt w:val="decimal"/>
      <w:lvlText w:val="6.%1."/>
      <w:lvlJc w:val="left"/>
      <w:pPr>
        <w:ind w:left="720" w:hanging="360"/>
      </w:pPr>
    </w:lvl>
    <w:lvl w:ilvl="1">
      <w:start w:val="1"/>
      <w:numFmt w:val="decimal"/>
      <w:isLgl/>
      <w:lvlText w:val="%1.%2."/>
      <w:lvlJc w:val="left"/>
      <w:pPr>
        <w:ind w:left="1353" w:hanging="360"/>
      </w:pPr>
    </w:lvl>
    <w:lvl w:ilvl="2">
      <w:start w:val="1"/>
      <w:numFmt w:val="decimal"/>
      <w:lvlText w:val="8.%3.1"/>
      <w:lvlJc w:val="left"/>
      <w:pPr>
        <w:ind w:left="4254" w:hanging="360"/>
      </w:pPr>
    </w:lvl>
    <w:lvl w:ilvl="3">
      <w:start w:val="1"/>
      <w:numFmt w:val="decimal"/>
      <w:lvlText w:val="8.5.2.%4."/>
      <w:lvlJc w:val="left"/>
      <w:pPr>
        <w:ind w:left="6021" w:hanging="360"/>
      </w:pPr>
    </w:lvl>
    <w:lvl w:ilvl="4">
      <w:start w:val="1"/>
      <w:numFmt w:val="decimal"/>
      <w:isLgl/>
      <w:lvlText w:val="%1.%2.%3.%4.%5."/>
      <w:lvlJc w:val="left"/>
      <w:pPr>
        <w:ind w:left="8508" w:hanging="1080"/>
      </w:pPr>
    </w:lvl>
    <w:lvl w:ilvl="5">
      <w:start w:val="1"/>
      <w:numFmt w:val="decimal"/>
      <w:isLgl/>
      <w:lvlText w:val="%1.%2.%3.%4.%5.%6."/>
      <w:lvlJc w:val="left"/>
      <w:pPr>
        <w:ind w:left="10275" w:hanging="1080"/>
      </w:pPr>
    </w:lvl>
    <w:lvl w:ilvl="6">
      <w:start w:val="1"/>
      <w:numFmt w:val="decimal"/>
      <w:isLgl/>
      <w:lvlText w:val="%1.%2.%3.%4.%5.%6.%7."/>
      <w:lvlJc w:val="left"/>
      <w:pPr>
        <w:ind w:left="12402" w:hanging="1440"/>
      </w:pPr>
    </w:lvl>
    <w:lvl w:ilvl="7">
      <w:start w:val="1"/>
      <w:numFmt w:val="decimal"/>
      <w:isLgl/>
      <w:lvlText w:val="%1.%2.%3.%4.%5.%6.%7.%8."/>
      <w:lvlJc w:val="left"/>
      <w:pPr>
        <w:ind w:left="14169" w:hanging="1440"/>
      </w:pPr>
    </w:lvl>
    <w:lvl w:ilvl="8">
      <w:start w:val="1"/>
      <w:numFmt w:val="decimal"/>
      <w:isLgl/>
      <w:lvlText w:val="%1.%2.%3.%4.%5.%6.%7.%8.%9."/>
      <w:lvlJc w:val="left"/>
      <w:pPr>
        <w:ind w:left="16296" w:hanging="1800"/>
      </w:pPr>
    </w:lvl>
  </w:abstractNum>
  <w:abstractNum w:abstractNumId="7" w15:restartNumberingAfterBreak="0">
    <w:nsid w:val="7AFD7EFD"/>
    <w:multiLevelType w:val="multilevel"/>
    <w:tmpl w:val="F38277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7463044">
    <w:abstractNumId w:val="5"/>
  </w:num>
  <w:num w:numId="2" w16cid:durableId="116073672">
    <w:abstractNumId w:val="0"/>
  </w:num>
  <w:num w:numId="3" w16cid:durableId="1457797937">
    <w:abstractNumId w:val="2"/>
  </w:num>
  <w:num w:numId="4" w16cid:durableId="19814973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7751364">
    <w:abstractNumId w:val="3"/>
  </w:num>
  <w:num w:numId="6" w16cid:durableId="753551331">
    <w:abstractNumId w:val="1"/>
  </w:num>
  <w:num w:numId="7" w16cid:durableId="97606263">
    <w:abstractNumId w:val="7"/>
  </w:num>
  <w:num w:numId="8" w16cid:durableId="1649091443">
    <w:abstractNumId w:val="4"/>
  </w:num>
  <w:num w:numId="9" w16cid:durableId="63120466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BF4"/>
    <w:rsid w:val="00004255"/>
    <w:rsid w:val="000044C9"/>
    <w:rsid w:val="00004E3E"/>
    <w:rsid w:val="00007C38"/>
    <w:rsid w:val="00011139"/>
    <w:rsid w:val="00011D31"/>
    <w:rsid w:val="00016AB1"/>
    <w:rsid w:val="00017D21"/>
    <w:rsid w:val="000218D0"/>
    <w:rsid w:val="00022BFD"/>
    <w:rsid w:val="00023E9A"/>
    <w:rsid w:val="00026DB7"/>
    <w:rsid w:val="000272E6"/>
    <w:rsid w:val="000277D6"/>
    <w:rsid w:val="00030778"/>
    <w:rsid w:val="0003088F"/>
    <w:rsid w:val="0003157A"/>
    <w:rsid w:val="00033AD8"/>
    <w:rsid w:val="00035EF2"/>
    <w:rsid w:val="00041181"/>
    <w:rsid w:val="00043279"/>
    <w:rsid w:val="0004782C"/>
    <w:rsid w:val="00052D43"/>
    <w:rsid w:val="00053066"/>
    <w:rsid w:val="00054E3A"/>
    <w:rsid w:val="00060D69"/>
    <w:rsid w:val="00064EB2"/>
    <w:rsid w:val="000672A8"/>
    <w:rsid w:val="00072268"/>
    <w:rsid w:val="0007578C"/>
    <w:rsid w:val="000865E5"/>
    <w:rsid w:val="000907EE"/>
    <w:rsid w:val="00094D1C"/>
    <w:rsid w:val="000954BF"/>
    <w:rsid w:val="0009593C"/>
    <w:rsid w:val="00096FEC"/>
    <w:rsid w:val="00097124"/>
    <w:rsid w:val="000A599D"/>
    <w:rsid w:val="000B2893"/>
    <w:rsid w:val="000B5212"/>
    <w:rsid w:val="000B7CC2"/>
    <w:rsid w:val="000C1D9B"/>
    <w:rsid w:val="000C32E2"/>
    <w:rsid w:val="000C4127"/>
    <w:rsid w:val="000C4993"/>
    <w:rsid w:val="000C5FAF"/>
    <w:rsid w:val="000C7392"/>
    <w:rsid w:val="000C743B"/>
    <w:rsid w:val="000D2464"/>
    <w:rsid w:val="000D48D6"/>
    <w:rsid w:val="000D5419"/>
    <w:rsid w:val="000D5630"/>
    <w:rsid w:val="000D7B27"/>
    <w:rsid w:val="000E5577"/>
    <w:rsid w:val="000F0ED1"/>
    <w:rsid w:val="000F4AA5"/>
    <w:rsid w:val="000F6D37"/>
    <w:rsid w:val="0010094D"/>
    <w:rsid w:val="00101531"/>
    <w:rsid w:val="00102954"/>
    <w:rsid w:val="00104BB1"/>
    <w:rsid w:val="00105C4D"/>
    <w:rsid w:val="001079B7"/>
    <w:rsid w:val="0011378F"/>
    <w:rsid w:val="001156E3"/>
    <w:rsid w:val="00115A6F"/>
    <w:rsid w:val="001219E1"/>
    <w:rsid w:val="0012658F"/>
    <w:rsid w:val="00133A82"/>
    <w:rsid w:val="001347CE"/>
    <w:rsid w:val="0013697A"/>
    <w:rsid w:val="0014143E"/>
    <w:rsid w:val="00141F52"/>
    <w:rsid w:val="00142BC0"/>
    <w:rsid w:val="0014733C"/>
    <w:rsid w:val="00151DC3"/>
    <w:rsid w:val="0015230C"/>
    <w:rsid w:val="00152CEA"/>
    <w:rsid w:val="00155CD7"/>
    <w:rsid w:val="00161144"/>
    <w:rsid w:val="001624B6"/>
    <w:rsid w:val="00163049"/>
    <w:rsid w:val="00163CFD"/>
    <w:rsid w:val="00164DF5"/>
    <w:rsid w:val="001659CE"/>
    <w:rsid w:val="00166138"/>
    <w:rsid w:val="0017260B"/>
    <w:rsid w:val="00172CC3"/>
    <w:rsid w:val="00172E6B"/>
    <w:rsid w:val="00174C3F"/>
    <w:rsid w:val="00180970"/>
    <w:rsid w:val="0018183A"/>
    <w:rsid w:val="00183FBD"/>
    <w:rsid w:val="0018495B"/>
    <w:rsid w:val="00185787"/>
    <w:rsid w:val="0019005B"/>
    <w:rsid w:val="00191722"/>
    <w:rsid w:val="001924AD"/>
    <w:rsid w:val="00194AEF"/>
    <w:rsid w:val="00197B2B"/>
    <w:rsid w:val="001A1BCA"/>
    <w:rsid w:val="001A27F4"/>
    <w:rsid w:val="001A2AB8"/>
    <w:rsid w:val="001A3D8C"/>
    <w:rsid w:val="001A436B"/>
    <w:rsid w:val="001A441D"/>
    <w:rsid w:val="001A7015"/>
    <w:rsid w:val="001B241C"/>
    <w:rsid w:val="001B681A"/>
    <w:rsid w:val="001C182D"/>
    <w:rsid w:val="001C7609"/>
    <w:rsid w:val="001D18AA"/>
    <w:rsid w:val="001D1BCB"/>
    <w:rsid w:val="001D55B7"/>
    <w:rsid w:val="001D7706"/>
    <w:rsid w:val="001D7B6D"/>
    <w:rsid w:val="001D7C2D"/>
    <w:rsid w:val="001E03CD"/>
    <w:rsid w:val="001E26CF"/>
    <w:rsid w:val="001E342E"/>
    <w:rsid w:val="001E43B4"/>
    <w:rsid w:val="001E5C55"/>
    <w:rsid w:val="001E5ED0"/>
    <w:rsid w:val="001E760C"/>
    <w:rsid w:val="001F3587"/>
    <w:rsid w:val="001F69BC"/>
    <w:rsid w:val="001F7991"/>
    <w:rsid w:val="001F7D1C"/>
    <w:rsid w:val="00203457"/>
    <w:rsid w:val="00205ABF"/>
    <w:rsid w:val="00210318"/>
    <w:rsid w:val="002132C3"/>
    <w:rsid w:val="00214803"/>
    <w:rsid w:val="002207D6"/>
    <w:rsid w:val="0022122A"/>
    <w:rsid w:val="00221C54"/>
    <w:rsid w:val="0022242A"/>
    <w:rsid w:val="00223418"/>
    <w:rsid w:val="002234F2"/>
    <w:rsid w:val="00223CEA"/>
    <w:rsid w:val="00224B3E"/>
    <w:rsid w:val="002254DB"/>
    <w:rsid w:val="00226848"/>
    <w:rsid w:val="002313A2"/>
    <w:rsid w:val="00232853"/>
    <w:rsid w:val="002439CE"/>
    <w:rsid w:val="00251425"/>
    <w:rsid w:val="00251FA3"/>
    <w:rsid w:val="002537A8"/>
    <w:rsid w:val="0025460B"/>
    <w:rsid w:val="00255595"/>
    <w:rsid w:val="00263062"/>
    <w:rsid w:val="00266FE8"/>
    <w:rsid w:val="00270293"/>
    <w:rsid w:val="00271DD4"/>
    <w:rsid w:val="00273294"/>
    <w:rsid w:val="002746A4"/>
    <w:rsid w:val="00275EB4"/>
    <w:rsid w:val="00276996"/>
    <w:rsid w:val="0027770C"/>
    <w:rsid w:val="002833A8"/>
    <w:rsid w:val="002876B5"/>
    <w:rsid w:val="00287E38"/>
    <w:rsid w:val="0029435B"/>
    <w:rsid w:val="00295940"/>
    <w:rsid w:val="0029672D"/>
    <w:rsid w:val="002A0868"/>
    <w:rsid w:val="002A24E5"/>
    <w:rsid w:val="002A3416"/>
    <w:rsid w:val="002B0734"/>
    <w:rsid w:val="002B2F83"/>
    <w:rsid w:val="002B38B7"/>
    <w:rsid w:val="002B604C"/>
    <w:rsid w:val="002B6ED4"/>
    <w:rsid w:val="002B790F"/>
    <w:rsid w:val="002C1CFA"/>
    <w:rsid w:val="002C264D"/>
    <w:rsid w:val="002C28DE"/>
    <w:rsid w:val="002C4013"/>
    <w:rsid w:val="002C51FA"/>
    <w:rsid w:val="002C5687"/>
    <w:rsid w:val="002C7902"/>
    <w:rsid w:val="002D00FD"/>
    <w:rsid w:val="002D078E"/>
    <w:rsid w:val="002D247C"/>
    <w:rsid w:val="002D2667"/>
    <w:rsid w:val="002D3F30"/>
    <w:rsid w:val="002D51A5"/>
    <w:rsid w:val="002D5CC4"/>
    <w:rsid w:val="002E0FEF"/>
    <w:rsid w:val="002E2BDB"/>
    <w:rsid w:val="002E3B03"/>
    <w:rsid w:val="002E52D7"/>
    <w:rsid w:val="002E5E9B"/>
    <w:rsid w:val="002E658B"/>
    <w:rsid w:val="002E7F80"/>
    <w:rsid w:val="002F29C1"/>
    <w:rsid w:val="002F3469"/>
    <w:rsid w:val="002F47C0"/>
    <w:rsid w:val="002F5CA1"/>
    <w:rsid w:val="002F7013"/>
    <w:rsid w:val="002F7A5B"/>
    <w:rsid w:val="00300916"/>
    <w:rsid w:val="003017A4"/>
    <w:rsid w:val="0030700E"/>
    <w:rsid w:val="00307461"/>
    <w:rsid w:val="003100C9"/>
    <w:rsid w:val="00314879"/>
    <w:rsid w:val="00316778"/>
    <w:rsid w:val="00317B96"/>
    <w:rsid w:val="00320981"/>
    <w:rsid w:val="003258B0"/>
    <w:rsid w:val="003266EC"/>
    <w:rsid w:val="003350B0"/>
    <w:rsid w:val="00335269"/>
    <w:rsid w:val="003365BA"/>
    <w:rsid w:val="00336F3C"/>
    <w:rsid w:val="00340647"/>
    <w:rsid w:val="003416EF"/>
    <w:rsid w:val="003421D4"/>
    <w:rsid w:val="00342805"/>
    <w:rsid w:val="00345EF7"/>
    <w:rsid w:val="00350965"/>
    <w:rsid w:val="00350BF4"/>
    <w:rsid w:val="00350D28"/>
    <w:rsid w:val="00353F2D"/>
    <w:rsid w:val="003550ED"/>
    <w:rsid w:val="0036271A"/>
    <w:rsid w:val="00364274"/>
    <w:rsid w:val="003660C9"/>
    <w:rsid w:val="003727B2"/>
    <w:rsid w:val="0037368B"/>
    <w:rsid w:val="003741E6"/>
    <w:rsid w:val="00380CB2"/>
    <w:rsid w:val="00382E00"/>
    <w:rsid w:val="00385A95"/>
    <w:rsid w:val="00386DB7"/>
    <w:rsid w:val="00390807"/>
    <w:rsid w:val="003915BC"/>
    <w:rsid w:val="00392F7C"/>
    <w:rsid w:val="003930C6"/>
    <w:rsid w:val="00396A17"/>
    <w:rsid w:val="00397759"/>
    <w:rsid w:val="0039790E"/>
    <w:rsid w:val="003A1203"/>
    <w:rsid w:val="003A46A5"/>
    <w:rsid w:val="003B0A09"/>
    <w:rsid w:val="003B7769"/>
    <w:rsid w:val="003C0250"/>
    <w:rsid w:val="003C0577"/>
    <w:rsid w:val="003C3EA1"/>
    <w:rsid w:val="003C448A"/>
    <w:rsid w:val="003C59BE"/>
    <w:rsid w:val="003C69E9"/>
    <w:rsid w:val="003D1BE7"/>
    <w:rsid w:val="003D3590"/>
    <w:rsid w:val="003D3666"/>
    <w:rsid w:val="003D6436"/>
    <w:rsid w:val="003E0C02"/>
    <w:rsid w:val="003E25F2"/>
    <w:rsid w:val="003E3610"/>
    <w:rsid w:val="003E6C98"/>
    <w:rsid w:val="00400169"/>
    <w:rsid w:val="0040166F"/>
    <w:rsid w:val="00401E54"/>
    <w:rsid w:val="00402607"/>
    <w:rsid w:val="00404D8D"/>
    <w:rsid w:val="00407926"/>
    <w:rsid w:val="00415222"/>
    <w:rsid w:val="0041536A"/>
    <w:rsid w:val="0041634B"/>
    <w:rsid w:val="004171BC"/>
    <w:rsid w:val="00420E4D"/>
    <w:rsid w:val="00422A4A"/>
    <w:rsid w:val="00422F9E"/>
    <w:rsid w:val="00424470"/>
    <w:rsid w:val="00434EF3"/>
    <w:rsid w:val="00436B51"/>
    <w:rsid w:val="00437C80"/>
    <w:rsid w:val="00441AF2"/>
    <w:rsid w:val="00441BD7"/>
    <w:rsid w:val="00443167"/>
    <w:rsid w:val="004441E6"/>
    <w:rsid w:val="00446C11"/>
    <w:rsid w:val="00450420"/>
    <w:rsid w:val="00451548"/>
    <w:rsid w:val="004518E4"/>
    <w:rsid w:val="0045300E"/>
    <w:rsid w:val="00454D7E"/>
    <w:rsid w:val="00457BC3"/>
    <w:rsid w:val="00460DF3"/>
    <w:rsid w:val="00461C45"/>
    <w:rsid w:val="00461CC3"/>
    <w:rsid w:val="00462FEF"/>
    <w:rsid w:val="00464302"/>
    <w:rsid w:val="00465D40"/>
    <w:rsid w:val="0046751D"/>
    <w:rsid w:val="00467BE7"/>
    <w:rsid w:val="0047261B"/>
    <w:rsid w:val="0047588A"/>
    <w:rsid w:val="00475904"/>
    <w:rsid w:val="00480DAE"/>
    <w:rsid w:val="004825AA"/>
    <w:rsid w:val="00486BAC"/>
    <w:rsid w:val="00487EED"/>
    <w:rsid w:val="0049158D"/>
    <w:rsid w:val="00494995"/>
    <w:rsid w:val="00496A8E"/>
    <w:rsid w:val="004A06E8"/>
    <w:rsid w:val="004A5AEA"/>
    <w:rsid w:val="004A5FF5"/>
    <w:rsid w:val="004A7EF9"/>
    <w:rsid w:val="004B0E58"/>
    <w:rsid w:val="004B1652"/>
    <w:rsid w:val="004B4817"/>
    <w:rsid w:val="004B573D"/>
    <w:rsid w:val="004B5D5F"/>
    <w:rsid w:val="004B6BC5"/>
    <w:rsid w:val="004B6DDC"/>
    <w:rsid w:val="004B724E"/>
    <w:rsid w:val="004B7BFB"/>
    <w:rsid w:val="004B7D3E"/>
    <w:rsid w:val="004C16F5"/>
    <w:rsid w:val="004C29AC"/>
    <w:rsid w:val="004C2A06"/>
    <w:rsid w:val="004C7244"/>
    <w:rsid w:val="004D006B"/>
    <w:rsid w:val="004D385C"/>
    <w:rsid w:val="004E7F4A"/>
    <w:rsid w:val="004F0C25"/>
    <w:rsid w:val="004F3B0E"/>
    <w:rsid w:val="004F3E21"/>
    <w:rsid w:val="004F53A0"/>
    <w:rsid w:val="004F5C0B"/>
    <w:rsid w:val="004F6B0C"/>
    <w:rsid w:val="00500220"/>
    <w:rsid w:val="005014C3"/>
    <w:rsid w:val="00502C45"/>
    <w:rsid w:val="0050557E"/>
    <w:rsid w:val="00505EB6"/>
    <w:rsid w:val="005066D1"/>
    <w:rsid w:val="00510BCE"/>
    <w:rsid w:val="005120B4"/>
    <w:rsid w:val="0051384A"/>
    <w:rsid w:val="00513AE4"/>
    <w:rsid w:val="0052342E"/>
    <w:rsid w:val="005260C8"/>
    <w:rsid w:val="00527198"/>
    <w:rsid w:val="00527AA1"/>
    <w:rsid w:val="005335B2"/>
    <w:rsid w:val="005354C0"/>
    <w:rsid w:val="00540971"/>
    <w:rsid w:val="00541D27"/>
    <w:rsid w:val="00541E35"/>
    <w:rsid w:val="00542918"/>
    <w:rsid w:val="00545563"/>
    <w:rsid w:val="00546A9A"/>
    <w:rsid w:val="00546ACC"/>
    <w:rsid w:val="00550FF4"/>
    <w:rsid w:val="00551A94"/>
    <w:rsid w:val="0055252E"/>
    <w:rsid w:val="0055505F"/>
    <w:rsid w:val="005614AD"/>
    <w:rsid w:val="0056173B"/>
    <w:rsid w:val="00565D6C"/>
    <w:rsid w:val="00567EF4"/>
    <w:rsid w:val="005729DD"/>
    <w:rsid w:val="00575C2D"/>
    <w:rsid w:val="00576F42"/>
    <w:rsid w:val="00582E83"/>
    <w:rsid w:val="005944B1"/>
    <w:rsid w:val="00594BFA"/>
    <w:rsid w:val="00595E6B"/>
    <w:rsid w:val="005A4A2A"/>
    <w:rsid w:val="005A6F57"/>
    <w:rsid w:val="005B0946"/>
    <w:rsid w:val="005B1C85"/>
    <w:rsid w:val="005B2C1D"/>
    <w:rsid w:val="005C111B"/>
    <w:rsid w:val="005D2081"/>
    <w:rsid w:val="005D40EC"/>
    <w:rsid w:val="005D4227"/>
    <w:rsid w:val="005D5452"/>
    <w:rsid w:val="005D6351"/>
    <w:rsid w:val="005E2B44"/>
    <w:rsid w:val="005E7154"/>
    <w:rsid w:val="005F02ED"/>
    <w:rsid w:val="005F2EDB"/>
    <w:rsid w:val="005F460B"/>
    <w:rsid w:val="005F73C8"/>
    <w:rsid w:val="00601553"/>
    <w:rsid w:val="00604EEF"/>
    <w:rsid w:val="00605172"/>
    <w:rsid w:val="00607B36"/>
    <w:rsid w:val="00612522"/>
    <w:rsid w:val="0061687C"/>
    <w:rsid w:val="00617CDD"/>
    <w:rsid w:val="00622B60"/>
    <w:rsid w:val="00622ED9"/>
    <w:rsid w:val="00624C01"/>
    <w:rsid w:val="00625D4A"/>
    <w:rsid w:val="006265FC"/>
    <w:rsid w:val="0063369B"/>
    <w:rsid w:val="006337F2"/>
    <w:rsid w:val="00633872"/>
    <w:rsid w:val="00635EE7"/>
    <w:rsid w:val="006374E9"/>
    <w:rsid w:val="00640673"/>
    <w:rsid w:val="00640881"/>
    <w:rsid w:val="00643189"/>
    <w:rsid w:val="00644B05"/>
    <w:rsid w:val="00647086"/>
    <w:rsid w:val="0064743A"/>
    <w:rsid w:val="00651B22"/>
    <w:rsid w:val="00654E29"/>
    <w:rsid w:val="006567F7"/>
    <w:rsid w:val="00657A86"/>
    <w:rsid w:val="00664D24"/>
    <w:rsid w:val="00673231"/>
    <w:rsid w:val="00673320"/>
    <w:rsid w:val="00674806"/>
    <w:rsid w:val="006849D8"/>
    <w:rsid w:val="00690679"/>
    <w:rsid w:val="00691956"/>
    <w:rsid w:val="006968FD"/>
    <w:rsid w:val="00697722"/>
    <w:rsid w:val="006A1982"/>
    <w:rsid w:val="006A1F35"/>
    <w:rsid w:val="006A31F5"/>
    <w:rsid w:val="006A3509"/>
    <w:rsid w:val="006A679F"/>
    <w:rsid w:val="006B47A1"/>
    <w:rsid w:val="006B4FE7"/>
    <w:rsid w:val="006B64C6"/>
    <w:rsid w:val="006B6A44"/>
    <w:rsid w:val="006B7369"/>
    <w:rsid w:val="006C0609"/>
    <w:rsid w:val="006C4F70"/>
    <w:rsid w:val="006D264F"/>
    <w:rsid w:val="006D4576"/>
    <w:rsid w:val="006D584C"/>
    <w:rsid w:val="006E37FC"/>
    <w:rsid w:val="006E57B2"/>
    <w:rsid w:val="006F195F"/>
    <w:rsid w:val="006F25B7"/>
    <w:rsid w:val="006F4E16"/>
    <w:rsid w:val="0070176B"/>
    <w:rsid w:val="0071076D"/>
    <w:rsid w:val="007143D7"/>
    <w:rsid w:val="007236C6"/>
    <w:rsid w:val="007240B2"/>
    <w:rsid w:val="00725E3D"/>
    <w:rsid w:val="00726445"/>
    <w:rsid w:val="00732923"/>
    <w:rsid w:val="00732E9B"/>
    <w:rsid w:val="007347A4"/>
    <w:rsid w:val="0073515D"/>
    <w:rsid w:val="00736B25"/>
    <w:rsid w:val="00741466"/>
    <w:rsid w:val="00741FF9"/>
    <w:rsid w:val="00750191"/>
    <w:rsid w:val="0075063D"/>
    <w:rsid w:val="00750B1B"/>
    <w:rsid w:val="00753512"/>
    <w:rsid w:val="00755424"/>
    <w:rsid w:val="00765689"/>
    <w:rsid w:val="00767D86"/>
    <w:rsid w:val="0077074F"/>
    <w:rsid w:val="007724CE"/>
    <w:rsid w:val="0077479B"/>
    <w:rsid w:val="00775B24"/>
    <w:rsid w:val="0077704E"/>
    <w:rsid w:val="0078040D"/>
    <w:rsid w:val="00781C6B"/>
    <w:rsid w:val="007837C4"/>
    <w:rsid w:val="0078615B"/>
    <w:rsid w:val="007875E3"/>
    <w:rsid w:val="00792F0B"/>
    <w:rsid w:val="00793C7C"/>
    <w:rsid w:val="00796698"/>
    <w:rsid w:val="0079694B"/>
    <w:rsid w:val="00797E21"/>
    <w:rsid w:val="007A2B97"/>
    <w:rsid w:val="007A4A7D"/>
    <w:rsid w:val="007B2F2A"/>
    <w:rsid w:val="007B67BF"/>
    <w:rsid w:val="007B7647"/>
    <w:rsid w:val="007C1E7C"/>
    <w:rsid w:val="007C54D4"/>
    <w:rsid w:val="007D1A27"/>
    <w:rsid w:val="007D7B22"/>
    <w:rsid w:val="007E02D5"/>
    <w:rsid w:val="007E18CA"/>
    <w:rsid w:val="007F040D"/>
    <w:rsid w:val="007F24D7"/>
    <w:rsid w:val="007F4869"/>
    <w:rsid w:val="007F4F63"/>
    <w:rsid w:val="007F5E9E"/>
    <w:rsid w:val="007F6DA5"/>
    <w:rsid w:val="00805ADB"/>
    <w:rsid w:val="0080668D"/>
    <w:rsid w:val="008156DE"/>
    <w:rsid w:val="008203E0"/>
    <w:rsid w:val="00831726"/>
    <w:rsid w:val="008365DA"/>
    <w:rsid w:val="0084161B"/>
    <w:rsid w:val="00841B91"/>
    <w:rsid w:val="008423F2"/>
    <w:rsid w:val="00842CFA"/>
    <w:rsid w:val="008436A0"/>
    <w:rsid w:val="00845B81"/>
    <w:rsid w:val="00846D74"/>
    <w:rsid w:val="00847203"/>
    <w:rsid w:val="008510A2"/>
    <w:rsid w:val="00856384"/>
    <w:rsid w:val="00860D27"/>
    <w:rsid w:val="00863781"/>
    <w:rsid w:val="00865AC4"/>
    <w:rsid w:val="00866294"/>
    <w:rsid w:val="00870630"/>
    <w:rsid w:val="00871EA5"/>
    <w:rsid w:val="00881869"/>
    <w:rsid w:val="008828D8"/>
    <w:rsid w:val="00890BD2"/>
    <w:rsid w:val="00893FB6"/>
    <w:rsid w:val="008953C1"/>
    <w:rsid w:val="00895495"/>
    <w:rsid w:val="00896C96"/>
    <w:rsid w:val="008A1DFB"/>
    <w:rsid w:val="008A372A"/>
    <w:rsid w:val="008A5B6E"/>
    <w:rsid w:val="008A751A"/>
    <w:rsid w:val="008B1281"/>
    <w:rsid w:val="008B302F"/>
    <w:rsid w:val="008B3CDD"/>
    <w:rsid w:val="008B44DB"/>
    <w:rsid w:val="008B70E4"/>
    <w:rsid w:val="008B7D14"/>
    <w:rsid w:val="008C0A60"/>
    <w:rsid w:val="008C2F80"/>
    <w:rsid w:val="008C484E"/>
    <w:rsid w:val="008D1F4D"/>
    <w:rsid w:val="008E1861"/>
    <w:rsid w:val="008E1B06"/>
    <w:rsid w:val="008F67FE"/>
    <w:rsid w:val="00902CEC"/>
    <w:rsid w:val="0090358F"/>
    <w:rsid w:val="009074F0"/>
    <w:rsid w:val="00907D6F"/>
    <w:rsid w:val="00912DFE"/>
    <w:rsid w:val="009144C4"/>
    <w:rsid w:val="00914F88"/>
    <w:rsid w:val="009157FE"/>
    <w:rsid w:val="00920ADF"/>
    <w:rsid w:val="00920DDA"/>
    <w:rsid w:val="00922B22"/>
    <w:rsid w:val="00927F87"/>
    <w:rsid w:val="009307FA"/>
    <w:rsid w:val="0093274A"/>
    <w:rsid w:val="00942DFC"/>
    <w:rsid w:val="00954415"/>
    <w:rsid w:val="009544AF"/>
    <w:rsid w:val="00956AC7"/>
    <w:rsid w:val="00961179"/>
    <w:rsid w:val="009624E3"/>
    <w:rsid w:val="00962609"/>
    <w:rsid w:val="0096601A"/>
    <w:rsid w:val="0097107B"/>
    <w:rsid w:val="00971146"/>
    <w:rsid w:val="00972C01"/>
    <w:rsid w:val="00973E97"/>
    <w:rsid w:val="00973EDE"/>
    <w:rsid w:val="00975F83"/>
    <w:rsid w:val="00977E17"/>
    <w:rsid w:val="009817C6"/>
    <w:rsid w:val="00981FC4"/>
    <w:rsid w:val="0098497A"/>
    <w:rsid w:val="009856E4"/>
    <w:rsid w:val="00986663"/>
    <w:rsid w:val="009930F8"/>
    <w:rsid w:val="0099349F"/>
    <w:rsid w:val="00995643"/>
    <w:rsid w:val="00995C22"/>
    <w:rsid w:val="0099786A"/>
    <w:rsid w:val="009A1205"/>
    <w:rsid w:val="009A27A1"/>
    <w:rsid w:val="009A3C08"/>
    <w:rsid w:val="009A5D89"/>
    <w:rsid w:val="009B2338"/>
    <w:rsid w:val="009B3328"/>
    <w:rsid w:val="009B69BC"/>
    <w:rsid w:val="009C0EEB"/>
    <w:rsid w:val="009C18B6"/>
    <w:rsid w:val="009C3D93"/>
    <w:rsid w:val="009C582C"/>
    <w:rsid w:val="009C6B4D"/>
    <w:rsid w:val="009C7EA0"/>
    <w:rsid w:val="009D04A0"/>
    <w:rsid w:val="009D28F4"/>
    <w:rsid w:val="009D383B"/>
    <w:rsid w:val="009D3FDD"/>
    <w:rsid w:val="009D5274"/>
    <w:rsid w:val="009D7510"/>
    <w:rsid w:val="009D7D3E"/>
    <w:rsid w:val="009E0EC4"/>
    <w:rsid w:val="009E4688"/>
    <w:rsid w:val="009E4E7B"/>
    <w:rsid w:val="009E65B9"/>
    <w:rsid w:val="009F189C"/>
    <w:rsid w:val="009F47B2"/>
    <w:rsid w:val="009F4833"/>
    <w:rsid w:val="009F6E42"/>
    <w:rsid w:val="009F7C58"/>
    <w:rsid w:val="00A00DCF"/>
    <w:rsid w:val="00A042BC"/>
    <w:rsid w:val="00A06643"/>
    <w:rsid w:val="00A22829"/>
    <w:rsid w:val="00A253C9"/>
    <w:rsid w:val="00A314DC"/>
    <w:rsid w:val="00A32075"/>
    <w:rsid w:val="00A42192"/>
    <w:rsid w:val="00A456E1"/>
    <w:rsid w:val="00A4608E"/>
    <w:rsid w:val="00A46F3D"/>
    <w:rsid w:val="00A46F71"/>
    <w:rsid w:val="00A50263"/>
    <w:rsid w:val="00A513A9"/>
    <w:rsid w:val="00A51ABB"/>
    <w:rsid w:val="00A54AC3"/>
    <w:rsid w:val="00A56B73"/>
    <w:rsid w:val="00A57B5B"/>
    <w:rsid w:val="00A60B41"/>
    <w:rsid w:val="00A62F0A"/>
    <w:rsid w:val="00A63A6A"/>
    <w:rsid w:val="00A72B5D"/>
    <w:rsid w:val="00A735E5"/>
    <w:rsid w:val="00A77438"/>
    <w:rsid w:val="00A802AA"/>
    <w:rsid w:val="00A82462"/>
    <w:rsid w:val="00A8775A"/>
    <w:rsid w:val="00A90348"/>
    <w:rsid w:val="00A90D95"/>
    <w:rsid w:val="00A90DA5"/>
    <w:rsid w:val="00A90EA5"/>
    <w:rsid w:val="00A92A85"/>
    <w:rsid w:val="00A96561"/>
    <w:rsid w:val="00A96F8B"/>
    <w:rsid w:val="00AA27D0"/>
    <w:rsid w:val="00AA47F4"/>
    <w:rsid w:val="00AA705B"/>
    <w:rsid w:val="00AB20FD"/>
    <w:rsid w:val="00AB2BF4"/>
    <w:rsid w:val="00AC0BA1"/>
    <w:rsid w:val="00AC0F6C"/>
    <w:rsid w:val="00AC1C34"/>
    <w:rsid w:val="00AD4675"/>
    <w:rsid w:val="00AD7E73"/>
    <w:rsid w:val="00AE3205"/>
    <w:rsid w:val="00AE3D91"/>
    <w:rsid w:val="00AE657F"/>
    <w:rsid w:val="00AF2685"/>
    <w:rsid w:val="00AF4143"/>
    <w:rsid w:val="00AF66F6"/>
    <w:rsid w:val="00AF683D"/>
    <w:rsid w:val="00B00156"/>
    <w:rsid w:val="00B02E83"/>
    <w:rsid w:val="00B067A4"/>
    <w:rsid w:val="00B07D13"/>
    <w:rsid w:val="00B118C7"/>
    <w:rsid w:val="00B13614"/>
    <w:rsid w:val="00B21BB3"/>
    <w:rsid w:val="00B21DC1"/>
    <w:rsid w:val="00B22209"/>
    <w:rsid w:val="00B22460"/>
    <w:rsid w:val="00B23618"/>
    <w:rsid w:val="00B272BA"/>
    <w:rsid w:val="00B30F7A"/>
    <w:rsid w:val="00B335FE"/>
    <w:rsid w:val="00B40175"/>
    <w:rsid w:val="00B403C8"/>
    <w:rsid w:val="00B40CBF"/>
    <w:rsid w:val="00B4168D"/>
    <w:rsid w:val="00B455E8"/>
    <w:rsid w:val="00B45D80"/>
    <w:rsid w:val="00B474F5"/>
    <w:rsid w:val="00B5379F"/>
    <w:rsid w:val="00B53A5F"/>
    <w:rsid w:val="00B5675D"/>
    <w:rsid w:val="00B607CB"/>
    <w:rsid w:val="00B62131"/>
    <w:rsid w:val="00B72775"/>
    <w:rsid w:val="00B72E91"/>
    <w:rsid w:val="00B7555C"/>
    <w:rsid w:val="00B7555F"/>
    <w:rsid w:val="00B76358"/>
    <w:rsid w:val="00B77A33"/>
    <w:rsid w:val="00B77DFF"/>
    <w:rsid w:val="00B80269"/>
    <w:rsid w:val="00B824D5"/>
    <w:rsid w:val="00B8369B"/>
    <w:rsid w:val="00B86712"/>
    <w:rsid w:val="00B86B90"/>
    <w:rsid w:val="00B86D5F"/>
    <w:rsid w:val="00B8792F"/>
    <w:rsid w:val="00B90E8F"/>
    <w:rsid w:val="00B9172F"/>
    <w:rsid w:val="00B97671"/>
    <w:rsid w:val="00BA057D"/>
    <w:rsid w:val="00BA22D0"/>
    <w:rsid w:val="00BB6C17"/>
    <w:rsid w:val="00BC2E04"/>
    <w:rsid w:val="00BC6028"/>
    <w:rsid w:val="00BC6C2B"/>
    <w:rsid w:val="00BD2939"/>
    <w:rsid w:val="00BD2DC8"/>
    <w:rsid w:val="00BD4704"/>
    <w:rsid w:val="00BD4712"/>
    <w:rsid w:val="00BD73E8"/>
    <w:rsid w:val="00BD7833"/>
    <w:rsid w:val="00BE0002"/>
    <w:rsid w:val="00BE194F"/>
    <w:rsid w:val="00BE2D45"/>
    <w:rsid w:val="00BE3AF0"/>
    <w:rsid w:val="00BF3826"/>
    <w:rsid w:val="00BF3DC6"/>
    <w:rsid w:val="00C02100"/>
    <w:rsid w:val="00C03AC6"/>
    <w:rsid w:val="00C0441B"/>
    <w:rsid w:val="00C100B4"/>
    <w:rsid w:val="00C10EDF"/>
    <w:rsid w:val="00C1290C"/>
    <w:rsid w:val="00C14DB6"/>
    <w:rsid w:val="00C172DB"/>
    <w:rsid w:val="00C179AF"/>
    <w:rsid w:val="00C17A55"/>
    <w:rsid w:val="00C20244"/>
    <w:rsid w:val="00C223A2"/>
    <w:rsid w:val="00C23F95"/>
    <w:rsid w:val="00C26D32"/>
    <w:rsid w:val="00C2753D"/>
    <w:rsid w:val="00C27EEA"/>
    <w:rsid w:val="00C30C08"/>
    <w:rsid w:val="00C31098"/>
    <w:rsid w:val="00C31A40"/>
    <w:rsid w:val="00C32D58"/>
    <w:rsid w:val="00C339C0"/>
    <w:rsid w:val="00C33F64"/>
    <w:rsid w:val="00C37B4C"/>
    <w:rsid w:val="00C4469C"/>
    <w:rsid w:val="00C44E64"/>
    <w:rsid w:val="00C45422"/>
    <w:rsid w:val="00C467B7"/>
    <w:rsid w:val="00C47F90"/>
    <w:rsid w:val="00C51B80"/>
    <w:rsid w:val="00C53335"/>
    <w:rsid w:val="00C61752"/>
    <w:rsid w:val="00C67BC5"/>
    <w:rsid w:val="00C720A8"/>
    <w:rsid w:val="00C72D4C"/>
    <w:rsid w:val="00C75ECA"/>
    <w:rsid w:val="00C841D4"/>
    <w:rsid w:val="00C9344C"/>
    <w:rsid w:val="00C9614B"/>
    <w:rsid w:val="00C964DD"/>
    <w:rsid w:val="00C97292"/>
    <w:rsid w:val="00CA1645"/>
    <w:rsid w:val="00CA2C0D"/>
    <w:rsid w:val="00CA4C2D"/>
    <w:rsid w:val="00CA74C1"/>
    <w:rsid w:val="00CA78AE"/>
    <w:rsid w:val="00CA7999"/>
    <w:rsid w:val="00CB1DEA"/>
    <w:rsid w:val="00CB2BBF"/>
    <w:rsid w:val="00CB42D1"/>
    <w:rsid w:val="00CB4717"/>
    <w:rsid w:val="00CB6160"/>
    <w:rsid w:val="00CC2334"/>
    <w:rsid w:val="00CD0C54"/>
    <w:rsid w:val="00CD0E5B"/>
    <w:rsid w:val="00CD29DB"/>
    <w:rsid w:val="00CD2CD8"/>
    <w:rsid w:val="00CD3450"/>
    <w:rsid w:val="00CD5137"/>
    <w:rsid w:val="00CD5D7A"/>
    <w:rsid w:val="00CD611E"/>
    <w:rsid w:val="00CD7DFC"/>
    <w:rsid w:val="00CE4132"/>
    <w:rsid w:val="00CF034F"/>
    <w:rsid w:val="00CF1ACE"/>
    <w:rsid w:val="00CF751C"/>
    <w:rsid w:val="00CF7F65"/>
    <w:rsid w:val="00D03E99"/>
    <w:rsid w:val="00D05BCE"/>
    <w:rsid w:val="00D07E9D"/>
    <w:rsid w:val="00D104A2"/>
    <w:rsid w:val="00D12B39"/>
    <w:rsid w:val="00D137BD"/>
    <w:rsid w:val="00D201A7"/>
    <w:rsid w:val="00D24C0E"/>
    <w:rsid w:val="00D25534"/>
    <w:rsid w:val="00D25D61"/>
    <w:rsid w:val="00D26006"/>
    <w:rsid w:val="00D345A9"/>
    <w:rsid w:val="00D37573"/>
    <w:rsid w:val="00D42B58"/>
    <w:rsid w:val="00D4364F"/>
    <w:rsid w:val="00D50181"/>
    <w:rsid w:val="00D516E2"/>
    <w:rsid w:val="00D51E25"/>
    <w:rsid w:val="00D5350B"/>
    <w:rsid w:val="00D53F84"/>
    <w:rsid w:val="00D54997"/>
    <w:rsid w:val="00D5544D"/>
    <w:rsid w:val="00D57976"/>
    <w:rsid w:val="00D6033A"/>
    <w:rsid w:val="00D60523"/>
    <w:rsid w:val="00D608C7"/>
    <w:rsid w:val="00D61984"/>
    <w:rsid w:val="00D645C9"/>
    <w:rsid w:val="00D670DA"/>
    <w:rsid w:val="00D701A4"/>
    <w:rsid w:val="00D720D1"/>
    <w:rsid w:val="00D72BA0"/>
    <w:rsid w:val="00D82309"/>
    <w:rsid w:val="00D84757"/>
    <w:rsid w:val="00D84BED"/>
    <w:rsid w:val="00D84F09"/>
    <w:rsid w:val="00D87D48"/>
    <w:rsid w:val="00D91831"/>
    <w:rsid w:val="00D9399B"/>
    <w:rsid w:val="00DA02B7"/>
    <w:rsid w:val="00DA1462"/>
    <w:rsid w:val="00DA5AD7"/>
    <w:rsid w:val="00DA73A7"/>
    <w:rsid w:val="00DA767E"/>
    <w:rsid w:val="00DA79AE"/>
    <w:rsid w:val="00DA7C08"/>
    <w:rsid w:val="00DB1415"/>
    <w:rsid w:val="00DB36A5"/>
    <w:rsid w:val="00DB7282"/>
    <w:rsid w:val="00DC6AAA"/>
    <w:rsid w:val="00DC71DB"/>
    <w:rsid w:val="00DC7C46"/>
    <w:rsid w:val="00DD3224"/>
    <w:rsid w:val="00DD57B4"/>
    <w:rsid w:val="00DD5B82"/>
    <w:rsid w:val="00DD6B10"/>
    <w:rsid w:val="00DD720D"/>
    <w:rsid w:val="00DE0A5E"/>
    <w:rsid w:val="00DE23A8"/>
    <w:rsid w:val="00DE299F"/>
    <w:rsid w:val="00DE391B"/>
    <w:rsid w:val="00DE4E8A"/>
    <w:rsid w:val="00DE6046"/>
    <w:rsid w:val="00DE6397"/>
    <w:rsid w:val="00DF16E6"/>
    <w:rsid w:val="00DF1DBE"/>
    <w:rsid w:val="00DF4187"/>
    <w:rsid w:val="00E00195"/>
    <w:rsid w:val="00E02F36"/>
    <w:rsid w:val="00E0395E"/>
    <w:rsid w:val="00E03C9D"/>
    <w:rsid w:val="00E048D5"/>
    <w:rsid w:val="00E10D57"/>
    <w:rsid w:val="00E1238E"/>
    <w:rsid w:val="00E1340E"/>
    <w:rsid w:val="00E1641E"/>
    <w:rsid w:val="00E16CD2"/>
    <w:rsid w:val="00E16F53"/>
    <w:rsid w:val="00E21CCA"/>
    <w:rsid w:val="00E25E30"/>
    <w:rsid w:val="00E329BA"/>
    <w:rsid w:val="00E41E12"/>
    <w:rsid w:val="00E459C1"/>
    <w:rsid w:val="00E514AD"/>
    <w:rsid w:val="00E518F4"/>
    <w:rsid w:val="00E674F1"/>
    <w:rsid w:val="00E71298"/>
    <w:rsid w:val="00E74E5B"/>
    <w:rsid w:val="00E93296"/>
    <w:rsid w:val="00E969E2"/>
    <w:rsid w:val="00E96E81"/>
    <w:rsid w:val="00E97778"/>
    <w:rsid w:val="00EA39A7"/>
    <w:rsid w:val="00EA6293"/>
    <w:rsid w:val="00EA7A4F"/>
    <w:rsid w:val="00EA7F61"/>
    <w:rsid w:val="00EB14B0"/>
    <w:rsid w:val="00EB1E51"/>
    <w:rsid w:val="00EB2401"/>
    <w:rsid w:val="00EB4E87"/>
    <w:rsid w:val="00EB6A17"/>
    <w:rsid w:val="00EB7FE4"/>
    <w:rsid w:val="00EC2822"/>
    <w:rsid w:val="00EC29F8"/>
    <w:rsid w:val="00EC4B31"/>
    <w:rsid w:val="00EC583E"/>
    <w:rsid w:val="00EC6EBD"/>
    <w:rsid w:val="00EC7863"/>
    <w:rsid w:val="00ED2F2C"/>
    <w:rsid w:val="00ED3026"/>
    <w:rsid w:val="00ED60F2"/>
    <w:rsid w:val="00EE1ACD"/>
    <w:rsid w:val="00EE1F7C"/>
    <w:rsid w:val="00EE2D58"/>
    <w:rsid w:val="00EE31F6"/>
    <w:rsid w:val="00EE6627"/>
    <w:rsid w:val="00EE7B5A"/>
    <w:rsid w:val="00EF2E1F"/>
    <w:rsid w:val="00EF5932"/>
    <w:rsid w:val="00F01228"/>
    <w:rsid w:val="00F012DE"/>
    <w:rsid w:val="00F04643"/>
    <w:rsid w:val="00F0684B"/>
    <w:rsid w:val="00F102BD"/>
    <w:rsid w:val="00F12A84"/>
    <w:rsid w:val="00F14014"/>
    <w:rsid w:val="00F140A5"/>
    <w:rsid w:val="00F20DE1"/>
    <w:rsid w:val="00F21211"/>
    <w:rsid w:val="00F2394C"/>
    <w:rsid w:val="00F35514"/>
    <w:rsid w:val="00F36833"/>
    <w:rsid w:val="00F3784F"/>
    <w:rsid w:val="00F40A41"/>
    <w:rsid w:val="00F41FD6"/>
    <w:rsid w:val="00F42473"/>
    <w:rsid w:val="00F4285A"/>
    <w:rsid w:val="00F45E55"/>
    <w:rsid w:val="00F46817"/>
    <w:rsid w:val="00F53574"/>
    <w:rsid w:val="00F60A61"/>
    <w:rsid w:val="00F60AB2"/>
    <w:rsid w:val="00F638AF"/>
    <w:rsid w:val="00F6446D"/>
    <w:rsid w:val="00F70A98"/>
    <w:rsid w:val="00F73505"/>
    <w:rsid w:val="00F80910"/>
    <w:rsid w:val="00F81150"/>
    <w:rsid w:val="00F82D67"/>
    <w:rsid w:val="00F84D9B"/>
    <w:rsid w:val="00F911B8"/>
    <w:rsid w:val="00F9220E"/>
    <w:rsid w:val="00F93FD0"/>
    <w:rsid w:val="00F975B4"/>
    <w:rsid w:val="00F97E09"/>
    <w:rsid w:val="00FA1218"/>
    <w:rsid w:val="00FA5764"/>
    <w:rsid w:val="00FB411B"/>
    <w:rsid w:val="00FB67AF"/>
    <w:rsid w:val="00FB7864"/>
    <w:rsid w:val="00FC0AE0"/>
    <w:rsid w:val="00FC2592"/>
    <w:rsid w:val="00FC5238"/>
    <w:rsid w:val="00FC751F"/>
    <w:rsid w:val="00FD5268"/>
    <w:rsid w:val="00FD55F6"/>
    <w:rsid w:val="00FD674A"/>
    <w:rsid w:val="00FE058E"/>
    <w:rsid w:val="00FE3C58"/>
    <w:rsid w:val="00FE4A04"/>
    <w:rsid w:val="00FE777F"/>
    <w:rsid w:val="00FF0D17"/>
    <w:rsid w:val="00FF4A63"/>
    <w:rsid w:val="00FF5B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0A56A"/>
  <w15:chartTrackingRefBased/>
  <w15:docId w15:val="{4E5BEF9C-2426-49FB-85A0-852A5E4BB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48A"/>
    <w:pPr>
      <w:keepNext/>
      <w:keepLines/>
      <w:spacing w:before="240" w:after="0"/>
      <w:outlineLvl w:val="0"/>
    </w:pPr>
    <w:rPr>
      <w:rFonts w:ascii="Times New Roman" w:eastAsiaTheme="majorEastAsia" w:hAnsi="Times New Roman"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ist Paragraph12"/>
    <w:basedOn w:val="Normal"/>
    <w:link w:val="ListParagraphChar"/>
    <w:uiPriority w:val="34"/>
    <w:qFormat/>
    <w:rsid w:val="00191722"/>
    <w:pPr>
      <w:ind w:left="720"/>
      <w:contextualSpacing/>
    </w:pPr>
    <w:rPr>
      <w:rFonts w:eastAsiaTheme="minorEastAsia"/>
      <w:lang w:eastAsia="lv-LV"/>
    </w:rPr>
  </w:style>
  <w:style w:type="paragraph" w:styleId="FootnoteText">
    <w:name w:val="footnote text"/>
    <w:aliases w:val="Footnote,Footnote Text Char Char,Footnote Text Char Char Char Char,Footnote Text Char Char Char Char Char Char,Footnote Text Char1,Footnote Text Char1 Char Char,Footnote Text Char1 Char Char1 Char,Footnote Text Char1 Char Char1 Char Char,f"/>
    <w:basedOn w:val="Normal"/>
    <w:link w:val="FootnoteTextChar"/>
    <w:uiPriority w:val="99"/>
    <w:unhideWhenUsed/>
    <w:qFormat/>
    <w:rsid w:val="00191722"/>
    <w:pPr>
      <w:spacing w:after="0" w:line="240" w:lineRule="auto"/>
    </w:pPr>
    <w:rPr>
      <w:rFonts w:eastAsiaTheme="minorEastAsia"/>
      <w:sz w:val="20"/>
      <w:szCs w:val="20"/>
      <w:lang w:eastAsia="lv-LV"/>
    </w:rPr>
  </w:style>
  <w:style w:type="character" w:customStyle="1" w:styleId="FootnoteTextChar">
    <w:name w:val="Footnote Text Char"/>
    <w:aliases w:val="Footnote Char,Footnote Text Char Char Char,Footnote Text Char Char Char Char Char,Footnote Text Char Char Char Char Char Char Char,Footnote Text Char1 Char,Footnote Text Char1 Char Char Char,Footnote Text Char1 Char Char1 Char Char1"/>
    <w:basedOn w:val="DefaultParagraphFont"/>
    <w:link w:val="FootnoteText"/>
    <w:uiPriority w:val="99"/>
    <w:qFormat/>
    <w:rsid w:val="00191722"/>
    <w:rPr>
      <w:rFonts w:eastAsiaTheme="minorEastAsia"/>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191722"/>
    <w:rPr>
      <w:vertAlign w:val="superscript"/>
    </w:rPr>
  </w:style>
  <w:style w:type="character" w:styleId="Hyperlink">
    <w:name w:val="Hyperlink"/>
    <w:uiPriority w:val="99"/>
    <w:unhideWhenUsed/>
    <w:rsid w:val="00191722"/>
    <w:rPr>
      <w:color w:val="0000FF"/>
      <w:u w:val="single"/>
    </w:r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191722"/>
    <w:rPr>
      <w:rFonts w:eastAsiaTheme="minorEastAsia"/>
      <w:lang w:eastAsia="lv-LV"/>
    </w:rPr>
  </w:style>
  <w:style w:type="paragraph" w:customStyle="1" w:styleId="CharCharCharChar">
    <w:name w:val="Char Char Char Char"/>
    <w:aliases w:val="Char2"/>
    <w:basedOn w:val="Normal"/>
    <w:next w:val="Normal"/>
    <w:link w:val="FootnoteReference"/>
    <w:uiPriority w:val="99"/>
    <w:rsid w:val="00191722"/>
    <w:pPr>
      <w:spacing w:line="240" w:lineRule="exact"/>
      <w:ind w:left="567" w:hanging="499"/>
      <w:jc w:val="both"/>
      <w:textAlignment w:val="baseline"/>
    </w:pPr>
    <w:rPr>
      <w:vertAlign w:val="superscript"/>
    </w:rPr>
  </w:style>
  <w:style w:type="character" w:customStyle="1" w:styleId="Heading1Char">
    <w:name w:val="Heading 1 Char"/>
    <w:basedOn w:val="DefaultParagraphFont"/>
    <w:link w:val="Heading1"/>
    <w:uiPriority w:val="9"/>
    <w:rsid w:val="003C448A"/>
    <w:rPr>
      <w:rFonts w:ascii="Times New Roman" w:eastAsiaTheme="majorEastAsia" w:hAnsi="Times New Roman" w:cstheme="majorBidi"/>
      <w:sz w:val="32"/>
      <w:szCs w:val="32"/>
    </w:rPr>
  </w:style>
  <w:style w:type="paragraph" w:styleId="TOCHeading">
    <w:name w:val="TOC Heading"/>
    <w:basedOn w:val="Heading1"/>
    <w:next w:val="Normal"/>
    <w:uiPriority w:val="39"/>
    <w:unhideWhenUsed/>
    <w:qFormat/>
    <w:rsid w:val="0055505F"/>
    <w:pPr>
      <w:outlineLvl w:val="9"/>
    </w:pPr>
    <w:rPr>
      <w:lang w:val="en-US"/>
    </w:rPr>
  </w:style>
  <w:style w:type="paragraph" w:styleId="TOC1">
    <w:name w:val="toc 1"/>
    <w:basedOn w:val="Normal"/>
    <w:next w:val="Normal"/>
    <w:autoRedefine/>
    <w:uiPriority w:val="39"/>
    <w:unhideWhenUsed/>
    <w:rsid w:val="00805ADB"/>
    <w:pPr>
      <w:tabs>
        <w:tab w:val="left" w:pos="660"/>
        <w:tab w:val="right" w:leader="dot" w:pos="8296"/>
      </w:tabs>
      <w:spacing w:after="100"/>
    </w:pPr>
  </w:style>
  <w:style w:type="character" w:styleId="CommentReference">
    <w:name w:val="annotation reference"/>
    <w:basedOn w:val="DefaultParagraphFont"/>
    <w:uiPriority w:val="99"/>
    <w:semiHidden/>
    <w:unhideWhenUsed/>
    <w:rsid w:val="00FC2592"/>
    <w:rPr>
      <w:sz w:val="16"/>
      <w:szCs w:val="16"/>
    </w:rPr>
  </w:style>
  <w:style w:type="paragraph" w:styleId="CommentText">
    <w:name w:val="annotation text"/>
    <w:basedOn w:val="Normal"/>
    <w:link w:val="CommentTextChar"/>
    <w:uiPriority w:val="99"/>
    <w:unhideWhenUsed/>
    <w:rsid w:val="002439CE"/>
    <w:pPr>
      <w:spacing w:line="240" w:lineRule="auto"/>
    </w:pPr>
    <w:rPr>
      <w:sz w:val="20"/>
      <w:szCs w:val="20"/>
    </w:rPr>
  </w:style>
  <w:style w:type="character" w:customStyle="1" w:styleId="CommentTextChar">
    <w:name w:val="Comment Text Char"/>
    <w:basedOn w:val="DefaultParagraphFont"/>
    <w:link w:val="CommentText"/>
    <w:uiPriority w:val="99"/>
    <w:rsid w:val="00FC2592"/>
    <w:rPr>
      <w:sz w:val="20"/>
      <w:szCs w:val="20"/>
    </w:rPr>
  </w:style>
  <w:style w:type="paragraph" w:styleId="CommentSubject">
    <w:name w:val="annotation subject"/>
    <w:basedOn w:val="CommentText"/>
    <w:next w:val="CommentText"/>
    <w:link w:val="CommentSubjectChar"/>
    <w:uiPriority w:val="99"/>
    <w:semiHidden/>
    <w:unhideWhenUsed/>
    <w:rsid w:val="00FC2592"/>
    <w:rPr>
      <w:b/>
      <w:bCs/>
    </w:rPr>
  </w:style>
  <w:style w:type="character" w:customStyle="1" w:styleId="CommentSubjectChar">
    <w:name w:val="Comment Subject Char"/>
    <w:basedOn w:val="CommentTextChar"/>
    <w:link w:val="CommentSubject"/>
    <w:uiPriority w:val="99"/>
    <w:semiHidden/>
    <w:rsid w:val="00FC2592"/>
    <w:rPr>
      <w:b/>
      <w:bCs/>
      <w:sz w:val="20"/>
      <w:szCs w:val="20"/>
    </w:rPr>
  </w:style>
  <w:style w:type="paragraph" w:styleId="DocumentMap">
    <w:name w:val="Document Map"/>
    <w:basedOn w:val="Normal"/>
    <w:link w:val="DocumentMapChar"/>
    <w:uiPriority w:val="99"/>
    <w:unhideWhenUsed/>
    <w:rsid w:val="00C0441B"/>
    <w:pPr>
      <w:spacing w:after="0" w:line="240" w:lineRule="auto"/>
    </w:pPr>
    <w:rPr>
      <w:rFonts w:ascii="Tahoma" w:eastAsiaTheme="minorEastAsia" w:hAnsi="Tahoma" w:cs="Tahoma"/>
      <w:sz w:val="16"/>
      <w:szCs w:val="16"/>
      <w:lang w:eastAsia="lv-LV"/>
    </w:rPr>
  </w:style>
  <w:style w:type="character" w:customStyle="1" w:styleId="DocumentMapChar">
    <w:name w:val="Document Map Char"/>
    <w:basedOn w:val="DefaultParagraphFont"/>
    <w:link w:val="DocumentMap"/>
    <w:uiPriority w:val="99"/>
    <w:rsid w:val="00C0441B"/>
    <w:rPr>
      <w:rFonts w:ascii="Tahoma" w:eastAsiaTheme="minorEastAsia" w:hAnsi="Tahoma" w:cs="Tahoma"/>
      <w:sz w:val="16"/>
      <w:szCs w:val="16"/>
      <w:lang w:eastAsia="lv-LV"/>
    </w:rPr>
  </w:style>
  <w:style w:type="character" w:customStyle="1" w:styleId="FootnoteChar1">
    <w:name w:val="Footnote Char1"/>
    <w:aliases w:val="Fußnote Char1,single space Char,ft Rakstz. Rakstz. Char,ft Rakstz. Char,ft Char,-E Fußnotentext Char,Fußnotentext Ursprung Char,Footnote Char Char,Fußnote Char Char,Vēres teksts Char Char Char Char Char Char,f Char"/>
    <w:basedOn w:val="DefaultParagraphFont"/>
    <w:uiPriority w:val="99"/>
    <w:semiHidden/>
    <w:locked/>
    <w:rsid w:val="00CF7F65"/>
    <w:rPr>
      <w:rFonts w:ascii="Calibri" w:eastAsia="Calibri" w:hAnsi="Calibri" w:cs="Times New Roman"/>
      <w:sz w:val="20"/>
      <w:szCs w:val="20"/>
    </w:rPr>
  </w:style>
  <w:style w:type="paragraph" w:customStyle="1" w:styleId="naiskr">
    <w:name w:val="naiskr"/>
    <w:basedOn w:val="Normal"/>
    <w:rsid w:val="00F9220E"/>
    <w:pPr>
      <w:spacing w:before="100" w:beforeAutospacing="1" w:after="100" w:afterAutospacing="1" w:line="240" w:lineRule="auto"/>
    </w:pPr>
    <w:rPr>
      <w:rFonts w:ascii="Times New Roman" w:eastAsia="Times New Roman" w:hAnsi="Times New Roman" w:cs="Times New Roman"/>
      <w:sz w:val="24"/>
      <w:szCs w:val="24"/>
      <w:lang w:eastAsia="lv-LV" w:bidi="lo-LA"/>
    </w:rPr>
  </w:style>
  <w:style w:type="paragraph" w:styleId="Revision">
    <w:name w:val="Revision"/>
    <w:hidden/>
    <w:uiPriority w:val="99"/>
    <w:semiHidden/>
    <w:rsid w:val="00AA27D0"/>
    <w:pPr>
      <w:spacing w:after="0" w:line="240" w:lineRule="auto"/>
    </w:pPr>
  </w:style>
  <w:style w:type="character" w:customStyle="1" w:styleId="word">
    <w:name w:val="word"/>
    <w:basedOn w:val="DefaultParagraphFont"/>
    <w:rsid w:val="006B64C6"/>
  </w:style>
  <w:style w:type="paragraph" w:customStyle="1" w:styleId="tv213">
    <w:name w:val="tv213"/>
    <w:basedOn w:val="Normal"/>
    <w:rsid w:val="00D6033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2439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9CE"/>
  </w:style>
  <w:style w:type="paragraph" w:styleId="Footer">
    <w:name w:val="footer"/>
    <w:basedOn w:val="Normal"/>
    <w:link w:val="FooterChar"/>
    <w:uiPriority w:val="99"/>
    <w:unhideWhenUsed/>
    <w:rsid w:val="002439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9CE"/>
  </w:style>
  <w:style w:type="paragraph" w:customStyle="1" w:styleId="xmsonormal">
    <w:name w:val="x_msonormal"/>
    <w:basedOn w:val="Normal"/>
    <w:rsid w:val="00920DD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f0">
    <w:name w:val="pf0"/>
    <w:basedOn w:val="Normal"/>
    <w:rsid w:val="00FD526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FD5268"/>
    <w:rPr>
      <w:rFonts w:ascii="Segoe UI" w:hAnsi="Segoe UI" w:cs="Segoe UI" w:hint="default"/>
      <w:sz w:val="18"/>
      <w:szCs w:val="18"/>
    </w:rPr>
  </w:style>
  <w:style w:type="paragraph" w:styleId="NormalWeb">
    <w:name w:val="Normal (Web)"/>
    <w:basedOn w:val="Normal"/>
    <w:uiPriority w:val="99"/>
    <w:semiHidden/>
    <w:unhideWhenUsed/>
    <w:rsid w:val="00FD526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072268"/>
    <w:rPr>
      <w:color w:val="605E5C"/>
      <w:shd w:val="clear" w:color="auto" w:fill="E1DFDD"/>
    </w:rPr>
  </w:style>
  <w:style w:type="paragraph" w:styleId="Title">
    <w:name w:val="Title"/>
    <w:basedOn w:val="Normal"/>
    <w:next w:val="Normal"/>
    <w:link w:val="TitleChar"/>
    <w:uiPriority w:val="10"/>
    <w:qFormat/>
    <w:rsid w:val="00D701A4"/>
    <w:pPr>
      <w:spacing w:after="0" w:line="240" w:lineRule="auto"/>
      <w:contextualSpacing/>
      <w:jc w:val="both"/>
    </w:pPr>
    <w:rPr>
      <w:rFonts w:ascii="Palatino" w:eastAsia="Palatino" w:hAnsi="Palatino" w:cs="Palatino"/>
      <w:color w:val="333333"/>
      <w:sz w:val="60"/>
      <w:szCs w:val="20"/>
      <w:lang w:eastAsia="lv-LV"/>
    </w:rPr>
  </w:style>
  <w:style w:type="character" w:customStyle="1" w:styleId="TitleChar">
    <w:name w:val="Title Char"/>
    <w:basedOn w:val="DefaultParagraphFont"/>
    <w:link w:val="Title"/>
    <w:uiPriority w:val="10"/>
    <w:rsid w:val="00D701A4"/>
    <w:rPr>
      <w:rFonts w:ascii="Palatino" w:eastAsia="Palatino" w:hAnsi="Palatino" w:cs="Palatino"/>
      <w:color w:val="333333"/>
      <w:sz w:val="60"/>
      <w:szCs w:val="20"/>
      <w:lang w:eastAsia="lv-LV"/>
    </w:rPr>
  </w:style>
  <w:style w:type="character" w:customStyle="1" w:styleId="xeop">
    <w:name w:val="x_eop"/>
    <w:basedOn w:val="DefaultParagraphFont"/>
    <w:rsid w:val="00314879"/>
  </w:style>
  <w:style w:type="character" w:customStyle="1" w:styleId="xheading4char">
    <w:name w:val="x_heading4char"/>
    <w:basedOn w:val="DefaultParagraphFont"/>
    <w:rsid w:val="00314879"/>
  </w:style>
  <w:style w:type="paragraph" w:styleId="EndnoteText">
    <w:name w:val="endnote text"/>
    <w:basedOn w:val="Normal"/>
    <w:link w:val="EndnoteTextChar"/>
    <w:uiPriority w:val="99"/>
    <w:semiHidden/>
    <w:unhideWhenUsed/>
    <w:rsid w:val="00E969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969E2"/>
    <w:rPr>
      <w:sz w:val="20"/>
      <w:szCs w:val="20"/>
    </w:rPr>
  </w:style>
  <w:style w:type="character" w:styleId="EndnoteReference">
    <w:name w:val="endnote reference"/>
    <w:basedOn w:val="DefaultParagraphFont"/>
    <w:uiPriority w:val="99"/>
    <w:semiHidden/>
    <w:unhideWhenUsed/>
    <w:rsid w:val="00E969E2"/>
    <w:rPr>
      <w:vertAlign w:val="superscript"/>
    </w:rPr>
  </w:style>
  <w:style w:type="character" w:styleId="FollowedHyperlink">
    <w:name w:val="FollowedHyperlink"/>
    <w:basedOn w:val="DefaultParagraphFont"/>
    <w:uiPriority w:val="99"/>
    <w:semiHidden/>
    <w:unhideWhenUsed/>
    <w:rsid w:val="001009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8815">
      <w:bodyDiv w:val="1"/>
      <w:marLeft w:val="0"/>
      <w:marRight w:val="0"/>
      <w:marTop w:val="0"/>
      <w:marBottom w:val="0"/>
      <w:divBdr>
        <w:top w:val="none" w:sz="0" w:space="0" w:color="auto"/>
        <w:left w:val="none" w:sz="0" w:space="0" w:color="auto"/>
        <w:bottom w:val="none" w:sz="0" w:space="0" w:color="auto"/>
        <w:right w:val="none" w:sz="0" w:space="0" w:color="auto"/>
      </w:divBdr>
    </w:div>
    <w:div w:id="107631472">
      <w:bodyDiv w:val="1"/>
      <w:marLeft w:val="0"/>
      <w:marRight w:val="0"/>
      <w:marTop w:val="0"/>
      <w:marBottom w:val="0"/>
      <w:divBdr>
        <w:top w:val="none" w:sz="0" w:space="0" w:color="auto"/>
        <w:left w:val="none" w:sz="0" w:space="0" w:color="auto"/>
        <w:bottom w:val="none" w:sz="0" w:space="0" w:color="auto"/>
        <w:right w:val="none" w:sz="0" w:space="0" w:color="auto"/>
      </w:divBdr>
      <w:divsChild>
        <w:div w:id="2049646517">
          <w:marLeft w:val="965"/>
          <w:marRight w:val="0"/>
          <w:marTop w:val="148"/>
          <w:marBottom w:val="0"/>
          <w:divBdr>
            <w:top w:val="none" w:sz="0" w:space="0" w:color="auto"/>
            <w:left w:val="none" w:sz="0" w:space="0" w:color="auto"/>
            <w:bottom w:val="none" w:sz="0" w:space="0" w:color="auto"/>
            <w:right w:val="none" w:sz="0" w:space="0" w:color="auto"/>
          </w:divBdr>
        </w:div>
        <w:div w:id="360479437">
          <w:marLeft w:val="965"/>
          <w:marRight w:val="0"/>
          <w:marTop w:val="148"/>
          <w:marBottom w:val="0"/>
          <w:divBdr>
            <w:top w:val="none" w:sz="0" w:space="0" w:color="auto"/>
            <w:left w:val="none" w:sz="0" w:space="0" w:color="auto"/>
            <w:bottom w:val="none" w:sz="0" w:space="0" w:color="auto"/>
            <w:right w:val="none" w:sz="0" w:space="0" w:color="auto"/>
          </w:divBdr>
        </w:div>
        <w:div w:id="1004355365">
          <w:marLeft w:val="965"/>
          <w:marRight w:val="0"/>
          <w:marTop w:val="148"/>
          <w:marBottom w:val="0"/>
          <w:divBdr>
            <w:top w:val="none" w:sz="0" w:space="0" w:color="auto"/>
            <w:left w:val="none" w:sz="0" w:space="0" w:color="auto"/>
            <w:bottom w:val="none" w:sz="0" w:space="0" w:color="auto"/>
            <w:right w:val="none" w:sz="0" w:space="0" w:color="auto"/>
          </w:divBdr>
        </w:div>
      </w:divsChild>
    </w:div>
    <w:div w:id="156577306">
      <w:bodyDiv w:val="1"/>
      <w:marLeft w:val="0"/>
      <w:marRight w:val="0"/>
      <w:marTop w:val="0"/>
      <w:marBottom w:val="0"/>
      <w:divBdr>
        <w:top w:val="none" w:sz="0" w:space="0" w:color="auto"/>
        <w:left w:val="none" w:sz="0" w:space="0" w:color="auto"/>
        <w:bottom w:val="none" w:sz="0" w:space="0" w:color="auto"/>
        <w:right w:val="none" w:sz="0" w:space="0" w:color="auto"/>
      </w:divBdr>
    </w:div>
    <w:div w:id="229537109">
      <w:bodyDiv w:val="1"/>
      <w:marLeft w:val="0"/>
      <w:marRight w:val="0"/>
      <w:marTop w:val="0"/>
      <w:marBottom w:val="0"/>
      <w:divBdr>
        <w:top w:val="none" w:sz="0" w:space="0" w:color="auto"/>
        <w:left w:val="none" w:sz="0" w:space="0" w:color="auto"/>
        <w:bottom w:val="none" w:sz="0" w:space="0" w:color="auto"/>
        <w:right w:val="none" w:sz="0" w:space="0" w:color="auto"/>
      </w:divBdr>
    </w:div>
    <w:div w:id="251860290">
      <w:bodyDiv w:val="1"/>
      <w:marLeft w:val="0"/>
      <w:marRight w:val="0"/>
      <w:marTop w:val="0"/>
      <w:marBottom w:val="0"/>
      <w:divBdr>
        <w:top w:val="none" w:sz="0" w:space="0" w:color="auto"/>
        <w:left w:val="none" w:sz="0" w:space="0" w:color="auto"/>
        <w:bottom w:val="none" w:sz="0" w:space="0" w:color="auto"/>
        <w:right w:val="none" w:sz="0" w:space="0" w:color="auto"/>
      </w:divBdr>
    </w:div>
    <w:div w:id="258149265">
      <w:bodyDiv w:val="1"/>
      <w:marLeft w:val="0"/>
      <w:marRight w:val="0"/>
      <w:marTop w:val="0"/>
      <w:marBottom w:val="0"/>
      <w:divBdr>
        <w:top w:val="none" w:sz="0" w:space="0" w:color="auto"/>
        <w:left w:val="none" w:sz="0" w:space="0" w:color="auto"/>
        <w:bottom w:val="none" w:sz="0" w:space="0" w:color="auto"/>
        <w:right w:val="none" w:sz="0" w:space="0" w:color="auto"/>
      </w:divBdr>
    </w:div>
    <w:div w:id="298535283">
      <w:bodyDiv w:val="1"/>
      <w:marLeft w:val="0"/>
      <w:marRight w:val="0"/>
      <w:marTop w:val="0"/>
      <w:marBottom w:val="0"/>
      <w:divBdr>
        <w:top w:val="none" w:sz="0" w:space="0" w:color="auto"/>
        <w:left w:val="none" w:sz="0" w:space="0" w:color="auto"/>
        <w:bottom w:val="none" w:sz="0" w:space="0" w:color="auto"/>
        <w:right w:val="none" w:sz="0" w:space="0" w:color="auto"/>
      </w:divBdr>
    </w:div>
    <w:div w:id="351614183">
      <w:bodyDiv w:val="1"/>
      <w:marLeft w:val="0"/>
      <w:marRight w:val="0"/>
      <w:marTop w:val="0"/>
      <w:marBottom w:val="0"/>
      <w:divBdr>
        <w:top w:val="none" w:sz="0" w:space="0" w:color="auto"/>
        <w:left w:val="none" w:sz="0" w:space="0" w:color="auto"/>
        <w:bottom w:val="none" w:sz="0" w:space="0" w:color="auto"/>
        <w:right w:val="none" w:sz="0" w:space="0" w:color="auto"/>
      </w:divBdr>
    </w:div>
    <w:div w:id="400103043">
      <w:bodyDiv w:val="1"/>
      <w:marLeft w:val="0"/>
      <w:marRight w:val="0"/>
      <w:marTop w:val="0"/>
      <w:marBottom w:val="0"/>
      <w:divBdr>
        <w:top w:val="none" w:sz="0" w:space="0" w:color="auto"/>
        <w:left w:val="none" w:sz="0" w:space="0" w:color="auto"/>
        <w:bottom w:val="none" w:sz="0" w:space="0" w:color="auto"/>
        <w:right w:val="none" w:sz="0" w:space="0" w:color="auto"/>
      </w:divBdr>
    </w:div>
    <w:div w:id="430243878">
      <w:bodyDiv w:val="1"/>
      <w:marLeft w:val="0"/>
      <w:marRight w:val="0"/>
      <w:marTop w:val="0"/>
      <w:marBottom w:val="0"/>
      <w:divBdr>
        <w:top w:val="none" w:sz="0" w:space="0" w:color="auto"/>
        <w:left w:val="none" w:sz="0" w:space="0" w:color="auto"/>
        <w:bottom w:val="none" w:sz="0" w:space="0" w:color="auto"/>
        <w:right w:val="none" w:sz="0" w:space="0" w:color="auto"/>
      </w:divBdr>
    </w:div>
    <w:div w:id="530454227">
      <w:bodyDiv w:val="1"/>
      <w:marLeft w:val="0"/>
      <w:marRight w:val="0"/>
      <w:marTop w:val="0"/>
      <w:marBottom w:val="0"/>
      <w:divBdr>
        <w:top w:val="none" w:sz="0" w:space="0" w:color="auto"/>
        <w:left w:val="none" w:sz="0" w:space="0" w:color="auto"/>
        <w:bottom w:val="none" w:sz="0" w:space="0" w:color="auto"/>
        <w:right w:val="none" w:sz="0" w:space="0" w:color="auto"/>
      </w:divBdr>
    </w:div>
    <w:div w:id="701249631">
      <w:bodyDiv w:val="1"/>
      <w:marLeft w:val="0"/>
      <w:marRight w:val="0"/>
      <w:marTop w:val="0"/>
      <w:marBottom w:val="0"/>
      <w:divBdr>
        <w:top w:val="none" w:sz="0" w:space="0" w:color="auto"/>
        <w:left w:val="none" w:sz="0" w:space="0" w:color="auto"/>
        <w:bottom w:val="none" w:sz="0" w:space="0" w:color="auto"/>
        <w:right w:val="none" w:sz="0" w:space="0" w:color="auto"/>
      </w:divBdr>
    </w:div>
    <w:div w:id="791244741">
      <w:bodyDiv w:val="1"/>
      <w:marLeft w:val="0"/>
      <w:marRight w:val="0"/>
      <w:marTop w:val="0"/>
      <w:marBottom w:val="0"/>
      <w:divBdr>
        <w:top w:val="none" w:sz="0" w:space="0" w:color="auto"/>
        <w:left w:val="none" w:sz="0" w:space="0" w:color="auto"/>
        <w:bottom w:val="none" w:sz="0" w:space="0" w:color="auto"/>
        <w:right w:val="none" w:sz="0" w:space="0" w:color="auto"/>
      </w:divBdr>
    </w:div>
    <w:div w:id="847914247">
      <w:bodyDiv w:val="1"/>
      <w:marLeft w:val="0"/>
      <w:marRight w:val="0"/>
      <w:marTop w:val="0"/>
      <w:marBottom w:val="0"/>
      <w:divBdr>
        <w:top w:val="none" w:sz="0" w:space="0" w:color="auto"/>
        <w:left w:val="none" w:sz="0" w:space="0" w:color="auto"/>
        <w:bottom w:val="none" w:sz="0" w:space="0" w:color="auto"/>
        <w:right w:val="none" w:sz="0" w:space="0" w:color="auto"/>
      </w:divBdr>
    </w:div>
    <w:div w:id="875048760">
      <w:bodyDiv w:val="1"/>
      <w:marLeft w:val="0"/>
      <w:marRight w:val="0"/>
      <w:marTop w:val="0"/>
      <w:marBottom w:val="0"/>
      <w:divBdr>
        <w:top w:val="none" w:sz="0" w:space="0" w:color="auto"/>
        <w:left w:val="none" w:sz="0" w:space="0" w:color="auto"/>
        <w:bottom w:val="none" w:sz="0" w:space="0" w:color="auto"/>
        <w:right w:val="none" w:sz="0" w:space="0" w:color="auto"/>
      </w:divBdr>
    </w:div>
    <w:div w:id="925193795">
      <w:bodyDiv w:val="1"/>
      <w:marLeft w:val="0"/>
      <w:marRight w:val="0"/>
      <w:marTop w:val="0"/>
      <w:marBottom w:val="0"/>
      <w:divBdr>
        <w:top w:val="none" w:sz="0" w:space="0" w:color="auto"/>
        <w:left w:val="none" w:sz="0" w:space="0" w:color="auto"/>
        <w:bottom w:val="none" w:sz="0" w:space="0" w:color="auto"/>
        <w:right w:val="none" w:sz="0" w:space="0" w:color="auto"/>
      </w:divBdr>
    </w:div>
    <w:div w:id="969896156">
      <w:bodyDiv w:val="1"/>
      <w:marLeft w:val="0"/>
      <w:marRight w:val="0"/>
      <w:marTop w:val="0"/>
      <w:marBottom w:val="0"/>
      <w:divBdr>
        <w:top w:val="none" w:sz="0" w:space="0" w:color="auto"/>
        <w:left w:val="none" w:sz="0" w:space="0" w:color="auto"/>
        <w:bottom w:val="none" w:sz="0" w:space="0" w:color="auto"/>
        <w:right w:val="none" w:sz="0" w:space="0" w:color="auto"/>
      </w:divBdr>
    </w:div>
    <w:div w:id="1089931862">
      <w:bodyDiv w:val="1"/>
      <w:marLeft w:val="0"/>
      <w:marRight w:val="0"/>
      <w:marTop w:val="0"/>
      <w:marBottom w:val="0"/>
      <w:divBdr>
        <w:top w:val="none" w:sz="0" w:space="0" w:color="auto"/>
        <w:left w:val="none" w:sz="0" w:space="0" w:color="auto"/>
        <w:bottom w:val="none" w:sz="0" w:space="0" w:color="auto"/>
        <w:right w:val="none" w:sz="0" w:space="0" w:color="auto"/>
      </w:divBdr>
    </w:div>
    <w:div w:id="1225338696">
      <w:bodyDiv w:val="1"/>
      <w:marLeft w:val="0"/>
      <w:marRight w:val="0"/>
      <w:marTop w:val="0"/>
      <w:marBottom w:val="0"/>
      <w:divBdr>
        <w:top w:val="none" w:sz="0" w:space="0" w:color="auto"/>
        <w:left w:val="none" w:sz="0" w:space="0" w:color="auto"/>
        <w:bottom w:val="none" w:sz="0" w:space="0" w:color="auto"/>
        <w:right w:val="none" w:sz="0" w:space="0" w:color="auto"/>
      </w:divBdr>
    </w:div>
    <w:div w:id="1446385141">
      <w:bodyDiv w:val="1"/>
      <w:marLeft w:val="0"/>
      <w:marRight w:val="0"/>
      <w:marTop w:val="0"/>
      <w:marBottom w:val="0"/>
      <w:divBdr>
        <w:top w:val="none" w:sz="0" w:space="0" w:color="auto"/>
        <w:left w:val="none" w:sz="0" w:space="0" w:color="auto"/>
        <w:bottom w:val="none" w:sz="0" w:space="0" w:color="auto"/>
        <w:right w:val="none" w:sz="0" w:space="0" w:color="auto"/>
      </w:divBdr>
    </w:div>
    <w:div w:id="1480732589">
      <w:bodyDiv w:val="1"/>
      <w:marLeft w:val="0"/>
      <w:marRight w:val="0"/>
      <w:marTop w:val="0"/>
      <w:marBottom w:val="0"/>
      <w:divBdr>
        <w:top w:val="none" w:sz="0" w:space="0" w:color="auto"/>
        <w:left w:val="none" w:sz="0" w:space="0" w:color="auto"/>
        <w:bottom w:val="none" w:sz="0" w:space="0" w:color="auto"/>
        <w:right w:val="none" w:sz="0" w:space="0" w:color="auto"/>
      </w:divBdr>
    </w:div>
    <w:div w:id="1621062152">
      <w:bodyDiv w:val="1"/>
      <w:marLeft w:val="0"/>
      <w:marRight w:val="0"/>
      <w:marTop w:val="0"/>
      <w:marBottom w:val="0"/>
      <w:divBdr>
        <w:top w:val="none" w:sz="0" w:space="0" w:color="auto"/>
        <w:left w:val="none" w:sz="0" w:space="0" w:color="auto"/>
        <w:bottom w:val="none" w:sz="0" w:space="0" w:color="auto"/>
        <w:right w:val="none" w:sz="0" w:space="0" w:color="auto"/>
      </w:divBdr>
    </w:div>
    <w:div w:id="1660890413">
      <w:bodyDiv w:val="1"/>
      <w:marLeft w:val="0"/>
      <w:marRight w:val="0"/>
      <w:marTop w:val="0"/>
      <w:marBottom w:val="0"/>
      <w:divBdr>
        <w:top w:val="none" w:sz="0" w:space="0" w:color="auto"/>
        <w:left w:val="none" w:sz="0" w:space="0" w:color="auto"/>
        <w:bottom w:val="none" w:sz="0" w:space="0" w:color="auto"/>
        <w:right w:val="none" w:sz="0" w:space="0" w:color="auto"/>
      </w:divBdr>
    </w:div>
    <w:div w:id="1674068460">
      <w:bodyDiv w:val="1"/>
      <w:marLeft w:val="0"/>
      <w:marRight w:val="0"/>
      <w:marTop w:val="0"/>
      <w:marBottom w:val="0"/>
      <w:divBdr>
        <w:top w:val="none" w:sz="0" w:space="0" w:color="auto"/>
        <w:left w:val="none" w:sz="0" w:space="0" w:color="auto"/>
        <w:bottom w:val="none" w:sz="0" w:space="0" w:color="auto"/>
        <w:right w:val="none" w:sz="0" w:space="0" w:color="auto"/>
      </w:divBdr>
    </w:div>
    <w:div w:id="1732582860">
      <w:bodyDiv w:val="1"/>
      <w:marLeft w:val="0"/>
      <w:marRight w:val="0"/>
      <w:marTop w:val="0"/>
      <w:marBottom w:val="0"/>
      <w:divBdr>
        <w:top w:val="none" w:sz="0" w:space="0" w:color="auto"/>
        <w:left w:val="none" w:sz="0" w:space="0" w:color="auto"/>
        <w:bottom w:val="none" w:sz="0" w:space="0" w:color="auto"/>
        <w:right w:val="none" w:sz="0" w:space="0" w:color="auto"/>
      </w:divBdr>
    </w:div>
    <w:div w:id="1849295188">
      <w:bodyDiv w:val="1"/>
      <w:marLeft w:val="0"/>
      <w:marRight w:val="0"/>
      <w:marTop w:val="0"/>
      <w:marBottom w:val="0"/>
      <w:divBdr>
        <w:top w:val="none" w:sz="0" w:space="0" w:color="auto"/>
        <w:left w:val="none" w:sz="0" w:space="0" w:color="auto"/>
        <w:bottom w:val="none" w:sz="0" w:space="0" w:color="auto"/>
        <w:right w:val="none" w:sz="0" w:space="0" w:color="auto"/>
      </w:divBdr>
    </w:div>
    <w:div w:id="1860967643">
      <w:bodyDiv w:val="1"/>
      <w:marLeft w:val="0"/>
      <w:marRight w:val="0"/>
      <w:marTop w:val="0"/>
      <w:marBottom w:val="0"/>
      <w:divBdr>
        <w:top w:val="none" w:sz="0" w:space="0" w:color="auto"/>
        <w:left w:val="none" w:sz="0" w:space="0" w:color="auto"/>
        <w:bottom w:val="none" w:sz="0" w:space="0" w:color="auto"/>
        <w:right w:val="none" w:sz="0" w:space="0" w:color="auto"/>
      </w:divBdr>
    </w:div>
    <w:div w:id="1920023491">
      <w:bodyDiv w:val="1"/>
      <w:marLeft w:val="0"/>
      <w:marRight w:val="0"/>
      <w:marTop w:val="0"/>
      <w:marBottom w:val="0"/>
      <w:divBdr>
        <w:top w:val="none" w:sz="0" w:space="0" w:color="auto"/>
        <w:left w:val="none" w:sz="0" w:space="0" w:color="auto"/>
        <w:bottom w:val="none" w:sz="0" w:space="0" w:color="auto"/>
        <w:right w:val="none" w:sz="0" w:space="0" w:color="auto"/>
      </w:divBdr>
    </w:div>
    <w:div w:id="1931889928">
      <w:bodyDiv w:val="1"/>
      <w:marLeft w:val="0"/>
      <w:marRight w:val="0"/>
      <w:marTop w:val="0"/>
      <w:marBottom w:val="0"/>
      <w:divBdr>
        <w:top w:val="none" w:sz="0" w:space="0" w:color="auto"/>
        <w:left w:val="none" w:sz="0" w:space="0" w:color="auto"/>
        <w:bottom w:val="none" w:sz="0" w:space="0" w:color="auto"/>
        <w:right w:val="none" w:sz="0" w:space="0" w:color="auto"/>
      </w:divBdr>
    </w:div>
    <w:div w:id="211767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ortfelis.mk.gov.lv/eportfelis/DesktopModules/NOpenDocument.aspx?tabindex=0&amp;tabid=8&amp;BriefcaseID=41209&amp;mid=38&amp;SubjectID=4040719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21/241/oj/?locale=LV" TargetMode="External"/><Relationship Id="rId5" Type="http://schemas.openxmlformats.org/officeDocument/2006/relationships/webSettings" Target="webSettings.xml"/><Relationship Id="rId10" Type="http://schemas.openxmlformats.org/officeDocument/2006/relationships/hyperlink" Target="http://eur-lex.europa.eu/eli/reg/2021/241/oj/?locale=LV" TargetMode="External"/><Relationship Id="rId4" Type="http://schemas.openxmlformats.org/officeDocument/2006/relationships/settings" Target="settings.xml"/><Relationship Id="rId9" Type="http://schemas.openxmlformats.org/officeDocument/2006/relationships/hyperlink" Target="http://www.esfondi.lv/upload/st10157.en21.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294518-noteikumi-par-ieksejas-kontroles-sistemas-pamatprasibam-korupcijas-un-interesu-konflikta-riska-noversanai-publiskas-personas-institucija" TargetMode="External"/><Relationship Id="rId3" Type="http://schemas.openxmlformats.org/officeDocument/2006/relationships/hyperlink" Target="https://tapportals.mk.gov.lv/legal_acts/746a6c77-a9f4-4182-9084-e4ab10484b2e" TargetMode="External"/><Relationship Id="rId7" Type="http://schemas.openxmlformats.org/officeDocument/2006/relationships/hyperlink" Target="https://likumi.lv/doc.php?id=247746" TargetMode="External"/><Relationship Id="rId2" Type="http://schemas.openxmlformats.org/officeDocument/2006/relationships/hyperlink" Target="https://tapportals.mk.gov.lv/legal_acts/746a6c77-a9f4-4182-9084-e4ab10484b2e" TargetMode="External"/><Relationship Id="rId1" Type="http://schemas.openxmlformats.org/officeDocument/2006/relationships/hyperlink" Target="https://likumi.lv/ta/id/322858-par-latvijas-atveselosanas-un-noturibas-mehanisma-planu" TargetMode="External"/><Relationship Id="rId6" Type="http://schemas.openxmlformats.org/officeDocument/2006/relationships/hyperlink" Target="https://www.iub.gov.lv/lv/socialais-iepirkums" TargetMode="External"/><Relationship Id="rId5" Type="http://schemas.openxmlformats.org/officeDocument/2006/relationships/hyperlink" Target="https://likumi.lv/ta/id/246288-slimibu-profilakses-un-kontroles-centra-nolikums" TargetMode="External"/><Relationship Id="rId4" Type="http://schemas.openxmlformats.org/officeDocument/2006/relationships/hyperlink" Target="https://likumi.lv/ta/id/246288-slimibu-profilakses-un-kontroles-centra-no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DC2D1-42FA-41F6-9446-61D336DC7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21629</Words>
  <Characters>12329</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Kvante</dc:creator>
  <cp:keywords/>
  <dc:description/>
  <cp:lastModifiedBy>Evija Kvante</cp:lastModifiedBy>
  <cp:revision>2</cp:revision>
  <cp:lastPrinted>2022-03-22T08:38:00Z</cp:lastPrinted>
  <dcterms:created xsi:type="dcterms:W3CDTF">2022-08-10T09:39:00Z</dcterms:created>
  <dcterms:modified xsi:type="dcterms:W3CDTF">2022-08-10T09:39:00Z</dcterms:modified>
</cp:coreProperties>
</file>